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1520"/>
        <w:spacing w:after="0"/>
        <w:rPr>
          <w:sz w:val="20"/>
          <w:szCs w:val="20"/>
          <w:color w:val="auto"/>
        </w:rPr>
      </w:pPr>
      <w:r>
        <w:rPr>
          <w:rFonts w:ascii="Arial" w:cs="Arial" w:eastAsia="Arial" w:hAnsi="Arial"/>
          <w:sz w:val="21"/>
          <w:szCs w:val="21"/>
          <w:b w:val="1"/>
          <w:bCs w:val="1"/>
          <w:color w:val="auto"/>
        </w:rPr>
        <w:t>QUARTERLY REPORT PURSUANT TO SECTION 13 OR 15(d) OF THE SECURITIES</w:t>
      </w:r>
    </w:p>
    <w:p>
      <w:pPr>
        <w:spacing w:after="0" w:line="18" w:lineRule="exact"/>
        <w:rPr>
          <w:sz w:val="24"/>
          <w:szCs w:val="24"/>
          <w:color w:val="auto"/>
        </w:rPr>
      </w:pPr>
    </w:p>
    <w:p>
      <w:pPr>
        <w:ind w:left="1520" w:hanging="466"/>
        <w:spacing w:after="0"/>
        <w:tabs>
          <w:tab w:leader="none" w:pos="1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pacing w:after="0" w:line="159"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OR</w:t>
      </w:r>
    </w:p>
    <w:p>
      <w:pPr>
        <w:spacing w:after="0" w:line="175" w:lineRule="exact"/>
        <w:rPr>
          <w:sz w:val="24"/>
          <w:szCs w:val="24"/>
          <w:color w:val="auto"/>
        </w:rPr>
      </w:pPr>
    </w:p>
    <w:p>
      <w:pPr>
        <w:ind w:left="1520"/>
        <w:spacing w:after="0"/>
        <w:rPr>
          <w:sz w:val="20"/>
          <w:szCs w:val="20"/>
          <w:color w:val="auto"/>
        </w:rPr>
      </w:pPr>
      <w:r>
        <w:rPr>
          <w:rFonts w:ascii="Arial" w:cs="Arial" w:eastAsia="Arial" w:hAnsi="Arial"/>
          <w:sz w:val="21"/>
          <w:szCs w:val="21"/>
          <w:b w:val="1"/>
          <w:bCs w:val="1"/>
          <w:color w:val="auto"/>
        </w:rPr>
        <w:t>TRANSITION REPORT PURSUANT TO SECTION 13 OR 15(d) OF THE SECURITIES</w:t>
      </w:r>
    </w:p>
    <w:p>
      <w:pPr>
        <w:spacing w:after="0" w:line="18" w:lineRule="exact"/>
        <w:rPr>
          <w:sz w:val="24"/>
          <w:szCs w:val="24"/>
          <w:color w:val="auto"/>
        </w:rPr>
      </w:pPr>
    </w:p>
    <w:p>
      <w:pPr>
        <w:ind w:left="1520" w:hanging="466"/>
        <w:spacing w:after="0"/>
        <w:tabs>
          <w:tab w:leader="none" w:pos="1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ectPr>
          <w:pgSz w:w="11900" w:h="16838" w:orient="portrait"/>
          <w:cols w:equalWidth="0" w:num="1">
            <w:col w:w="11200"/>
          </w:cols>
          <w:pgMar w:left="320" w:top="233" w:right="379" w:bottom="1440" w:gutter="0" w:footer="0" w:header="0"/>
        </w:sectPr>
      </w:pPr>
    </w:p>
    <w:p>
      <w:pPr>
        <w:spacing w:after="0" w:line="226"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33" w:right="379" w:bottom="1440"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200"/>
          </w:cols>
          <w:pgMar w:left="320" w:top="233" w:right="379" w:bottom="1440" w:gutter="0" w:footer="0" w:header="0"/>
          <w:type w:val="continuous"/>
        </w:sectPr>
      </w:pP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CLEAN HARBORS, INC.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5500" w:type="dxa"/>
            <w:vAlign w:val="bottom"/>
          </w:tcPr>
          <w:p>
            <w:pPr>
              <w:jc w:val="center"/>
              <w:ind w:right="590"/>
              <w:spacing w:after="0"/>
              <w:rPr>
                <w:sz w:val="20"/>
                <w:szCs w:val="20"/>
                <w:color w:val="auto"/>
              </w:rPr>
            </w:pPr>
            <w:r>
              <w:rPr>
                <w:rFonts w:ascii="Arial" w:cs="Arial" w:eastAsia="Arial" w:hAnsi="Arial"/>
                <w:sz w:val="18"/>
                <w:szCs w:val="18"/>
                <w:b w:val="1"/>
                <w:bCs w:val="1"/>
                <w:color w:val="auto"/>
                <w:w w:val="85"/>
              </w:rPr>
              <w:t>Massachusetts</w:t>
            </w:r>
          </w:p>
        </w:tc>
        <w:tc>
          <w:tcPr>
            <w:tcW w:w="356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04-2997780</w:t>
            </w: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56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00" w:type="dxa"/>
            <w:vAlign w:val="bottom"/>
          </w:tcPr>
          <w:p>
            <w:pPr>
              <w:ind w:left="1060"/>
              <w:spacing w:after="0"/>
              <w:rPr>
                <w:sz w:val="20"/>
                <w:szCs w:val="20"/>
                <w:color w:val="auto"/>
              </w:rPr>
            </w:pPr>
            <w:r>
              <w:rPr>
                <w:rFonts w:ascii="Arial" w:cs="Arial" w:eastAsia="Arial" w:hAnsi="Arial"/>
                <w:sz w:val="18"/>
                <w:szCs w:val="18"/>
                <w:b w:val="1"/>
                <w:bCs w:val="1"/>
                <w:color w:val="auto"/>
              </w:rPr>
              <w:t>42 Longwater Drive Norwell MA</w:t>
            </w:r>
          </w:p>
        </w:tc>
        <w:tc>
          <w:tcPr>
            <w:tcW w:w="356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02061-9149</w:t>
            </w:r>
          </w:p>
        </w:tc>
      </w:tr>
      <w:tr>
        <w:trPr>
          <w:trHeight w:val="270"/>
        </w:trPr>
        <w:tc>
          <w:tcPr>
            <w:tcW w:w="550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3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Stock, $0.01 par value</w:t>
            </w: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CLH</w:t>
            </w: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33" w:right="379" w:bottom="1440" w:gutter="0" w:footer="0" w:header="0"/>
          <w:type w:val="continuous"/>
        </w:sectPr>
      </w:pPr>
    </w:p>
    <w:p>
      <w:pPr>
        <w:spacing w:after="0" w:line="238"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3340" w:space="120"/>
            <w:col w:w="4080" w:space="720"/>
            <w:col w:w="1200" w:space="60"/>
            <w:col w:w="1680"/>
          </w:cols>
          <w:pgMar w:left="320" w:top="233" w:right="379" w:bottom="1440" w:gutter="0" w:footer="0" w:header="0"/>
          <w:type w:val="continuous"/>
        </w:sectPr>
      </w:pPr>
    </w:p>
    <w:p>
      <w:pPr>
        <w:spacing w:after="0" w:line="2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3340" w:space="120"/>
            <w:col w:w="3300" w:space="720"/>
            <w:col w:w="1980" w:space="60"/>
            <w:col w:w="1680"/>
          </w:cols>
          <w:pgMar w:left="320" w:top="233" w:right="379" w:bottom="1440" w:gutter="0" w:footer="0" w:header="0"/>
          <w:type w:val="continuous"/>
        </w:sectPr>
      </w:pPr>
    </w:p>
    <w:p>
      <w:pPr>
        <w:spacing w:after="0" w:line="20" w:lineRule="exact"/>
        <w:rPr>
          <w:sz w:val="24"/>
          <w:szCs w:val="24"/>
          <w:color w:val="auto"/>
        </w:rPr>
      </w:pPr>
    </w:p>
    <w:p>
      <w:pPr>
        <w:ind w:left="75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2">
            <w:col w:w="9460" w:space="60"/>
            <w:col w:w="1680"/>
          </w:cols>
          <w:pgMar w:left="320" w:top="233" w:right="379" w:bottom="1440" w:gutter="0" w:footer="0" w:header="0"/>
          <w:type w:val="continuous"/>
        </w:sectPr>
      </w:pPr>
    </w:p>
    <w:p>
      <w:pPr>
        <w:ind w:right="14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$0.01 par value, of the registrant outstanding at April 24, 2020 was 55,579,207.</w:t>
      </w:r>
    </w:p>
    <w:p>
      <w:pPr>
        <w:sectPr>
          <w:pgSz w:w="11900" w:h="16838" w:orient="portrait"/>
          <w:cols w:equalWidth="0" w:num="1">
            <w:col w:w="11200"/>
          </w:cols>
          <w:pgMar w:left="320" w:top="2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2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CLEAN HARBORS, INC.</w:t>
            </w:r>
          </w:p>
        </w:tc>
        <w:tc>
          <w:tcPr>
            <w:tcW w:w="780" w:type="dxa"/>
            <w:vAlign w:val="bottom"/>
          </w:tcPr>
          <w:p>
            <w:pPr>
              <w:spacing w:after="0"/>
              <w:rPr>
                <w:sz w:val="20"/>
                <w:szCs w:val="20"/>
                <w:color w:val="auto"/>
              </w:rPr>
            </w:pPr>
          </w:p>
        </w:tc>
      </w:tr>
      <w:tr>
        <w:trPr>
          <w:trHeight w:val="432"/>
        </w:trPr>
        <w:tc>
          <w:tcPr>
            <w:tcW w:w="1042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QUARTERLY REPORT ON FORM 10-Q</w:t>
            </w:r>
          </w:p>
        </w:tc>
        <w:tc>
          <w:tcPr>
            <w:tcW w:w="780" w:type="dxa"/>
            <w:vAlign w:val="bottom"/>
          </w:tcPr>
          <w:p>
            <w:pPr>
              <w:spacing w:after="0"/>
              <w:rPr>
                <w:sz w:val="24"/>
                <w:szCs w:val="24"/>
                <w:color w:val="auto"/>
              </w:rPr>
            </w:pPr>
          </w:p>
        </w:tc>
      </w:tr>
      <w:tr>
        <w:trPr>
          <w:trHeight w:val="432"/>
        </w:trPr>
        <w:tc>
          <w:tcPr>
            <w:tcW w:w="104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614"/>
        </w:trPr>
        <w:tc>
          <w:tcPr>
            <w:tcW w:w="10420" w:type="dxa"/>
            <w:vAlign w:val="bottom"/>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r>
      <w:tr>
        <w:trPr>
          <w:trHeight w:val="364"/>
        </w:trPr>
        <w:tc>
          <w:tcPr>
            <w:tcW w:w="10420" w:type="dxa"/>
            <w:vAlign w:val="bottom"/>
          </w:tcPr>
          <w:p>
            <w:pPr>
              <w:ind w:left="36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780" w:type="dxa"/>
            <w:vAlign w:val="bottom"/>
          </w:tcPr>
          <w:p>
            <w:pPr>
              <w:spacing w:after="0"/>
              <w:rPr>
                <w:sz w:val="24"/>
                <w:szCs w:val="24"/>
                <w:color w:val="auto"/>
              </w:rPr>
            </w:pPr>
          </w:p>
        </w:tc>
      </w:tr>
      <w:tr>
        <w:trPr>
          <w:trHeight w:val="392"/>
        </w:trPr>
        <w:tc>
          <w:tcPr>
            <w:tcW w:w="1042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 Unaudited Financial Statements</w:t>
              </w:r>
            </w:hyperlink>
          </w:p>
        </w:tc>
        <w:tc>
          <w:tcPr>
            <w:tcW w:w="780" w:type="dxa"/>
            <w:vAlign w:val="bottom"/>
          </w:tcPr>
          <w:p>
            <w:pPr>
              <w:spacing w:after="0"/>
              <w:rPr>
                <w:sz w:val="24"/>
                <w:szCs w:val="24"/>
                <w:color w:val="auto"/>
              </w:rPr>
            </w:pPr>
          </w:p>
        </w:tc>
      </w:tr>
      <w:tr>
        <w:trPr>
          <w:trHeight w:val="270"/>
        </w:trPr>
        <w:tc>
          <w:tcPr>
            <w:tcW w:w="104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70"/>
        </w:trPr>
        <w:tc>
          <w:tcPr>
            <w:tcW w:w="104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w:t>
              </w:r>
            </w:hyperlink>
          </w:p>
        </w:tc>
        <w:tc>
          <w:tcPr>
            <w:tcW w:w="7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70"/>
        </w:trPr>
        <w:tc>
          <w:tcPr>
            <w:tcW w:w="104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Statements of Comprehensive (Loss) Income</w:t>
              </w:r>
            </w:hyperlink>
          </w:p>
        </w:tc>
        <w:tc>
          <w:tcPr>
            <w:tcW w:w="7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70"/>
        </w:trPr>
        <w:tc>
          <w:tcPr>
            <w:tcW w:w="104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Cash Flows</w:t>
              </w:r>
            </w:hyperlink>
          </w:p>
        </w:tc>
        <w:tc>
          <w:tcPr>
            <w:tcW w:w="7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70"/>
        </w:trPr>
        <w:tc>
          <w:tcPr>
            <w:tcW w:w="104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Stockholders’ Equity</w:t>
              </w:r>
            </w:hyperlink>
          </w:p>
        </w:tc>
        <w:tc>
          <w:tcPr>
            <w:tcW w:w="7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0"/>
        </w:trPr>
        <w:tc>
          <w:tcPr>
            <w:tcW w:w="10420" w:type="dxa"/>
            <w:vAlign w:val="bottom"/>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Unaudited Consolidated Financial Statements</w:t>
              </w:r>
            </w:hyperlink>
          </w:p>
        </w:tc>
        <w:tc>
          <w:tcPr>
            <w:tcW w:w="78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392"/>
        </w:trPr>
        <w:tc>
          <w:tcPr>
            <w:tcW w:w="10420" w:type="dxa"/>
            <w:vAlign w:val="bottom"/>
          </w:tcPr>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18</w:t>
              </w:r>
            </w:hyperlink>
          </w:p>
        </w:tc>
      </w:tr>
      <w:tr>
        <w:trPr>
          <w:trHeight w:val="392"/>
        </w:trPr>
        <w:tc>
          <w:tcPr>
            <w:tcW w:w="10420" w:type="dxa"/>
            <w:vAlign w:val="bottom"/>
          </w:tcPr>
          <w:p>
            <w:pPr>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3: Quantitative and Qualitative Disclosures About Market Risk</w:t>
              </w:r>
            </w:hyperlink>
          </w:p>
        </w:tc>
        <w:tc>
          <w:tcPr>
            <w:tcW w:w="78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391"/>
        </w:trPr>
        <w:tc>
          <w:tcPr>
            <w:tcW w:w="10420" w:type="dxa"/>
            <w:vAlign w:val="bottom"/>
          </w:tcPr>
          <w:p>
            <w:pPr>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ITEM 4: Controls and Procedures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392"/>
        </w:trPr>
        <w:tc>
          <w:tcPr>
            <w:tcW w:w="10420" w:type="dxa"/>
            <w:vAlign w:val="bottom"/>
          </w:tcPr>
          <w:p>
            <w:pPr>
              <w:ind w:left="380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PART II: OTHER INFORMATION</w:t>
              </w:r>
            </w:hyperlink>
          </w:p>
        </w:tc>
        <w:tc>
          <w:tcPr>
            <w:tcW w:w="780" w:type="dxa"/>
            <w:vAlign w:val="bottom"/>
          </w:tcPr>
          <w:p>
            <w:pPr>
              <w:spacing w:after="0"/>
              <w:rPr>
                <w:sz w:val="24"/>
                <w:szCs w:val="24"/>
                <w:color w:val="auto"/>
              </w:rPr>
            </w:pPr>
          </w:p>
        </w:tc>
      </w:tr>
      <w:tr>
        <w:trPr>
          <w:trHeight w:val="392"/>
        </w:trPr>
        <w:tc>
          <w:tcPr>
            <w:tcW w:w="10420" w:type="dxa"/>
            <w:vAlign w:val="bottom"/>
          </w:tcPr>
          <w:p>
            <w:pPr>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1: Legal Proceedings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70"/>
        </w:trPr>
        <w:tc>
          <w:tcPr>
            <w:tcW w:w="10420" w:type="dxa"/>
            <w:vAlign w:val="bottom"/>
          </w:tcPr>
          <w:p>
            <w:pPr>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1A: Risk Factors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70"/>
        </w:trPr>
        <w:tc>
          <w:tcPr>
            <w:tcW w:w="1042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2: Unregistered Sales of Equity Securities and Use of Proceeds</w:t>
              </w:r>
            </w:hyperlink>
          </w:p>
        </w:tc>
        <w:tc>
          <w:tcPr>
            <w:tcW w:w="78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270"/>
        </w:trPr>
        <w:tc>
          <w:tcPr>
            <w:tcW w:w="1042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3: Defaults Upon Senior Securities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r>
      <w:tr>
        <w:trPr>
          <w:trHeight w:val="270"/>
        </w:trPr>
        <w:tc>
          <w:tcPr>
            <w:tcW w:w="1042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4: Mine Safety Disclosures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r>
      <w:tr>
        <w:trPr>
          <w:trHeight w:val="270"/>
        </w:trPr>
        <w:tc>
          <w:tcPr>
            <w:tcW w:w="1042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5: Other Information</w:t>
              </w:r>
            </w:hyperlink>
          </w:p>
        </w:tc>
        <w:tc>
          <w:tcPr>
            <w:tcW w:w="78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r>
      <w:tr>
        <w:trPr>
          <w:trHeight w:val="270"/>
        </w:trPr>
        <w:tc>
          <w:tcPr>
            <w:tcW w:w="1042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6: Exhibits</w:t>
              </w:r>
            </w:hyperlink>
          </w:p>
        </w:tc>
        <w:tc>
          <w:tcPr>
            <w:tcW w:w="78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r>
      <w:tr>
        <w:trPr>
          <w:trHeight w:val="270"/>
        </w:trPr>
        <w:tc>
          <w:tcPr>
            <w:tcW w:w="10420" w:type="dxa"/>
            <w:vAlign w:val="bottom"/>
          </w:tcPr>
          <w:p>
            <w:pPr>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Signatures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bl>
    <w:p>
      <w:pPr>
        <w:sectPr>
          <w:pgSz w:w="11900" w:h="16838" w:orient="portrait"/>
          <w:cols w:equalWidth="0" w:num="1">
            <w:col w:w="11200"/>
          </w:cols>
          <w:pgMar w:left="360" w:top="337"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December 31, 2019</w:t>
            </w:r>
          </w:p>
        </w:tc>
      </w:tr>
      <w:tr>
        <w:trPr>
          <w:trHeight w:val="26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371,991</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42,421</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aggregating $42,781 and $38,711,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644,738</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56,326</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costs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21,746</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Inventories and supplies</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216,532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214,744</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48,942</w:t>
            </w:r>
          </w:p>
        </w:tc>
      </w:tr>
      <w:tr>
        <w:trPr>
          <w:trHeight w:val="237"/>
        </w:trPr>
        <w:tc>
          <w:tcPr>
            <w:tcW w:w="81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1,486,476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1,400,908</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1,547,119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1,588,151</w:t>
            </w:r>
          </w:p>
        </w:tc>
      </w:tr>
      <w:tr>
        <w:trPr>
          <w:trHeight w:val="237"/>
        </w:trPr>
        <w:tc>
          <w:tcPr>
            <w:tcW w:w="810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162,206</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519,627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525,013</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Permits and other 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419,066</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13,560</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1,098,426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1,119,845</w:t>
            </w:r>
          </w:p>
        </w:tc>
      </w:tr>
      <w:tr>
        <w:trPr>
          <w:trHeight w:val="297"/>
        </w:trPr>
        <w:tc>
          <w:tcPr>
            <w:tcW w:w="81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4,132,021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4,108,904</w:t>
            </w:r>
          </w:p>
        </w:tc>
      </w:tr>
      <w:tr>
        <w:trPr>
          <w:trHeight w:val="257"/>
        </w:trPr>
        <w:tc>
          <w:tcPr>
            <w:tcW w:w="8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Current portion of long-term obligations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7,535</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298,375</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71,243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73,370</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276,540</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16,231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23,301</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40,979</w:t>
            </w:r>
          </w:p>
        </w:tc>
      </w:tr>
      <w:tr>
        <w:trPr>
          <w:trHeight w:val="237"/>
        </w:trPr>
        <w:tc>
          <w:tcPr>
            <w:tcW w:w="810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658,412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720,100</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Closure and post-closure liabilities, less current portion of $4,333 and $7,283, respectively</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76,106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68,368</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Remedial liabilities, less current portion of $11,898 and $16,018,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98,155</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Long-term obligations, less current portion</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1,702,992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1,554,116</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121,020</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269,091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277,332</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2,267,804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2,118,991</w:t>
            </w:r>
          </w:p>
        </w:tc>
      </w:tr>
      <w:tr>
        <w:trPr>
          <w:trHeight w:val="236"/>
        </w:trPr>
        <w:tc>
          <w:tcPr>
            <w:tcW w:w="8100" w:type="dxa"/>
            <w:vAlign w:val="bottom"/>
          </w:tcPr>
          <w:p>
            <w:pPr>
              <w:ind w:left="180"/>
              <w:spacing w:after="0"/>
              <w:rPr>
                <w:sz w:val="20"/>
                <w:szCs w:val="20"/>
                <w:color w:val="auto"/>
              </w:rPr>
            </w:pPr>
            <w:r>
              <w:rPr>
                <w:rFonts w:ascii="Arial" w:cs="Arial" w:eastAsia="Arial" w:hAnsi="Arial"/>
                <w:sz w:val="18"/>
                <w:szCs w:val="18"/>
                <w:color w:val="auto"/>
              </w:rPr>
              <w:t>Commitments and contingent liabilities (See Note 16)</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Common stock, $0.01 par value: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Authorized 80,000,000 shares; issued and outstanding 55,554,925 and 55,797,734 shares,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628,140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644,412</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(210,051)</w:t>
            </w:r>
          </w:p>
        </w:tc>
      </w:tr>
      <w:tr>
        <w:trPr>
          <w:trHeight w:val="243"/>
        </w:trPr>
        <w:tc>
          <w:tcPr>
            <w:tcW w:w="8100" w:type="dxa"/>
            <w:vAlign w:val="bottom"/>
          </w:tcPr>
          <w:p>
            <w:pPr>
              <w:ind w:left="360"/>
              <w:spacing w:after="0"/>
              <w:rPr>
                <w:sz w:val="20"/>
                <w:szCs w:val="20"/>
                <w:color w:val="auto"/>
              </w:rPr>
            </w:pPr>
            <w:r>
              <w:rPr>
                <w:rFonts w:ascii="Arial" w:cs="Arial" w:eastAsia="Arial" w:hAnsi="Arial"/>
                <w:sz w:val="18"/>
                <w:szCs w:val="18"/>
                <w:color w:val="auto"/>
              </w:rPr>
              <w:t>Accumulated earnings</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846,466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834,894</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1,205,805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1,269,813</w:t>
            </w:r>
          </w:p>
        </w:tc>
      </w:tr>
      <w:tr>
        <w:trPr>
          <w:trHeight w:val="257"/>
        </w:trPr>
        <w:tc>
          <w:tcPr>
            <w:tcW w:w="810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4,132,021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4,108,904</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240"/>
          </w:cols>
          <w:pgMar w:left="320" w:top="125" w:right="339" w:bottom="98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98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719,867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656,658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138,696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124,181</w:t>
            </w: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858,563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780,839</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492,716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463,483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100,881</w:t>
            </w: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606,666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564,364</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114,812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2,574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75,355</w:t>
            </w: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45,496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23,734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Loss on sale of businesses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 of $998 and $926, respectively</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(19,764)</w:t>
            </w:r>
          </w:p>
        </w:tc>
      </w:tr>
      <w:tr>
        <w:trPr>
          <w:trHeight w:val="236"/>
        </w:trPr>
        <w:tc>
          <w:tcPr>
            <w:tcW w:w="8220" w:type="dxa"/>
            <w:vAlign w:val="bottom"/>
          </w:tcPr>
          <w:p>
            <w:pPr>
              <w:ind w:left="180"/>
              <w:spacing w:after="0"/>
              <w:rPr>
                <w:sz w:val="20"/>
                <w:szCs w:val="20"/>
                <w:color w:val="auto"/>
              </w:rPr>
            </w:pPr>
            <w:r>
              <w:rPr>
                <w:rFonts w:ascii="Arial" w:cs="Arial" w:eastAsia="Arial" w:hAnsi="Arial"/>
                <w:sz w:val="18"/>
                <w:szCs w:val="18"/>
                <w:b w:val="1"/>
                <w:bCs w:val="1"/>
                <w:color w:val="auto"/>
              </w:rPr>
              <w:t>Income before provision for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21,270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5,977</w:t>
            </w:r>
          </w:p>
        </w:tc>
      </w:tr>
      <w:tr>
        <w:trPr>
          <w:trHeight w:val="297"/>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976</w:t>
            </w:r>
          </w:p>
        </w:tc>
      </w:tr>
      <w:tr>
        <w:trPr>
          <w:trHeight w:val="237"/>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4"/>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 used to compute earnings per share - Basic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55,757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55,848</w:t>
            </w: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used to compute earnings per share -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56,055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56,082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(losses) gains on 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Unrealized loss on interest rate hedge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losses on interest rate hedge included in 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8,540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4,024</w:t>
            </w:r>
          </w:p>
        </w:tc>
      </w:tr>
      <w:tr>
        <w:trPr>
          <w:trHeight w:val="257"/>
        </w:trPr>
        <w:tc>
          <w:tcPr>
            <w:tcW w:w="8220" w:type="dxa"/>
            <w:vAlign w:val="bottom"/>
          </w:tcPr>
          <w:p>
            <w:pPr>
              <w:ind w:left="180"/>
              <w:spacing w:after="0"/>
              <w:rPr>
                <w:sz w:val="20"/>
                <w:szCs w:val="20"/>
                <w:color w:val="auto"/>
              </w:rPr>
            </w:pPr>
            <w:r>
              <w:rPr>
                <w:rFonts w:ascii="Arial" w:cs="Arial" w:eastAsia="Arial" w:hAnsi="Arial"/>
                <w:sz w:val="18"/>
                <w:szCs w:val="18"/>
                <w:color w:val="auto"/>
              </w:rPr>
              <w:t>Comprehensive (loss)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5,000</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814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CLEAN HARBORS, INC. AND SUBSIDIARIES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8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60" w:type="dxa"/>
            <w:vAlign w:val="bottom"/>
          </w:tcPr>
          <w:p>
            <w:pPr>
              <w:spacing w:after="0"/>
              <w:rPr>
                <w:sz w:val="24"/>
                <w:szCs w:val="24"/>
                <w:color w:val="auto"/>
              </w:rPr>
            </w:pPr>
          </w:p>
        </w:tc>
        <w:tc>
          <w:tcPr>
            <w:tcW w:w="8140" w:type="dxa"/>
            <w:vAlign w:val="bottom"/>
          </w:tcPr>
          <w:p>
            <w:pPr>
              <w:jc w:val="center"/>
              <w:ind w:left="291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0" w:type="dxa"/>
            <w:vAlign w:val="bottom"/>
          </w:tcPr>
          <w:p>
            <w:pPr>
              <w:spacing w:after="0"/>
              <w:rPr>
                <w:sz w:val="23"/>
                <w:szCs w:val="23"/>
                <w:color w:val="auto"/>
              </w:rPr>
            </w:pPr>
          </w:p>
        </w:tc>
        <w:tc>
          <w:tcPr>
            <w:tcW w:w="8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6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11,572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976</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74,533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75,355</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Accretion of environmental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2,574</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Changes in environmental liability estimates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5,809</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sale of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Environmental expenditures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 net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140" w:type="dxa"/>
            <w:vAlign w:val="bottom"/>
          </w:tcPr>
          <w:p>
            <w:pPr>
              <w:ind w:left="540"/>
              <w:spacing w:after="0"/>
              <w:rPr>
                <w:sz w:val="20"/>
                <w:szCs w:val="20"/>
                <w:color w:val="auto"/>
              </w:rPr>
            </w:pPr>
            <w:r>
              <w:rPr>
                <w:rFonts w:ascii="Arial" w:cs="Arial" w:eastAsia="Arial" w:hAnsi="Arial"/>
                <w:sz w:val="18"/>
                <w:szCs w:val="18"/>
                <w:color w:val="auto"/>
              </w:rPr>
              <w:t>Accounts receivable and unbilled accounts receivable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12,086</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Inventories and supplies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3"/>
        </w:trPr>
        <w:tc>
          <w:tcPr>
            <w:tcW w:w="60" w:type="dxa"/>
            <w:vAlign w:val="bottom"/>
          </w:tcPr>
          <w:p>
            <w:pPr>
              <w:spacing w:after="0"/>
              <w:rPr>
                <w:sz w:val="21"/>
                <w:szCs w:val="21"/>
                <w:color w:val="auto"/>
              </w:rPr>
            </w:pPr>
          </w:p>
        </w:tc>
        <w:tc>
          <w:tcPr>
            <w:tcW w:w="8140" w:type="dxa"/>
            <w:vAlign w:val="bottom"/>
          </w:tcPr>
          <w:p>
            <w:pPr>
              <w:ind w:left="540"/>
              <w:spacing w:after="0"/>
              <w:rPr>
                <w:sz w:val="20"/>
                <w:szCs w:val="20"/>
                <w:color w:val="auto"/>
              </w:rPr>
            </w:pPr>
            <w:r>
              <w:rPr>
                <w:rFonts w:ascii="Arial" w:cs="Arial" w:eastAsia="Arial" w:hAnsi="Arial"/>
                <w:sz w:val="18"/>
                <w:szCs w:val="18"/>
                <w:color w:val="auto"/>
              </w:rPr>
              <w:t>Other current and non-current assets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(11,738)</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(27,956)</w:t>
            </w:r>
          </w:p>
        </w:tc>
      </w:tr>
      <w:tr>
        <w:trPr>
          <w:trHeight w:val="243"/>
        </w:trPr>
        <w:tc>
          <w:tcPr>
            <w:tcW w:w="60" w:type="dxa"/>
            <w:vAlign w:val="bottom"/>
          </w:tcPr>
          <w:p>
            <w:pPr>
              <w:spacing w:after="0"/>
              <w:rPr>
                <w:sz w:val="21"/>
                <w:szCs w:val="21"/>
                <w:color w:val="auto"/>
              </w:rPr>
            </w:pPr>
          </w:p>
        </w:tc>
        <w:tc>
          <w:tcPr>
            <w:tcW w:w="8140" w:type="dxa"/>
            <w:vAlign w:val="bottom"/>
          </w:tcPr>
          <w:p>
            <w:pPr>
              <w:ind w:left="540"/>
              <w:spacing w:after="0"/>
              <w:rPr>
                <w:sz w:val="20"/>
                <w:szCs w:val="20"/>
                <w:color w:val="auto"/>
              </w:rPr>
            </w:pPr>
            <w:r>
              <w:rPr>
                <w:rFonts w:ascii="Arial" w:cs="Arial" w:eastAsia="Arial" w:hAnsi="Arial"/>
                <w:sz w:val="18"/>
                <w:szCs w:val="18"/>
                <w:color w:val="auto"/>
              </w:rPr>
              <w:t>Other current and long-term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(17,088)</w:t>
            </w:r>
          </w:p>
        </w:tc>
      </w:tr>
      <w:tr>
        <w:trPr>
          <w:trHeight w:val="27"/>
        </w:trPr>
        <w:tc>
          <w:tcPr>
            <w:tcW w:w="6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8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29,740</w:t>
            </w:r>
          </w:p>
        </w:tc>
      </w:tr>
      <w:tr>
        <w:trPr>
          <w:trHeight w:val="236"/>
        </w:trPr>
        <w:tc>
          <w:tcPr>
            <w:tcW w:w="60" w:type="dxa"/>
            <w:vAlign w:val="bottom"/>
          </w:tcPr>
          <w:p>
            <w:pPr>
              <w:spacing w:after="0"/>
              <w:rPr>
                <w:sz w:val="20"/>
                <w:szCs w:val="20"/>
                <w:color w:val="auto"/>
              </w:rPr>
            </w:pPr>
          </w:p>
        </w:tc>
        <w:tc>
          <w:tcPr>
            <w:tcW w:w="8140" w:type="dxa"/>
            <w:vAlign w:val="bottom"/>
          </w:tcPr>
          <w:p>
            <w:pPr>
              <w:ind w:left="180"/>
              <w:spacing w:after="0"/>
              <w:rPr>
                <w:sz w:val="20"/>
                <w:szCs w:val="20"/>
                <w:color w:val="auto"/>
              </w:rPr>
            </w:pPr>
            <w:r>
              <w:rPr>
                <w:rFonts w:ascii="Arial" w:cs="Arial" w:eastAsia="Arial" w:hAnsi="Arial"/>
                <w:sz w:val="18"/>
                <w:szCs w:val="18"/>
                <w:color w:val="auto"/>
              </w:rPr>
              <w:t>Cash flows used in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(58,947)</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Proceeds from sale and disposal of fixed assets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4,321</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(14,870)</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Proceeds from sale of businesses, net of transactional costs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to intangible assets including costs to obtain or renew permits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Proceeds from sale of available-for-sale securities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8,600</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(12,941)</w:t>
            </w:r>
          </w:p>
        </w:tc>
      </w:tr>
      <w:tr>
        <w:trPr>
          <w:trHeight w:val="236"/>
        </w:trPr>
        <w:tc>
          <w:tcPr>
            <w:tcW w:w="60" w:type="dxa"/>
            <w:vAlign w:val="bottom"/>
          </w:tcPr>
          <w:p>
            <w:pPr>
              <w:spacing w:after="0"/>
              <w:rPr>
                <w:sz w:val="20"/>
                <w:szCs w:val="20"/>
                <w:color w:val="auto"/>
              </w:rPr>
            </w:pPr>
          </w:p>
        </w:tc>
        <w:tc>
          <w:tcPr>
            <w:tcW w:w="814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(93,087)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(74,969)</w:t>
            </w:r>
          </w:p>
        </w:tc>
      </w:tr>
      <w:tr>
        <w:trPr>
          <w:trHeight w:val="27"/>
        </w:trPr>
        <w:tc>
          <w:tcPr>
            <w:tcW w:w="6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flows from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Change in uncashed checks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 payments related to withholdings on vested restricted stock</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(6,324)</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on 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Principal payments on debt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(1,884)</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Borrowing from revolving credit facility</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60" w:type="dxa"/>
            <w:vAlign w:val="bottom"/>
          </w:tcPr>
          <w:p>
            <w:pPr>
              <w:spacing w:after="0"/>
              <w:rPr>
                <w:sz w:val="20"/>
                <w:szCs w:val="20"/>
                <w:color w:val="auto"/>
              </w:rPr>
            </w:pPr>
          </w:p>
        </w:tc>
        <w:tc>
          <w:tcPr>
            <w:tcW w:w="8140" w:type="dxa"/>
            <w:vAlign w:val="bottom"/>
          </w:tcPr>
          <w:p>
            <w:pPr>
              <w:ind w:left="540"/>
              <w:spacing w:after="0"/>
              <w:rPr>
                <w:sz w:val="20"/>
                <w:szCs w:val="20"/>
                <w:color w:val="auto"/>
              </w:rPr>
            </w:pPr>
            <w:r>
              <w:rPr>
                <w:rFonts w:ascii="Arial" w:cs="Arial" w:eastAsia="Arial" w:hAnsi="Arial"/>
                <w:sz w:val="18"/>
                <w:szCs w:val="18"/>
                <w:color w:val="auto"/>
              </w:rPr>
              <w:t>Net cash from (used in) financing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126,447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(15,368)</w:t>
            </w:r>
          </w:p>
        </w:tc>
      </w:tr>
      <w:tr>
        <w:trPr>
          <w:trHeight w:val="27"/>
        </w:trPr>
        <w:tc>
          <w:tcPr>
            <w:tcW w:w="6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 on cash</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w:t>
            </w:r>
          </w:p>
        </w:tc>
      </w:tr>
      <w:tr>
        <w:trPr>
          <w:trHeight w:val="236"/>
        </w:trPr>
        <w:tc>
          <w:tcPr>
            <w:tcW w:w="60" w:type="dxa"/>
            <w:vAlign w:val="bottom"/>
          </w:tcPr>
          <w:p>
            <w:pPr>
              <w:spacing w:after="0"/>
              <w:rPr>
                <w:sz w:val="20"/>
                <w:szCs w:val="20"/>
                <w:color w:val="auto"/>
              </w:rPr>
            </w:pPr>
          </w:p>
        </w:tc>
        <w:tc>
          <w:tcPr>
            <w:tcW w:w="8140" w:type="dxa"/>
            <w:vAlign w:val="bottom"/>
          </w:tcPr>
          <w:p>
            <w:pPr>
              <w:ind w:left="18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60,214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(59,136)</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371,991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226,507</w:t>
            </w:r>
          </w:p>
        </w:tc>
      </w:tr>
      <w:tr>
        <w:trPr>
          <w:trHeight w:val="297"/>
        </w:trPr>
        <w:tc>
          <w:tcPr>
            <w:tcW w:w="60" w:type="dxa"/>
            <w:vAlign w:val="bottom"/>
          </w:tcPr>
          <w:p>
            <w:pPr>
              <w:spacing w:after="0"/>
              <w:rPr>
                <w:sz w:val="24"/>
                <w:szCs w:val="24"/>
                <w:color w:val="auto"/>
              </w:rPr>
            </w:pPr>
          </w:p>
        </w:tc>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432,205</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167,371</w:t>
            </w:r>
          </w:p>
        </w:tc>
      </w:tr>
      <w:tr>
        <w:trPr>
          <w:trHeight w:val="237"/>
        </w:trPr>
        <w:tc>
          <w:tcPr>
            <w:tcW w:w="60" w:type="dxa"/>
            <w:vAlign w:val="bottom"/>
          </w:tcPr>
          <w:p>
            <w:pPr>
              <w:spacing w:after="0"/>
              <w:rPr>
                <w:sz w:val="20"/>
                <w:szCs w:val="20"/>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Supplemental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8140" w:type="dxa"/>
            <w:vAlign w:val="bottom"/>
          </w:tcPr>
          <w:p>
            <w:pPr>
              <w:ind w:left="180"/>
              <w:spacing w:after="0"/>
              <w:rPr>
                <w:sz w:val="20"/>
                <w:szCs w:val="20"/>
                <w:color w:val="auto"/>
              </w:rPr>
            </w:pPr>
            <w:r>
              <w:rPr>
                <w:rFonts w:ascii="Arial" w:cs="Arial" w:eastAsia="Arial" w:hAnsi="Arial"/>
                <w:sz w:val="18"/>
                <w:szCs w:val="18"/>
                <w:color w:val="auto"/>
              </w:rPr>
              <w:t>Cash payments for interest and income taxes: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8,712</w:t>
            </w: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967</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Property, plant and equipment accrued</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13,002</w:t>
            </w:r>
          </w:p>
        </w:tc>
      </w:tr>
      <w:tr>
        <w:trPr>
          <w:trHeight w:val="27"/>
        </w:trPr>
        <w:tc>
          <w:tcPr>
            <w:tcW w:w="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ROU assets obtained in exchange for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r>
      <w:tr>
        <w:trPr>
          <w:trHeight w:val="243"/>
        </w:trPr>
        <w:tc>
          <w:tcPr>
            <w:tcW w:w="60" w:type="dxa"/>
            <w:vAlign w:val="bottom"/>
          </w:tcPr>
          <w:p>
            <w:pPr>
              <w:spacing w:after="0"/>
              <w:rPr>
                <w:sz w:val="21"/>
                <w:szCs w:val="21"/>
                <w:color w:val="auto"/>
              </w:rPr>
            </w:pPr>
          </w:p>
        </w:tc>
        <w:tc>
          <w:tcPr>
            <w:tcW w:w="8140" w:type="dxa"/>
            <w:vAlign w:val="bottom"/>
          </w:tcPr>
          <w:p>
            <w:pPr>
              <w:ind w:left="180"/>
              <w:spacing w:after="0"/>
              <w:rPr>
                <w:sz w:val="20"/>
                <w:szCs w:val="20"/>
                <w:color w:val="auto"/>
              </w:rPr>
            </w:pPr>
            <w:r>
              <w:rPr>
                <w:rFonts w:ascii="Arial" w:cs="Arial" w:eastAsia="Arial" w:hAnsi="Arial"/>
                <w:sz w:val="18"/>
                <w:szCs w:val="18"/>
                <w:color w:val="auto"/>
              </w:rPr>
              <w:t>ROU assets obtained in exchange for finance lease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23,027</w:t>
            </w:r>
          </w:p>
        </w:tc>
      </w:tr>
      <w:tr>
        <w:trPr>
          <w:trHeight w:val="243"/>
        </w:trPr>
        <w:tc>
          <w:tcPr>
            <w:tcW w:w="60" w:type="dxa"/>
            <w:vAlign w:val="bottom"/>
          </w:tcPr>
          <w:p>
            <w:pPr>
              <w:spacing w:after="0"/>
              <w:rPr>
                <w:sz w:val="21"/>
                <w:szCs w:val="21"/>
                <w:color w:val="auto"/>
              </w:rPr>
            </w:pPr>
          </w:p>
        </w:tc>
        <w:tc>
          <w:tcPr>
            <w:tcW w:w="9700" w:type="dxa"/>
            <w:vAlign w:val="bottom"/>
            <w:gridSpan w:val="4"/>
          </w:tcPr>
          <w:p>
            <w:pPr>
              <w:jc w:val="center"/>
              <w:ind w:left="1330"/>
              <w:spacing w:after="0"/>
              <w:rPr>
                <w:sz w:val="20"/>
                <w:szCs w:val="20"/>
                <w:color w:val="auto"/>
              </w:rPr>
            </w:pPr>
            <w:r>
              <w:rPr>
                <w:rFonts w:ascii="Arial" w:cs="Arial" w:eastAsia="Arial" w:hAnsi="Arial"/>
                <w:sz w:val="18"/>
                <w:szCs w:val="18"/>
                <w:color w:val="auto"/>
                <w:w w:val="89"/>
              </w:rPr>
              <w:t>The accompanying notes are an integral part of these unaudited consolidated financial statements.</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09"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00"/>
          </w:cols>
          <w:pgMar w:left="320" w:top="125" w:right="379" w:bottom="109"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3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3"/>
                <w:szCs w:val="13"/>
                <w:color w:val="auto"/>
              </w:rPr>
            </w:pPr>
          </w:p>
        </w:tc>
        <w:tc>
          <w:tcPr>
            <w:tcW w:w="820" w:type="dxa"/>
            <w:vAlign w:val="bottom"/>
          </w:tcPr>
          <w:p>
            <w:pPr>
              <w:jc w:val="center"/>
              <w:ind w:right="375"/>
              <w:spacing w:after="0" w:line="153" w:lineRule="exact"/>
              <w:rPr>
                <w:sz w:val="20"/>
                <w:szCs w:val="20"/>
                <w:color w:val="auto"/>
              </w:rPr>
            </w:pPr>
            <w:r>
              <w:rPr>
                <w:rFonts w:ascii="Arial" w:cs="Arial" w:eastAsia="Arial" w:hAnsi="Arial"/>
                <w:sz w:val="14"/>
                <w:szCs w:val="14"/>
                <w:b w:val="1"/>
                <w:bCs w:val="1"/>
                <w:color w:val="auto"/>
                <w:w w:val="92"/>
              </w:rPr>
              <w:t>$ 0.01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40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Par</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6"/>
                <w:szCs w:val="16"/>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55,798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1,269,813</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Issuance of common stock for restricted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vesting, net of employee tax</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withholdings</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55,555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628,140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846,466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1,205,805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280" w:type="dxa"/>
            <w:vAlign w:val="bottom"/>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3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3"/>
                <w:szCs w:val="13"/>
                <w:color w:val="auto"/>
              </w:rPr>
            </w:pPr>
          </w:p>
        </w:tc>
        <w:tc>
          <w:tcPr>
            <w:tcW w:w="820" w:type="dxa"/>
            <w:vAlign w:val="bottom"/>
          </w:tcPr>
          <w:p>
            <w:pPr>
              <w:jc w:val="center"/>
              <w:ind w:right="375"/>
              <w:spacing w:after="0" w:line="153" w:lineRule="exact"/>
              <w:rPr>
                <w:sz w:val="20"/>
                <w:szCs w:val="20"/>
                <w:color w:val="auto"/>
              </w:rPr>
            </w:pPr>
            <w:r>
              <w:rPr>
                <w:rFonts w:ascii="Arial" w:cs="Arial" w:eastAsia="Arial" w:hAnsi="Arial"/>
                <w:sz w:val="14"/>
                <w:szCs w:val="14"/>
                <w:b w:val="1"/>
                <w:bCs w:val="1"/>
                <w:color w:val="auto"/>
                <w:w w:val="92"/>
              </w:rPr>
              <w:t>$ 0.01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40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Par</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6"/>
                <w:szCs w:val="16"/>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55,847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1,169,756</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Issuance of common stock for restricted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vesting, net of employee tax</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withholdings</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55,828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652,624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738,130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1,171,965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40" w:firstLine="621"/>
        <w:spacing w:after="0" w:line="271" w:lineRule="auto"/>
        <w:rPr>
          <w:sz w:val="20"/>
          <w:szCs w:val="20"/>
          <w:color w:val="auto"/>
        </w:rPr>
      </w:pPr>
      <w:r>
        <w:rPr>
          <w:rFonts w:ascii="Arial" w:cs="Arial" w:eastAsia="Arial" w:hAnsi="Arial"/>
          <w:sz w:val="17"/>
          <w:szCs w:val="17"/>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2019.</w:t>
      </w:r>
    </w:p>
    <w:p>
      <w:pPr>
        <w:spacing w:after="0" w:line="178" w:lineRule="exact"/>
        <w:rPr>
          <w:sz w:val="20"/>
          <w:szCs w:val="20"/>
          <w:color w:val="auto"/>
        </w:rPr>
      </w:pPr>
    </w:p>
    <w:p>
      <w:pPr>
        <w:ind w:right="60" w:firstLine="621"/>
        <w:spacing w:after="0" w:line="254" w:lineRule="auto"/>
        <w:rPr>
          <w:sz w:val="20"/>
          <w:szCs w:val="20"/>
          <w:color w:val="auto"/>
        </w:rPr>
      </w:pPr>
      <w:r>
        <w:rPr>
          <w:rFonts w:ascii="Arial" w:cs="Arial" w:eastAsia="Arial" w:hAnsi="Arial"/>
          <w:sz w:val="18"/>
          <w:szCs w:val="18"/>
          <w:color w:val="auto"/>
        </w:rPr>
        <w:t>A novel strain of coronavirus ("COVID-19") was first identified in December 2019, and subsequently declared a global pandemic by the World Health Organization on March 11, 2020. As a result of the outbreak, many companies have experienced disruptions in their operations, workforce and markets served, including a significant reduction in the demand for petroleum-based products. The Company's businesses and operations began being adversely impacted by effects of COVID-19 in March of 2020 when circumstances surrounding and responses to the pandemic, including stay-at-home orders, began to materialize in North America. These disruptions are expected to have a significant adverse impact on the Company's operating results during the second quarter of 2020 and the remainder of the year. The full extent of the COVID-19 outbreak and changes in demand for oil and the impact on the Company’s operations is uncertain. A prolonged disruption could have a material adverse impact on financial results and business operations of the Company.</w:t>
      </w:r>
    </w:p>
    <w:p>
      <w:pPr>
        <w:spacing w:after="0" w:line="192" w:lineRule="exact"/>
        <w:rPr>
          <w:sz w:val="20"/>
          <w:szCs w:val="20"/>
          <w:color w:val="auto"/>
        </w:rPr>
      </w:pPr>
    </w:p>
    <w:p>
      <w:pPr>
        <w:ind w:right="40" w:firstLine="621"/>
        <w:spacing w:after="0" w:line="259" w:lineRule="auto"/>
        <w:rPr>
          <w:sz w:val="20"/>
          <w:szCs w:val="20"/>
          <w:color w:val="auto"/>
        </w:rPr>
      </w:pPr>
      <w:r>
        <w:rPr>
          <w:rFonts w:ascii="Arial" w:cs="Arial" w:eastAsia="Arial" w:hAnsi="Arial"/>
          <w:sz w:val="18"/>
          <w:szCs w:val="18"/>
          <w:color w:val="auto"/>
        </w:rPr>
        <w:t>In addition and in response to the COVID-19 outbreak, the Company has seen increased demand in emergency response services. Specifically the Company is addressing the safety of its customers and communities by providing contagion decontamination services. In conducting these services, employee safety is paramount and the Company has been able to provide appropriate personal protective equipment and support to those performing these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2019. There have been no material changes in these policies or their application except for the changes described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Landfill Accounting</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i w:val="1"/>
          <w:iCs w:val="1"/>
          <w:color w:val="auto"/>
        </w:rPr>
        <w:t xml:space="preserve">Landfill capacity - </w:t>
      </w:r>
      <w:r>
        <w:rPr>
          <w:rFonts w:ascii="Arial" w:cs="Arial" w:eastAsia="Arial" w:hAnsi="Arial"/>
          <w:sz w:val="18"/>
          <w:szCs w:val="18"/>
          <w:color w:val="auto"/>
        </w:rPr>
        <w:t>As of March 31, 2020, the Company initiated a plan to close one of the Company's commercial landfill sites. The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will nominally reduce the Company's remaining highly probable airspace. See Note 9, "Closure and Post-Closure Liabilities,"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4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generates revenues through its Environmental Services and Safety-Kleen operating segments. The Company's Environmental Services operating segment generally has the following three sources of revenue:</w:t>
      </w:r>
    </w:p>
    <w:p>
      <w:pPr>
        <w:spacing w:after="0" w:line="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Technical Services</w:t>
      </w:r>
      <w:r>
        <w:rPr>
          <w:rFonts w:ascii="Arial" w:cs="Arial" w:eastAsia="Arial" w:hAnsi="Arial"/>
          <w:sz w:val="17"/>
          <w:szCs w:val="17"/>
          <w:color w:val="auto"/>
        </w:rPr>
        <w:t>—Technical Services revenues are generated from fees charged for waste material management and disposal services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125" w:right="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from waste that is not yet completely processed and disposed and the related costs are deferred. The deferred revenues and costs are recognized when the related services are completed. The period between collection and transportation and the final processing and disposal ranges depending on location of the customer, but generally is measured in days.</w:t>
      </w:r>
    </w:p>
    <w:p>
      <w:pPr>
        <w:spacing w:after="0" w:line="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Field and Emergency Response Services</w:t>
      </w:r>
      <w:r>
        <w:rPr>
          <w:rFonts w:ascii="Arial" w:cs="Arial" w:eastAsia="Arial" w:hAnsi="Arial"/>
          <w:sz w:val="16"/>
          <w:szCs w:val="16"/>
          <w:color w:val="auto"/>
        </w:rPr>
        <w:t>—Field Services revenues are generated from cleanup services at customer sites, including municipalities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contamination or pandemic related emergencies include any scale from man-made disasters such as oil spills, to natural disasters such as hurricanes. More recently demand has increased for projects involving contagion decontamination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8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i w:val="1"/>
          <w:iCs w:val="1"/>
          <w:color w:val="auto"/>
        </w:rPr>
        <w:t>Industrial Services and Other</w:t>
      </w:r>
      <w:r>
        <w:rPr>
          <w:rFonts w:ascii="Arial" w:cs="Arial" w:eastAsia="Arial" w:hAnsi="Arial"/>
          <w:sz w:val="17"/>
          <w:szCs w:val="17"/>
          <w:color w:val="auto"/>
        </w:rPr>
        <w:t>—Industrial Services revenues are primarily generated from industrial and specialty services provided to refineries,</w:t>
      </w:r>
      <w:r>
        <w:rPr>
          <w:rFonts w:ascii="Arial" w:cs="Arial" w:eastAsia="Arial" w:hAnsi="Arial"/>
          <w:sz w:val="17"/>
          <w:szCs w:val="17"/>
          <w:i w:val="1"/>
          <w:iCs w:val="1"/>
          <w:color w:val="auto"/>
        </w:rPr>
        <w:t xml:space="preserve"> </w:t>
      </w:r>
      <w:r>
        <w:rPr>
          <w:rFonts w:ascii="Arial" w:cs="Arial" w:eastAsia="Arial" w:hAnsi="Arial"/>
          <w:sz w:val="17"/>
          <w:szCs w:val="17"/>
          <w:color w:val="auto"/>
        </w:rPr>
        <w:t>mines, upgraders, chemical 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upstream energy services, such as exploration and drilling for industrial oil and gas customers.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Safety-Kleen operating segment generally has the following two sources of revenue:</w:t>
      </w:r>
    </w:p>
    <w:p>
      <w:pPr>
        <w:spacing w:after="0" w:line="14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Safety-Kleen Environmental Services</w:t>
      </w:r>
      <w:r>
        <w:rPr>
          <w:rFonts w:ascii="Arial" w:cs="Arial" w:eastAsia="Arial" w:hAnsi="Arial"/>
          <w:sz w:val="17"/>
          <w:szCs w:val="17"/>
          <w:color w:val="auto"/>
        </w:rPr>
        <w:t>—Safety-Kleen Environmental Services revenues are generated from providing parts washer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containerized waste handling and disposal services, oil collection services, vacuum services, direct sales of blended oil products and other complementary services and product sales. Containerized waste services consist of profiling, collecting, transporting and recycling or disposing of a wide variety of waste. Other products and services include sale of complementary supply products including automotive fluids and shop supplies and other environmental services.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0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Safety-Kleen Oil</w:t>
      </w:r>
      <w:r>
        <w:rPr>
          <w:rFonts w:ascii="Arial" w:cs="Arial" w:eastAsia="Arial" w:hAnsi="Arial"/>
          <w:sz w:val="18"/>
          <w:szCs w:val="18"/>
          <w:color w:val="auto"/>
        </w:rPr>
        <w:t>—Revenues from Safety-Kleen Oil are generated from sales of high-quality base and blended lubricating oils to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disaggregate the Company's third party revenues by geographic location and source of revenue as we believe these categories depict how revenue and cash flows are affected by economic factors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Three Months Ended March 31, 2020</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Environmental Services</w:t>
            </w:r>
          </w:p>
        </w:tc>
        <w:tc>
          <w:tcPr>
            <w:tcW w:w="240" w:type="dxa"/>
            <w:vAlign w:val="bottom"/>
          </w:tcPr>
          <w:p>
            <w:pPr>
              <w:spacing w:after="0"/>
              <w:rPr>
                <w:sz w:val="22"/>
                <w:szCs w:val="22"/>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41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United States</w:t>
            </w:r>
          </w:p>
        </w:tc>
        <w:tc>
          <w:tcPr>
            <w:tcW w:w="560" w:type="dxa"/>
            <w:vAlign w:val="bottom"/>
            <w:tcBorders>
              <w:top w:val="single" w:sz="8" w:color="CCEEFF"/>
            </w:tcBorders>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440,014</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306,533</w:t>
            </w: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746,245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620" w:type="dxa"/>
            <w:vAlign w:val="bottom"/>
            <w:tcBorders>
              <w:bottom w:val="single" w:sz="8" w:color="CCEEFF"/>
            </w:tcBorders>
            <w:gridSpan w:val="2"/>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528,104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330,369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858,563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color w:val="auto"/>
                <w:vertAlign w:val="superscript"/>
              </w:rPr>
              <w:t>(1)</w:t>
            </w: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275,273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5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105,912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5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214,481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214,481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5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528,104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330,369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858,563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Three Months Ended March 31, 2019</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Environmental Services</w:t>
            </w:r>
          </w:p>
        </w:tc>
        <w:tc>
          <w:tcPr>
            <w:tcW w:w="240" w:type="dxa"/>
            <w:vAlign w:val="bottom"/>
          </w:tcPr>
          <w:p>
            <w:pPr>
              <w:spacing w:after="0"/>
              <w:rPr>
                <w:sz w:val="22"/>
                <w:szCs w:val="22"/>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5"/>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2"/>
                <w:shd w:val="clear" w:color="auto" w:fill="CCEEFF"/>
              </w:rPr>
              <w:t>Primary Geographical Markets</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41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United States</w:t>
            </w:r>
          </w:p>
        </w:tc>
        <w:tc>
          <w:tcPr>
            <w:tcW w:w="560" w:type="dxa"/>
            <w:vAlign w:val="bottom"/>
            <w:tcBorders>
              <w:top w:val="single" w:sz="8" w:color="CCEEFF"/>
            </w:tcBorders>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388,169</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286,574</w:t>
            </w: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594</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675,337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620" w:type="dxa"/>
            <w:vAlign w:val="bottom"/>
            <w:tcBorders>
              <w:bottom w:val="single" w:sz="8" w:color="CCEEFF"/>
            </w:tcBorders>
            <w:gridSpan w:val="2"/>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473,698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306,547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780,839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color w:val="auto"/>
                <w:vertAlign w:val="superscript"/>
              </w:rPr>
              <w:t>(1)</w:t>
            </w: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5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71,626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1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Industrial Services and Other </w:t>
            </w:r>
            <w:r>
              <w:rPr>
                <w:rFonts w:ascii="Arial" w:cs="Arial" w:eastAsia="Arial" w:hAnsi="Arial"/>
                <w:sz w:val="25"/>
                <w:szCs w:val="25"/>
                <w:color w:val="auto"/>
                <w:vertAlign w:val="superscript"/>
              </w:rPr>
              <w:t>(2)</w:t>
            </w: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150,747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5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207,083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207,083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5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99,464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99,464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473,698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306,547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780,839</w:t>
            </w:r>
          </w:p>
        </w:tc>
        <w:tc>
          <w:tcPr>
            <w:tcW w:w="0" w:type="dxa"/>
            <w:vAlign w:val="bottom"/>
          </w:tcPr>
          <w:p>
            <w:pPr>
              <w:spacing w:after="0"/>
              <w:rPr>
                <w:sz w:val="1"/>
                <w:szCs w:val="1"/>
                <w:color w:val="auto"/>
              </w:rPr>
            </w:pPr>
          </w:p>
        </w:tc>
      </w:tr>
      <w:tr>
        <w:trPr>
          <w:trHeight w:val="27"/>
        </w:trPr>
        <w:tc>
          <w:tcPr>
            <w:tcW w:w="1540" w:type="dxa"/>
            <w:vAlign w:val="bottom"/>
            <w:gridSpan w:val="2"/>
            <w:vMerge w:val="restart"/>
          </w:tcPr>
          <w:p>
            <w:pPr>
              <w:jc w:val="right"/>
              <w:ind w:right="11"/>
              <w:spacing w:after="0"/>
              <w:rPr>
                <w:sz w:val="20"/>
                <w:szCs w:val="20"/>
                <w:color w:val="auto"/>
              </w:rPr>
            </w:pPr>
            <w:r>
              <w:rPr>
                <w:rFonts w:ascii="Arial" w:cs="Arial" w:eastAsia="Arial" w:hAnsi="Arial"/>
                <w:sz w:val="18"/>
                <w:szCs w:val="18"/>
                <w:color w:val="auto"/>
                <w:w w:val="88"/>
              </w:rPr>
              <w:t>________________</w:t>
            </w:r>
          </w:p>
        </w:tc>
        <w:tc>
          <w:tcPr>
            <w:tcW w:w="920" w:type="dxa"/>
            <w:vAlign w:val="bottom"/>
            <w:vMerge w:val="restart"/>
          </w:tcPr>
          <w:p>
            <w:pPr>
              <w:spacing w:after="0"/>
              <w:rPr>
                <w:sz w:val="2"/>
                <w:szCs w:val="2"/>
                <w:color w:val="auto"/>
              </w:rPr>
            </w:pPr>
          </w:p>
        </w:tc>
        <w:tc>
          <w:tcPr>
            <w:tcW w:w="170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18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spacing w:after="0" w:line="1" w:lineRule="exact"/>
        <w:rPr>
          <w:rFonts w:ascii="Arial" w:cs="Arial" w:eastAsia="Arial" w:hAnsi="Arial"/>
          <w:sz w:val="18"/>
          <w:szCs w:val="18"/>
          <w:color w:val="auto"/>
        </w:rPr>
      </w:pPr>
    </w:p>
    <w:p>
      <w:pPr>
        <w:ind w:right="300" w:firstLine="8"/>
        <w:spacing w:after="0" w:line="26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revenues of $34,055 and $594, respectively, previously reported as Oil, Gas and Lodging Services and Other for the three months ended March 31, 2019 are now disclosed within Industrial Services and Other based on relative materiality to the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658,482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644,738</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Contract assets (unbilled receivables)</w:t>
            </w:r>
          </w:p>
        </w:tc>
        <w:tc>
          <w:tcPr>
            <w:tcW w:w="20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51,215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56,326</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71,243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73,370</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w:t>
      </w:r>
    </w:p>
    <w:p>
      <w:pPr>
        <w:sectPr>
          <w:pgSz w:w="11900" w:h="16838" w:orient="portrait"/>
          <w:cols w:equalWidth="0" w:num="1">
            <w:col w:w="11240"/>
          </w:cols>
          <w:pgMar w:left="320" w:top="125" w:right="3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9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On May 31, 2019, the Company acquired a privately-owned business for $14.8 million cash consideration. The acquired company expands the environmental services and hazardous materials management services of the Company and is included in the Environmental Services segment. In connection with this acquisition, a preliminary goodwill amount of $7.4 million was recognized.</w:t>
      </w:r>
    </w:p>
    <w:p>
      <w:pPr>
        <w:spacing w:after="0" w:line="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March 1, 2019, the Company acquired certain assets of a privately-owned business for $10.4 million cash consideration. The acquired business complements the Safety-Kleen segment's core service offerings, such as used motor oil collection, parts washers, oil filter recycling and vacuum services. In connection with this acquisition, a goodwill amount of $5.2 million was recognized.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SUPPLIES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oil related products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75,408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Supplies and drums</w:t>
            </w:r>
          </w:p>
        </w:tc>
        <w:tc>
          <w:tcPr>
            <w:tcW w:w="2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116,526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115,128</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Solvent and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13,680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14,235</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216,532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214,744</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Supplies and drums consist primarily of drums and containers used in providing the Company's products and services as well as critical spare parts to support the Company's incinerator and re-refinery operations. Other inventories consisted primarily of parts washer components, cleaning fluids, absorbents and automotive fluids, such as windshield washer fluid and antifreeze.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0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131,023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15,924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182,276</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491,415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499,159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158,277</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Vehicles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782,669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785,056</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1,779,366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36,679</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3,527,280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3,593,814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1,980,161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2,005,663</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1,547,119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1,588,151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$8.0 million and $31.0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$23.5 million and $2.4 million, respectively.</w:t>
      </w:r>
    </w:p>
    <w:p>
      <w:pPr>
        <w:spacing w:after="0" w:line="13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Depreciation expense, inclusive of landfill and finance lease amortization, was $65.4 million and $65.9 million for the three months ended March 31, 2020 and March 31, 2019, respectively.</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three months ended March 31, 2020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60" w:type="dxa"/>
            <w:vAlign w:val="bottom"/>
          </w:tcPr>
          <w:p>
            <w:pPr>
              <w:spacing w:after="0"/>
              <w:rPr>
                <w:sz w:val="14"/>
                <w:szCs w:val="14"/>
                <w:color w:val="auto"/>
              </w:rPr>
            </w:pPr>
          </w:p>
        </w:tc>
        <w:tc>
          <w:tcPr>
            <w:tcW w:w="9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Services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212,531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525,013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from disposition of businesses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209,713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309,914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519,627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assesses goodwill for impairment on an annual basis as of December 31 or at an interim date when events or changes in the business environment (triggering events) would more likely than not reduce the fair value of a reporting unit below its carrying value. During the period ended March 31, 2020, the Company considered the effects of COVID-19 and evolving changes in demand and pricing for oil, but concluded that there were no triggering events requiring an impairment assessment. This conclusion was based on a qualitative analysis incorporating (i) the significant excess fair value that previously existed in each reporting unit and (ii) assessing the current and long-term performance of the Company given the expectation that these negative effects on the operations and cash flows of each reporting unit arising from COVID-19 related disruptions will be short lived.</w:t>
      </w:r>
    </w:p>
    <w:p>
      <w:pPr>
        <w:spacing w:after="0" w:line="83"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 will continue to evaluate the impact of macroeconomic conditions including, but not limited to, the impact of the COVID-19 pandemic on the Company, customers and the greater economy as well as the impact on trends of oil demand. If these macroeconomic conditions are protracted or result in significant changes in demand for our products and services, a goodwill impairment might be identified and the amount might be material.</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and December 31, 2019, the Company's intangible assets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December 31, 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181,095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184,235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97,007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w w:val="95"/>
              </w:rPr>
              <w:t>386,197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199,915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186,282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401,696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207,884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193,812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amortizable permits and other intangible assets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5"/>
              </w:rPr>
              <w:t>603,924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319,140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284,784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624,262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328,130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296,132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122,097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122,097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122,934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122,934</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726,021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319,140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406,881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747,196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328,130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419,066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Amortization expense of permits and other intangible assets was $9.2 million and $9.5 million in the three months ended March 31, 2020 and March 31, 2019, respectively.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expected amortization of the net carrying amount of finite-lived intangible assets at March 31, 2020 was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0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Expected Amortization</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(nine months)</w:t>
            </w:r>
          </w:p>
        </w:tc>
        <w:tc>
          <w:tcPr>
            <w:tcW w:w="65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24,393</w:t>
            </w:r>
          </w:p>
        </w:tc>
        <w:tc>
          <w:tcPr>
            <w:tcW w:w="0" w:type="dxa"/>
            <w:vAlign w:val="bottom"/>
          </w:tcPr>
          <w:p>
            <w:pPr>
              <w:spacing w:after="0"/>
              <w:rPr>
                <w:sz w:val="1"/>
                <w:szCs w:val="1"/>
                <w:color w:val="auto"/>
              </w:rPr>
            </w:pPr>
          </w:p>
        </w:tc>
      </w:tr>
      <w:tr>
        <w:trPr>
          <w:trHeight w:val="243"/>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190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2022</w:t>
            </w:r>
          </w:p>
        </w:tc>
        <w:tc>
          <w:tcPr>
            <w:tcW w:w="19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243"/>
        </w:trPr>
        <w:tc>
          <w:tcPr>
            <w:tcW w:w="1740" w:type="dxa"/>
            <w:vAlign w:val="bottom"/>
            <w:gridSpan w:val="2"/>
          </w:tcPr>
          <w:p>
            <w:pPr>
              <w:ind w:left="80"/>
              <w:spacing w:after="0"/>
              <w:rPr>
                <w:sz w:val="20"/>
                <w:szCs w:val="20"/>
                <w:color w:val="auto"/>
              </w:rPr>
            </w:pPr>
            <w:r>
              <w:rPr>
                <w:rFonts w:ascii="Arial" w:cs="Arial" w:eastAsia="Arial" w:hAnsi="Arial"/>
                <w:sz w:val="18"/>
                <w:szCs w:val="18"/>
                <w:color w:val="auto"/>
              </w:rPr>
              <w:t>2023</w:t>
            </w:r>
          </w:p>
        </w:tc>
        <w:tc>
          <w:tcPr>
            <w:tcW w:w="190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2024</w:t>
            </w:r>
          </w:p>
        </w:tc>
        <w:tc>
          <w:tcPr>
            <w:tcW w:w="19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74,376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21,222</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72,473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income, real estate, sales and other taxes</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41,751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35,749</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72,720</w:t>
            </w:r>
          </w:p>
        </w:tc>
      </w:tr>
      <w:tr>
        <w:trPr>
          <w:trHeight w:val="237"/>
        </w:trPr>
        <w:tc>
          <w:tcPr>
            <w:tcW w:w="7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255,513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276,540</w:t>
            </w: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28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2020 through March 31, 2020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Non-Landfill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4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75,651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New asset retirement obligations</w:t>
            </w: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36,537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80,439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400" w:firstLine="648"/>
        <w:spacing w:after="0" w:line="311" w:lineRule="auto"/>
        <w:rPr>
          <w:sz w:val="20"/>
          <w:szCs w:val="20"/>
          <w:color w:val="auto"/>
        </w:rPr>
      </w:pPr>
      <w:r>
        <w:rPr>
          <w:rFonts w:ascii="Arial" w:cs="Arial" w:eastAsia="Arial" w:hAnsi="Arial"/>
          <w:sz w:val="16"/>
          <w:szCs w:val="16"/>
          <w:color w:val="auto"/>
        </w:rPr>
        <w:t>As of March 31, 2020, the Company initiated a plan to close one of its the commercial landfill sites resulting in a $4.2 million increase to the related closure and post closure liability. The remaining ten landfill facilities remain active as of March 31, 2020. In the three months ended March 31, 2020, other than this charge, there were no significant charges (benefits) resulting from changes in estimates for closure and post-closure liabilities.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New asset retirement obligations incurred during the first three months of 2020 were discounted at the credit-adjusted risk-free rate of 5.60%.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from January 1, 2020 through March 31, 2020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(Including</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Liabilities for</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28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Landfill Sites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114,173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60,929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48,076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110,864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three months ended March 31, 2020, there were no significant charges (benefits) resulting from changes in estimates for remedial liabilities.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Current Obligations:</w:t>
            </w:r>
          </w:p>
        </w:tc>
        <w:tc>
          <w:tcPr>
            <w:tcW w:w="2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9"/>
                <w:szCs w:val="19"/>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0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Secured senior term loans ("Term Loans")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7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Obligations: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Secured senior Term Loans due June 30, 2024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725,278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727,162</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Unsecured senior notes, at 4.875%, due July 15, 2027 ("2027 Notes")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545,000</w:t>
            </w:r>
          </w:p>
        </w:tc>
      </w:tr>
      <w:tr>
        <w:trPr>
          <w:trHeight w:val="243"/>
        </w:trPr>
        <w:tc>
          <w:tcPr>
            <w:tcW w:w="40" w:type="dxa"/>
            <w:vAlign w:val="bottom"/>
          </w:tcPr>
          <w:p>
            <w:pPr>
              <w:spacing w:after="0"/>
              <w:rPr>
                <w:sz w:val="21"/>
                <w:szCs w:val="21"/>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Unsecured senior notes, at 5.125%, due July 15, 2029 ("2029 Notes")</w:t>
            </w:r>
          </w:p>
        </w:tc>
        <w:tc>
          <w:tcPr>
            <w:tcW w:w="2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300,000</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Long-term obligations, at par</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1,720,278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1,572,162</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 and premium, net</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(18,046)</w:t>
            </w:r>
          </w:p>
        </w:tc>
      </w:tr>
      <w:tr>
        <w:trPr>
          <w:trHeight w:val="257"/>
        </w:trPr>
        <w:tc>
          <w:tcPr>
            <w:tcW w:w="40" w:type="dxa"/>
            <w:vAlign w:val="bottom"/>
          </w:tcPr>
          <w:p>
            <w:pPr>
              <w:spacing w:after="0"/>
              <w:rPr>
                <w:sz w:val="22"/>
                <w:szCs w:val="22"/>
                <w:color w:val="auto"/>
              </w:rPr>
            </w:pPr>
          </w:p>
        </w:tc>
        <w:tc>
          <w:tcPr>
            <w:tcW w:w="7940" w:type="dxa"/>
            <w:vAlign w:val="bottom"/>
            <w:gridSpan w:val="3"/>
          </w:tcPr>
          <w:p>
            <w:pPr>
              <w:spacing w:after="0"/>
              <w:rPr>
                <w:sz w:val="20"/>
                <w:szCs w:val="20"/>
                <w:color w:val="auto"/>
              </w:rPr>
            </w:pPr>
            <w:r>
              <w:rPr>
                <w:rFonts w:ascii="Arial" w:cs="Arial" w:eastAsia="Arial" w:hAnsi="Arial"/>
                <w:sz w:val="18"/>
                <w:szCs w:val="18"/>
                <w:color w:val="auto"/>
              </w:rPr>
              <w:t>Long-term obligations, at carrying value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1,702,992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1,554,116</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March 31, 2020 and December 31, 2019, the estimated fair value of the Company’s outstanding long-term obligations, including the current portion, was $1.7 billion and $1.6 billion, respectively. The Company’s estimates of fair value of its long-term obligations,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07"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The Company maintains a $400.0 million revolving credit facility expiring November 1, 2021. On March 31, 2020, the Company drew down $150.0 million on the revolving credit facility out of an abundance of caution given the macroeconomic uncertainties surrounding the COVID-19 global pandemic. As of March 31, 2020, the Company had $80.7 million available to borrow under the revolving credit facility and outstanding letters of credit were $141.2 million. At December 31, 2019, $229.2 million was available to borrow and outstanding letters of credit were $146.9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Company’s strategy to hedge against fluctuations in variable interest rates involves entering into interest rate derivative agreements. Although the interest rate on the Term Loans is variable, the Company has effectively fixed the interest rate on $350.0 million aggregate principal amount of the Term Loans outstanding by entering into interest rate swap agreements in 2018 with a notional amount of $350.0 million. Under the terms of the interest rate swap agreements, the Company receives interest based on the one-month LIBOR index and pays interest at a weighted average annual interest rate of approximately 2.92%, resulting in an effective annual interest rate of approximately 4.67%.</w:t>
      </w:r>
    </w:p>
    <w:p>
      <w:pPr>
        <w:spacing w:after="0" w:line="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10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March 31, 2020 and December 31, 2019, the Company has recorded a derivative liability with a fair value of $38.1 million and $20.8 million, respectively, within accrued expenses in connection with these cash flow hedges.</w:t>
      </w:r>
    </w:p>
    <w:p>
      <w:pPr>
        <w:spacing w:after="0" w:line="8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62" w:lineRule="exact"/>
        <w:rPr>
          <w:sz w:val="20"/>
          <w:szCs w:val="20"/>
          <w:color w:val="auto"/>
        </w:rPr>
      </w:pPr>
    </w:p>
    <w:p>
      <w:pPr>
        <w:ind w:right="80" w:firstLine="648"/>
        <w:spacing w:after="0" w:line="292"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for the three months ended March 31, 2020 was 45.6%, compared to 86.0% for the comparable period in 2019.</w:t>
      </w:r>
    </w:p>
    <w:p>
      <w:pPr>
        <w:spacing w:after="0" w:line="16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As of March 31, 2020 and December 31, 2019, the Company had recorded $5.9 million and $6.4 million, respectively, of liabilities for unrecognized tax benefits and $1.7 million of interest.</w:t>
      </w:r>
    </w:p>
    <w:p>
      <w:pPr>
        <w:spacing w:after="0" w:line="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tax years 2014-2016 are currently under review by the Internal Revenue Service (the “IRS”). The Company does not believe the examination will result in material adjustments to previously filed returns.</w:t>
      </w:r>
    </w:p>
    <w:p>
      <w:pPr>
        <w:spacing w:after="0" w:line="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believes that within the next 12 months uncertain tax positions may be resolved and statutes of limitations will expire which could result in a decrease in the gross amount of unrecognized tax benefits of $1.0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per share amounts):</w:t>
      </w:r>
    </w:p>
    <w:p>
      <w:pPr>
        <w:spacing w:after="0" w:line="338"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23495</wp:posOffset>
            </wp:positionV>
            <wp:extent cx="1491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976</w:t>
            </w:r>
          </w:p>
        </w:tc>
      </w:tr>
      <w:tr>
        <w:trPr>
          <w:trHeight w:val="27"/>
        </w:trPr>
        <w:tc>
          <w:tcPr>
            <w:tcW w:w="8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8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88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55,848</w:t>
            </w:r>
          </w:p>
        </w:tc>
      </w:tr>
      <w:tr>
        <w:trPr>
          <w:trHeight w:val="243"/>
        </w:trPr>
        <w:tc>
          <w:tcPr>
            <w:tcW w:w="8880" w:type="dxa"/>
            <w:vAlign w:val="bottom"/>
          </w:tcPr>
          <w:p>
            <w:pPr>
              <w:ind w:left="160"/>
              <w:spacing w:after="0"/>
              <w:rPr>
                <w:sz w:val="20"/>
                <w:szCs w:val="20"/>
                <w:color w:val="auto"/>
              </w:rPr>
            </w:pPr>
            <w:r>
              <w:rPr>
                <w:rFonts w:ascii="Arial" w:cs="Arial" w:eastAsia="Arial" w:hAnsi="Arial"/>
                <w:sz w:val="18"/>
                <w:szCs w:val="18"/>
                <w:color w:val="auto"/>
              </w:rPr>
              <w:t>Dilutive effect of outstanding stock awards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234</w:t>
            </w:r>
          </w:p>
        </w:tc>
      </w:tr>
      <w:tr>
        <w:trPr>
          <w:trHeight w:val="27"/>
        </w:trPr>
        <w:tc>
          <w:tcPr>
            <w:tcW w:w="8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shares outstanding</w:t>
            </w: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56,055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56,082</w:t>
            </w:r>
          </w:p>
        </w:tc>
      </w:tr>
      <w:tr>
        <w:trPr>
          <w:trHeight w:val="20"/>
        </w:trPr>
        <w:tc>
          <w:tcPr>
            <w:tcW w:w="8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8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3"/>
        </w:trPr>
        <w:tc>
          <w:tcPr>
            <w:tcW w:w="8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0.02</w:t>
            </w:r>
          </w:p>
        </w:tc>
      </w:tr>
      <w:tr>
        <w:trPr>
          <w:trHeight w:val="20"/>
        </w:trPr>
        <w:tc>
          <w:tcPr>
            <w:tcW w:w="8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4"/>
        </w:trPr>
        <w:tc>
          <w:tcPr>
            <w:tcW w:w="8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0.02</w:t>
            </w:r>
          </w:p>
        </w:tc>
      </w:tr>
      <w:tr>
        <w:trPr>
          <w:trHeight w:val="20"/>
        </w:trPr>
        <w:tc>
          <w:tcPr>
            <w:tcW w:w="8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For the three months ended March 31, 2020 and March 31, 2019, all then outstanding performance awards and restricted stock awards were included in the calculation of diluted earnings per share except for 121,726 and 78,271, respectively, of performance stock awards for which the performance criteria were not attained at the time and 9,925 and 27,357, respectively, of restricted stock awards which were excluded as their inclusion would have an antidilutive effect.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three months ended March 31, 2020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Unrealized Loss on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(Losses) Gains on</w:t>
            </w:r>
          </w:p>
        </w:tc>
        <w:tc>
          <w:tcPr>
            <w:tcW w:w="1340" w:type="dxa"/>
            <w:vAlign w:val="bottom"/>
            <w:gridSpan w:val="3"/>
            <w:vMerge w:val="continue"/>
          </w:tcPr>
          <w:p>
            <w:pPr>
              <w:spacing w:after="0"/>
              <w:rPr>
                <w:sz w:val="12"/>
                <w:szCs w:val="12"/>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Unfunded Pension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Available-For-Sale</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Hedge</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(210,051)</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(61,770)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Amounts reclassified out of accumulated other comprehensive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Tax gain</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(59,306)</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amount reclassified out of accumulated other comprehensive loss into the consolidated statement of operations, with presentation location, during the three months ended March 31, 2020 was as follows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Other Comprehensive (Loss) Income Components</w:t>
            </w:r>
          </w:p>
        </w:tc>
        <w:tc>
          <w:tcPr>
            <w:tcW w:w="100" w:type="dxa"/>
            <w:vAlign w:val="bottom"/>
            <w:vMerge w:val="restart"/>
          </w:tcPr>
          <w:p>
            <w:pPr>
              <w:spacing w:after="0"/>
              <w:rPr>
                <w:sz w:val="14"/>
                <w:szCs w:val="14"/>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Three Months</w:t>
            </w:r>
          </w:p>
        </w:tc>
        <w:tc>
          <w:tcPr>
            <w:tcW w:w="336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Ended March 31, 2020</w:t>
            </w:r>
          </w:p>
        </w:tc>
        <w:tc>
          <w:tcPr>
            <w:tcW w:w="100" w:type="dxa"/>
            <w:vAlign w:val="bottom"/>
            <w:tcBorders>
              <w:bottom w:val="single" w:sz="8" w:color="CCEEFF"/>
            </w:tcBorders>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loss on interest rate hedge</w:t>
            </w: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4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Total stock-based compensation cost charged to selling, general and administrative expenses for the three months ended March 31, 2020 and March 31, 2019 was $3.3 million and $5.8 million, respectively. The total income tax benefit recognized in the consolidated statements of operations from stock-based compensation expense for the three months ended March 31, 2020 and March 31, 2019 was $0.8 million and $1.1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three months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4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522,597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462,125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As of March 31, 2020, there was $17.9 million of total unrecognized compensation cost arising from restricted stock awards. This cost is expected to be recognized over a weighted average period of 2.5 years. The total fair value of restricted stock vested during the three months ended March 31, 2020 and March 31, 2019 was $5.3 million and $3.2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44"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Performance stock awards are subject to performance criteria established by the compensation committee of the Company's board of directors prior to or at the date of grant. The vesting of the performance stock awards is based on achieving targets typically based on revenue, Adjusted EBITDA margin, Adjusted Free Cash Flow and Total Recordable Incident Rate. In addition, performance stock awards include continued service conditions.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three months ended March 31, 2020:</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4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204,553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179,477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31, 2020, there was $1.2 million of total unrecognized compensation cost arising from unvested performance stock awards deemed probable of vesting. The total fair value of performance awards vested during the three months ended March 31, 2020 and March 31, 2019 was $1.3 million and $2.9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At March 31, 2020 and December 31, 2019, the Company had recorded reserves of $23.6 million and $26.0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March 31, 2020 and December 31, 2019, the $23.6 million and $26.0 million, respectively, of reserves consisted of (i) $17.2 million and $18.4 million, respectively, related to pending legal or administrative proceedings, including Superfund liabilities, which were included in remedial liabilities on the consolidated balance sheets, and (ii) $6.4 million and $7.6 million, respectively, primarily related to federal, state and provincial enforcement actions, which were included in accrued expenses on the consolidated balance sheets.</w:t>
      </w:r>
    </w:p>
    <w:p>
      <w:pPr>
        <w:spacing w:after="0" w:line="23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March 31, 2020, the principal legal and administrative proceedings in which the Company was involved, or which had been terminated during 2020, were as follows:</w:t>
      </w:r>
    </w:p>
    <w:p>
      <w:pPr>
        <w:spacing w:after="0" w:line="22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i w:val="1"/>
          <w:iCs w:val="1"/>
          <w:color w:val="auto"/>
        </w:rPr>
        <w:t xml:space="preserve">Ville Mercier. </w:t>
      </w:r>
      <w:r>
        <w:rPr>
          <w:rFonts w:ascii="Arial" w:cs="Arial" w:eastAsia="Arial" w:hAnsi="Arial"/>
          <w:sz w:val="17"/>
          <w:szCs w:val="17"/>
          <w:color w:val="auto"/>
        </w:rPr>
        <w:t>In September 2002, the Company acquired the stock of a subsidiary (the "Mercier Subsidiary") which owns a hazardous waste</w:t>
      </w:r>
      <w:r>
        <w:rPr>
          <w:rFonts w:ascii="Arial" w:cs="Arial" w:eastAsia="Arial" w:hAnsi="Arial"/>
          <w:sz w:val="17"/>
          <w:szCs w:val="17"/>
          <w:i w:val="1"/>
          <w:iCs w:val="1"/>
          <w:color w:val="auto"/>
        </w:rPr>
        <w:t xml:space="preserve"> </w:t>
      </w:r>
      <w:r>
        <w:rPr>
          <w:rFonts w:ascii="Arial" w:cs="Arial" w:eastAsia="Arial" w:hAnsi="Arial"/>
          <w:sz w:val="17"/>
          <w:szCs w:val="17"/>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March 31, 2020 were as follows:</w:t>
      </w:r>
    </w:p>
    <w:p>
      <w:pPr>
        <w:spacing w:after="0" w:line="10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60 proceedings (excluding cases which have been settled but not formally dismissed) as of March 31, 2020,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24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March 31, 2020. From January 1, 2020 to March 31, 2020, three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130 sites which are subject to or are proposed to become subject to proceedings under federal or state Superfund laws. Of the 130 sites, five (including the BR Facility described below) involve facilities that are now owned or leased by the Company and 125 involve third-party sites to which either the Company or the prior owners of certain of the Company’s facilities shipped wastes. Of the 125 third-party sites, 31 are now settled, 78 are currently requiring expenditures on remediation and 16 are not currently requiring expenditures on remediation.</w:t>
      </w:r>
    </w:p>
    <w:p>
      <w:pPr>
        <w:spacing w:after="0" w:line="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10 of the 125 third-party sites.</w:t>
      </w:r>
    </w:p>
    <w:p>
      <w:pPr>
        <w:spacing w:after="0" w:line="23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 xml:space="preserve">BR Facility. </w:t>
      </w:r>
      <w:r>
        <w:rPr>
          <w:rFonts w:ascii="Arial" w:cs="Arial" w:eastAsia="Arial" w:hAnsi="Arial"/>
          <w:sz w:val="16"/>
          <w:szCs w:val="16"/>
          <w:color w:val="auto"/>
        </w:rPr>
        <w:t>The Company acquired in 2002 a former hazardous waste incinerator and landfill in Baton Rouge (the "BR Facility"),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and feasibility study for Devil's Swamp under an order issued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the EPA. The Company cannot presently estimate the potential additional liability for the Devil's Swamp cleanup until a final remedy is selected by the EPA with issuance of a Record of Decision.</w:t>
      </w:r>
    </w:p>
    <w:p>
      <w:pPr>
        <w:spacing w:after="0" w:line="22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125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125 third-party sites discussed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4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March 31, 2020 and December 31, 2019, there were 12 proceedings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 the Environmental Services segment and (ii) the Safety-Kleen segment.</w:t>
      </w:r>
    </w:p>
    <w:p>
      <w:pPr>
        <w:spacing w:after="0" w:line="10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9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reconciles third-party revenues to direct revenues for the three months ended March 31, 2020 and March 31, 2019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right"/>
              <w:ind w:right="96"/>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jc w:val="right"/>
              <w:ind w:right="76"/>
              <w:spacing w:after="0"/>
              <w:rPr>
                <w:sz w:val="20"/>
                <w:szCs w:val="20"/>
                <w:color w:val="auto"/>
              </w:rPr>
            </w:pPr>
            <w:r>
              <w:rPr>
                <w:rFonts w:ascii="Arial" w:cs="Arial" w:eastAsia="Arial" w:hAnsi="Arial"/>
                <w:sz w:val="14"/>
                <w:szCs w:val="14"/>
                <w:b w:val="1"/>
                <w:bCs w:val="1"/>
                <w:color w:val="auto"/>
                <w:w w:val="94"/>
              </w:rPr>
              <w:t>For the Three Months Ended March 31, 2019</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Third-party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Direct revenues</w:t>
            </w:r>
          </w:p>
        </w:tc>
        <w:tc>
          <w:tcPr>
            <w:tcW w:w="140" w:type="dxa"/>
            <w:vAlign w:val="bottom"/>
          </w:tcPr>
          <w:p>
            <w:pPr>
              <w:spacing w:after="0"/>
              <w:rPr>
                <w:sz w:val="13"/>
                <w:szCs w:val="13"/>
                <w:color w:val="auto"/>
              </w:rPr>
            </w:pPr>
          </w:p>
        </w:tc>
        <w:tc>
          <w:tcPr>
            <w:tcW w:w="880" w:type="dxa"/>
            <w:vAlign w:val="bottom"/>
          </w:tcPr>
          <w:p>
            <w:pPr>
              <w:jc w:val="right"/>
              <w:ind w:right="16"/>
              <w:spacing w:after="0" w:line="153" w:lineRule="exact"/>
              <w:rPr>
                <w:sz w:val="20"/>
                <w:szCs w:val="20"/>
                <w:color w:val="auto"/>
              </w:rPr>
            </w:pPr>
            <w:r>
              <w:rPr>
                <w:rFonts w:ascii="Arial" w:cs="Arial" w:eastAsia="Arial" w:hAnsi="Arial"/>
                <w:sz w:val="14"/>
                <w:szCs w:val="14"/>
                <w:b w:val="1"/>
                <w:bCs w:val="1"/>
                <w:color w:val="auto"/>
              </w:rPr>
              <w:t>Third-party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Corporate Items,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Direct revenues</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6"/>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28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28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528,104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473,698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509,022</w:t>
            </w: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330,369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293,212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306,547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272,477</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57"/>
        </w:trPr>
        <w:tc>
          <w:tcPr>
            <w:tcW w:w="148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858,563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858,563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780,839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780,839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primary financial measure by which the Company evaluates the performance of its segments is "Adjusted EBITDA," which consists of net income plus accretion of environmental liabilities, depreciation and amortization, net interest expense, loss on early extinguishment of debt, provision for income taxes and other gains, losses or non-cash charges not deemed representative of fundamental segment results and other expense (income), net. Transactions between the segments are accounted for at the Company’s best estimate based on similar transactions with outside customers.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9"/>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Environmental Services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108,914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Safety-Kleen</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61,148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Corporate Items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(47,472)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122,590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101,663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Accretion of environmental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74,533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75,355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45,496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Other expense (income), net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on sale of businesses</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19,764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21,270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6,953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bottom w:val="single" w:sz="8" w:color="CCEEFF"/>
            </w:tcBorders>
            <w:gridSpan w:val="2"/>
            <w:vMerge w:val="restart"/>
          </w:tcPr>
          <w:p>
            <w:pPr>
              <w:ind w:left="640"/>
              <w:spacing w:after="0"/>
              <w:rPr>
                <w:sz w:val="20"/>
                <w:szCs w:val="20"/>
                <w:color w:val="auto"/>
              </w:rPr>
            </w:pPr>
            <w:r>
              <w:rPr>
                <w:rFonts w:ascii="Arial" w:cs="Arial" w:eastAsia="Arial" w:hAnsi="Arial"/>
                <w:sz w:val="18"/>
                <w:szCs w:val="18"/>
                <w:color w:val="auto"/>
                <w:w w:val="89"/>
              </w:rPr>
              <w:t>The following table presents certain assets by reportable segment and in the aggregate (in thousands):</w:t>
            </w: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Environmental Services</w:t>
            </w: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909,207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939,352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Safety-Kleen</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552,879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555,310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Corporate Items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85,033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93,489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property, plant and equipment, net</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1,547,119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1,588,151</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Environmental Services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209,713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212,531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Permits and other intangibles, net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85,165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89,722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9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Environmental Services</w:t>
            </w:r>
          </w:p>
        </w:tc>
        <w:tc>
          <w:tcPr>
            <w:tcW w:w="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294,878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302,253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Safety-Kleen</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309,914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312,482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Permits and other intangibles, net</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321,716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329,344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gridSpan w:val="2"/>
          </w:tcPr>
          <w:p>
            <w:pPr>
              <w:ind w:left="260"/>
              <w:spacing w:after="0"/>
              <w:rPr>
                <w:sz w:val="20"/>
                <w:szCs w:val="20"/>
                <w:color w:val="auto"/>
              </w:rPr>
            </w:pPr>
            <w:r>
              <w:rPr>
                <w:rFonts w:ascii="Arial" w:cs="Arial" w:eastAsia="Arial" w:hAnsi="Arial"/>
                <w:sz w:val="18"/>
                <w:szCs w:val="18"/>
                <w:color w:val="auto"/>
              </w:rPr>
              <w:t>Total Safety-Kleen</w:t>
            </w:r>
          </w:p>
        </w:tc>
        <w:tc>
          <w:tcPr>
            <w:tcW w:w="4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631,630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641,826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926,508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944,079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gridSpan w:val="2"/>
            <w:vMerge w:val="restart"/>
          </w:tcPr>
          <w:p>
            <w:pPr>
              <w:ind w:left="640"/>
              <w:spacing w:after="0"/>
              <w:rPr>
                <w:sz w:val="20"/>
                <w:szCs w:val="20"/>
                <w:color w:val="auto"/>
              </w:rPr>
            </w:pPr>
            <w:r>
              <w:rPr>
                <w:rFonts w:ascii="Arial" w:cs="Arial" w:eastAsia="Arial" w:hAnsi="Arial"/>
                <w:sz w:val="18"/>
                <w:szCs w:val="18"/>
                <w:color w:val="auto"/>
              </w:rPr>
              <w:t>The following table presents the total assets by geographical area (in thousands):</w:t>
            </w: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79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3,521,439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3,413,254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Canada and other foreign</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610,582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695,650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4,132,021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4,108,904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historical information, this Quarterly Report on Form 10-Q contains forward-looking statements, which are generally identifiable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use of the words "believes," "expects," "intends," "anticipates," "plans to," "seeks," "should," "estimates," "projects," "may," "likely" or similar expressions.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statements may include, but are not limited to, statements about future financial and operating results, the Company's plans, objectives, expectations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intentions and other statements that are not historical facts. Forward-looking statements are neither historical facts nor assurances of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Such statements are based upon the beliefs and expectations of Clean Harbors' management as of this date only and are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and uncertainties that could cause actual results to differ materially, including, without limitation, the risks and uncertainties surrounding Coronavirus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("COVID-19") and the related impact on our business, and those items identified as "Risk Factors,” in this report under Item 1A and in our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Form 10-K filed with the Securities and Exchange Commission on February 26, 2020, and in other documents we file from time to time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 Therefore, readers are cautioned not to place undue reliance on these forward-looking statements, which reflect management’s opinions only as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hereof. Our actual results and financial condition may differ materially from those indicated in the forward-looking statements. Clean Harbors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undertakes no obligation to revise or publicly release the results of any revision to these forward-looking statements other than through its filings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 which may be viewed in the "Investors" section of the Clean Harbors website.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20" w:firstLine="729"/>
        <w:spacing w:after="0" w:line="272" w:lineRule="auto"/>
        <w:rPr>
          <w:sz w:val="20"/>
          <w:szCs w:val="20"/>
          <w:color w:val="auto"/>
        </w:rPr>
      </w:pPr>
      <w:r>
        <w:rPr>
          <w:rFonts w:ascii="Arial" w:cs="Arial" w:eastAsia="Arial" w:hAnsi="Arial"/>
          <w:sz w:val="17"/>
          <w:szCs w:val="17"/>
          <w:color w:val="auto"/>
        </w:rPr>
        <w:t>We are North America’s leading provider of environmental and industrial services supporting our customers in finding environmentally responsible solutions to further their sustainability goals in today's world.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cleaning and related environmental services to commercial, industrial and automotive customers in North America.</w:t>
      </w:r>
    </w:p>
    <w:p>
      <w:pPr>
        <w:spacing w:after="0" w:line="9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64" w:lineRule="exact"/>
        <w:rPr>
          <w:sz w:val="20"/>
          <w:szCs w:val="20"/>
          <w:color w:val="auto"/>
        </w:rPr>
      </w:pPr>
    </w:p>
    <w:p>
      <w:pPr>
        <w:ind w:left="980" w:right="100" w:hanging="324"/>
        <w:spacing w:after="0" w:line="288"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attributable to waste volumes generated by them and project work for which waste handling and/or disposal is required. In managing the business and evaluating performance, management tracks the volumes and mix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technology, changing regulations, competition, market pricing of our services and the management of our related operating costs.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recent outbreak of COVID-19, the business has also seen increased demand for response services relative to contagion decontamination.</w:t>
      </w:r>
    </w:p>
    <w:p>
      <w:pPr>
        <w:spacing w:after="0" w:line="82" w:lineRule="exact"/>
        <w:rPr>
          <w:rFonts w:ascii="Arial" w:cs="Arial" w:eastAsia="Arial" w:hAnsi="Arial"/>
          <w:sz w:val="16"/>
          <w:szCs w:val="16"/>
          <w:color w:val="auto"/>
        </w:rPr>
      </w:pPr>
    </w:p>
    <w:p>
      <w:pPr>
        <w:ind w:left="980" w:hanging="324"/>
        <w:spacing w:after="0" w:line="272"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Safety-Kleen - </w:t>
      </w:r>
      <w:r>
        <w:rPr>
          <w:rFonts w:ascii="Arial" w:cs="Arial" w:eastAsia="Arial" w:hAnsi="Arial"/>
          <w:sz w:val="17"/>
          <w:szCs w:val="17"/>
          <w:color w:val="auto"/>
        </w:rPr>
        <w:t>Safety-Kleen segment results are impacted by an array of core service and product offerings that serve to attract small quantity</w:t>
      </w:r>
      <w:r>
        <w:rPr>
          <w:rFonts w:ascii="Arial" w:cs="Arial" w:eastAsia="Arial" w:hAnsi="Arial"/>
          <w:sz w:val="17"/>
          <w:szCs w:val="17"/>
          <w:b w:val="1"/>
          <w:bCs w:val="1"/>
          <w:color w:val="auto"/>
        </w:rPr>
        <w:t xml:space="preserve"> </w:t>
      </w:r>
      <w:r>
        <w:rPr>
          <w:rFonts w:ascii="Arial" w:cs="Arial" w:eastAsia="Arial" w:hAnsi="Arial"/>
          <w:sz w:val="17"/>
          <w:szCs w:val="17"/>
          <w:color w:val="auto"/>
        </w:rPr>
        <w:t>waste producers customers and integrate them into the Clean Harbors waste network. Core service offerings include parts washer services, containerized waste services, vacuum services, used motor oil collection and contract blending and packaging services. Key performance indicators tracked by the Company relative to these services include the number of parts washer services performed and pricing and volume of used motor oil and waste collected. Results from these services are primarily driven by the overall number of parts washers placed at customer sites and volumes of waste collected, as well as the demand for and frequency of other offered services. These factors can be impacted by overall economic conditions in the marketplace, especially in the automotive related area. In addition to its core service offerings, Safety-Kleen offers high quality recycled base and blended oil products to end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0"/>
        <w:spacing w:after="0" w:line="276" w:lineRule="auto"/>
        <w:rPr>
          <w:sz w:val="20"/>
          <w:szCs w:val="20"/>
          <w:color w:val="auto"/>
        </w:rPr>
      </w:pPr>
      <w:r>
        <w:rPr>
          <w:rFonts w:ascii="Arial" w:cs="Arial" w:eastAsia="Arial" w:hAnsi="Arial"/>
          <w:sz w:val="16"/>
          <w:szCs w:val="16"/>
          <w:color w:val="auto"/>
        </w:rPr>
        <w:t>users including fleet customers, distributors and manufacturers of oil products. Other product offerings include automotive related fluids and shop supplies. Relative to its oil related products, management tracks the Company's volumes and relative percentages of base and blended oil sales along with various pricing metrics associated with the commodity driven marketplace. The segment’s results are significantly impacted by overall market pricing and product mix associated with base and blended oil products and, more specifically, the market prices of Group II base oils. Costs incurred in connection with the collection of used oil and other raw materials associated with the segment’s oil related products can also be volatile. Our OilPlus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closed loop initiative, which results in the sale of our renewable oil products directly to our end customers, may also be impacted by changes in customer demand for high-quality, environmentally responsible recycled oil.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4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response to the COVID-19 pandemic, the Company has created a dedicated crisis response team to proactively monitor and respond to Company and customer operations, implement plans to execute on opportunities of COVID-19 related decontamination services and enhance health and safety measures for all our employees.</w:t>
      </w:r>
    </w:p>
    <w:p>
      <w:pPr>
        <w:spacing w:after="0" w:line="1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Health and safety is our #1 priority. As part of our commitment to ensuring the health and safety of our employees, particularly those performing COVID-19 decontamination services for our customers, thus far we have been able to successfully supply our employees with appropriate personal protective equipment ("PPE") for use in servicing our customers and implemented protocols to actively monitor and report employee illness. To support the safety of all of our employees and operations, precautionary measures have been implemented including suspending non-essential travel, limiting the number of employees attending meetings, reducing the number of people at our locations at any one time, monitoring the health of all employees, arranging administrative employees to work from home and encouraging any employee to work from home where possible.</w:t>
      </w:r>
    </w:p>
    <w:p>
      <w:pPr>
        <w:spacing w:after="0" w:line="9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The Company's financial results for the quarter ended March 31, 2020 were not significantly impacted by the COVID-19 pandemic. In the latter half of March 2020, we began to experience a slowdown or closure at some customer sites, particularly in the Safety-Kleen business while also seeing an increase in demand from several customers for decontamination related services in response to COVID-19. However, the outbreak of COVID-19 has resulted in, and is likely to continue to result in, significant economic disruption. In an effort to contain COVID-19, governments have enacted various measures, including orders to close non-essential businesses and personal and commercial travel restrictions. The essential nature of the Company’s operations has not directly required the closure of any of our facilities. However, in order to respond to the impact on the Safety-Kleen business and in particular the reduced availability of used motor oils which are utilized as feedstock in our re-refining processes, in April 2020, the Company temporarily shuttered nearly half of the production capacity of our oil re-refineries.</w:t>
      </w:r>
    </w:p>
    <w:p>
      <w:pPr>
        <w:spacing w:after="0" w:line="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 expects to continue to experience the impacts of COVID-19 throughout the remainder of 2020. In our Environmental Services segment, continued shutdowns of customers' operations could decrease the level of our services that are required and the quantities of commercial and industrial waste disposed of throughout our network of facilities. Lower demand for oil and overall price declines in the global oil market, resulting from COVID-19 impacts, could impact the level of environmental services we provide to our customers in that market. We have seen an increase in emergency response work for COVID-19 related decontamination services which we expect to continue, however these additional services are not expected to fully offset the negative impact of COVID-19 on our Environmental Services segment.</w:t>
      </w:r>
    </w:p>
    <w:p>
      <w:pPr>
        <w:spacing w:after="0" w:line="9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expect that the services provided by our Safety-Kleen segment, especially in the near term, could be more significantly impacted by continued customer shutdowns and therefore less demand for Safety-Kleen services and products. We have observed declining demand in the primary sectors impacting this business including the overall automotive sector, as consumer activity decelerates across the United States and Canada. Lower oil related demand and price declines in the global oil market, exacerbated by COVID-19 impacts, are also expected to reduce revenues and cash flows generated by the business in 2020. Further, the Company has experienced, and likely will continue to face, a shortage of used motor oil supply primarily due to travel restrictions and the presumed temporary closure of certain customer sites.</w:t>
      </w:r>
    </w:p>
    <w:p>
      <w:pPr>
        <w:spacing w:after="0" w:line="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extent to which the COVID-19 pandemic may impact the Company’s business, operating results, financial condition or liquidity will depend on future developments, including the duration of the outbreak, travel restrictions, business and workforce disruptions and the effectiveness of actions taken to contain the outbreak and treat its impact. For this reason, the Company expects 2020 profitability to be less than prior expectations, however the Company cannot now reasonably estimate with any degree of certainty the future impact that COVID-19 may have on the Company's results of operations, financial position or liquidity.</w:t>
      </w:r>
    </w:p>
    <w:p>
      <w:pPr>
        <w:spacing w:after="0" w:line="10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 considered the impact of COVID-19 on the assumptions and estimates used in the preparation of the financial statements and did not identify any significant changes in estimates. Specifically, management concluded that there had not been any triggering events requiring further assessment of asset impairments. Management also assessed the extent to which the current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macroeconomic events brought about by COVID-19 and significant declines in oil demand impacted the valuation of expected credit losses on accounts receivable and certain inventory items or resulted in modifications to any significant contracts. Ultimately the results of these assessments did not have a material impact on the Company's results as of March 31, 2020.</w:t>
      </w:r>
    </w:p>
    <w:p>
      <w:pPr>
        <w:spacing w:after="0" w:line="103"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 regards to liquidity and capital resources, as of March 31, 2020, the Company had $494.3 million in cash and marketable securities and $80.7 million of remaining borrowing availability under the revolving credit facility. Other than $7.5 million of annual payments on the Company's Term Loans, there are no debt maturities until November 2021, when the Company's revolving credit facility expires. To maintain a strong liquidity position through 2020 and beyond, the Company is actively considering, planning and executing cost reduction initiatives, and reducing 2020 capital expenditures by more than $50.0 million from previously forecasted amounts and considering all aspects of eligible government programs.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4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Total revenues for the three months ended March 31, 2020 were $858.6 million, compared with $780.8 million for the three months ended March 31, 2019. In the three months ended March 31, 2020, our Environmental Services segment increased direct revenues 11.3% from the comparable period in 2019 primarily due to higher volumes and more profitable waste streams in our network of facilities, most predominately at our incinerators, and our increased emergency response services in the wake of the COVID-19 pandemic. In the three months ended March 31, 2020, our Safety-Kleen segment increased direct revenues 7.6% from the comparable period in 2019 predominantly due to higher volumes and prices for our base oil and blended oil sales. The fluctuation of the Canadian dollar negatively impacted our consolidated revenues by $1.2 million in the three months ended March 31, 2020.</w:t>
      </w:r>
    </w:p>
    <w:p>
      <w:pPr>
        <w:spacing w:after="0" w:line="8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reported income from operations for the three months ended March 31, 2020 of $45.5 million compared with $23.7 million in the three months ended March 31, 2019. We reported net income for the three months ended March 31, 2020 of $11.6 million compared with net income of $1.0 million in the three months ended March 31, 2019.</w:t>
      </w:r>
    </w:p>
    <w:p>
      <w:pPr>
        <w:spacing w:after="0" w:line="13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Adjusted EBITDA, which is the primary financial measure by which our segments are evaluated, increased 20.6% to $122.6 million in the three months ended March 31, 2020 from $101.7 million in the three months ended March 31, 2019. Additional information, including a reconciliation of Adjusted EBITDA to net income, appears below under the heading </w:t>
      </w:r>
      <w:r>
        <w:rPr>
          <w:rFonts w:ascii="Arial" w:cs="Arial" w:eastAsia="Arial" w:hAnsi="Arial"/>
          <w:sz w:val="18"/>
          <w:szCs w:val="18"/>
          <w:i w:val="1"/>
          <w:iCs w:val="1"/>
          <w:color w:val="auto"/>
        </w:rPr>
        <w:t>"Adjusted EBITDA."</w:t>
      </w:r>
    </w:p>
    <w:p>
      <w:pPr>
        <w:spacing w:after="0" w:line="13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 xml:space="preserve">Net cash from operating activities for the three months ended March 31, 2020 was $33.7 million, an increase of $3.9 million from the comparable period in 2019. Adjusted free cash flow, which management uses to measure our financial strength and ability to generate cash, was an outflow of $26.2 million in the three months ended March 31, 2020, compared to an outflow of $24.9 million in the comparable period of 2019. Additional information, including a reconciliation of adjusted free cash flow to net cash from operating activities, appears below under the heading </w:t>
      </w:r>
      <w:r>
        <w:rPr>
          <w:rFonts w:ascii="Arial" w:cs="Arial" w:eastAsia="Arial" w:hAnsi="Arial"/>
          <w:sz w:val="16"/>
          <w:szCs w:val="16"/>
          <w:i w:val="1"/>
          <w:iCs w:val="1"/>
          <w:color w:val="auto"/>
        </w:rPr>
        <w:t>"Adjusted Free Cash Flow."</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4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primary financial measure by which we evaluate the performance of our segments is Adjusted EBITDA. The following table sets forth certain financial information associated with our results of operations for the three months ended March 31, 2020 and March 31, 2019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Summary of Operations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22"/>
                <w:szCs w:val="22"/>
                <w:color w:val="auto"/>
              </w:rPr>
            </w:pPr>
          </w:p>
        </w:tc>
        <w:tc>
          <w:tcPr>
            <w:tcW w:w="1000" w:type="dxa"/>
            <w:vAlign w:val="bottom"/>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69"/>
        </w:trPr>
        <w:tc>
          <w:tcPr>
            <w:tcW w:w="5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566,362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509,022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57,340</w:t>
            </w:r>
          </w:p>
        </w:tc>
        <w:tc>
          <w:tcPr>
            <w:tcW w:w="13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11.3%</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20,735</w:t>
            </w:r>
          </w:p>
        </w:tc>
        <w:tc>
          <w:tcPr>
            <w:tcW w:w="13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7.6</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858,563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780,839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77,724</w:t>
            </w:r>
          </w:p>
        </w:tc>
        <w:tc>
          <w:tcPr>
            <w:tcW w:w="13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411,472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26,365</w:t>
            </w:r>
          </w:p>
        </w:tc>
        <w:tc>
          <w:tcPr>
            <w:tcW w:w="13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6.8</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194,578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180,366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14,212</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7.9</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596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606,666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564,364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42,302</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7.5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&amp;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45,976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34,405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11,571</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33.6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3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0.5</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45,845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43,089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2,756</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129,307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114,812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14,495</w:t>
            </w:r>
          </w:p>
        </w:tc>
        <w:tc>
          <w:tcPr>
            <w:tcW w:w="13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12.6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108,914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19,404</w:t>
            </w:r>
          </w:p>
        </w:tc>
        <w:tc>
          <w:tcPr>
            <w:tcW w:w="13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21.7</w:t>
            </w: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61,148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54,793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6,355</w:t>
            </w:r>
          </w:p>
        </w:tc>
        <w:tc>
          <w:tcPr>
            <w:tcW w:w="134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11.6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(4,832)</w:t>
            </w:r>
          </w:p>
        </w:tc>
        <w:tc>
          <w:tcPr>
            <w:tcW w:w="13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11.3</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122,590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101,663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20,927</w:t>
            </w:r>
          </w:p>
        </w:tc>
        <w:tc>
          <w:tcPr>
            <w:tcW w:w="13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20.6%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18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There are many factors which have impacted and continue to impact our revenues. These factors include, but are not limited to: overall industrial activity and growth in North America, existence or non-existence of large scale environmental waste and remediation projects, competitive industry pricing, impacts of acquisitions and divestitures, the level of emergency response projects, base and blended oil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For the Three Months Ended</w:t>
            </w:r>
          </w:p>
        </w:tc>
        <w:tc>
          <w:tcPr>
            <w:tcW w:w="1080" w:type="dxa"/>
            <w:vAlign w:val="bottom"/>
          </w:tcPr>
          <w:p>
            <w:pPr>
              <w:spacing w:after="0"/>
              <w:rPr>
                <w:sz w:val="18"/>
                <w:szCs w:val="18"/>
                <w:color w:val="auto"/>
              </w:rPr>
            </w:pPr>
          </w:p>
        </w:tc>
      </w:tr>
      <w:tr>
        <w:trPr>
          <w:trHeight w:val="270"/>
        </w:trPr>
        <w:tc>
          <w:tcPr>
            <w:tcW w:w="680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3"/>
          </w:tcPr>
          <w:p>
            <w:pPr>
              <w:jc w:val="right"/>
              <w:ind w:right="475"/>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80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1020" w:type="dxa"/>
            <w:vAlign w:val="bottom"/>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7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95"/>
              <w:spacing w:after="0"/>
              <w:rPr>
                <w:sz w:val="20"/>
                <w:szCs w:val="20"/>
                <w:color w:val="auto"/>
              </w:rPr>
            </w:pPr>
            <w:r>
              <w:rPr>
                <w:rFonts w:ascii="Arial" w:cs="Arial" w:eastAsia="Arial" w:hAnsi="Arial"/>
                <w:sz w:val="16"/>
                <w:szCs w:val="16"/>
                <w:b w:val="1"/>
                <w:bCs w:val="1"/>
                <w:color w:val="auto"/>
              </w:rPr>
              <w:t>% Change</w:t>
            </w:r>
          </w:p>
        </w:tc>
      </w:tr>
      <w:tr>
        <w:trPr>
          <w:trHeight w:val="33"/>
        </w:trPr>
        <w:tc>
          <w:tcPr>
            <w:tcW w:w="6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revenues</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566,362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6"/>
              </w:rPr>
              <w:t>509,022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57,340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6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Environmental Services direct revenues for the three months ended March 31, 2020 increased $57.3 million from the comparable period in 2019 driven primarily by a greater volume of higher value waste streams at our incinerators and higher service-related revenues. Increased utilization and average pricing at our incinerator facilities contributed $23.7 million to the direct revenue growth in the Environmental Services segment. Utilization at our incinerator facilities was 86% in the first quarter of 2020, a significant increase from the first quarter of 2019, directly resulting from fewer down days in the period. In the first quarter of 2019, utilization was unfavorably impacted by additional down days due to a fire at a neighboring facility. Average price per ton at our incinerators during the first quarter of 2020 increased approximately 11% from the first quarter of 2019.</w:t>
      </w:r>
    </w:p>
    <w:p>
      <w:pPr>
        <w:spacing w:after="0" w:line="23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Emergency response services contributed an incremental $21.2 million to the direct revenue growth of the Environmental Services segment from the comparable period, half of which was related to emergency response services associated with the COVID-19 pandemic, with the remaining increase from other project-based services. Also impacting the year over year change in direct revenues within this segment was the negative impact of foreign currency translation on our Canadian operations of $0.9 million.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For the Three Months Ended</w:t>
            </w:r>
          </w:p>
        </w:tc>
        <w:tc>
          <w:tcPr>
            <w:tcW w:w="1080" w:type="dxa"/>
            <w:vAlign w:val="bottom"/>
          </w:tcPr>
          <w:p>
            <w:pPr>
              <w:spacing w:after="0"/>
              <w:rPr>
                <w:sz w:val="18"/>
                <w:szCs w:val="18"/>
                <w:color w:val="auto"/>
              </w:rPr>
            </w:pPr>
          </w:p>
        </w:tc>
      </w:tr>
      <w:tr>
        <w:trPr>
          <w:trHeight w:val="270"/>
        </w:trPr>
        <w:tc>
          <w:tcPr>
            <w:tcW w:w="680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3"/>
          </w:tcPr>
          <w:p>
            <w:pPr>
              <w:jc w:val="right"/>
              <w:ind w:right="475"/>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80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1020" w:type="dxa"/>
            <w:vAlign w:val="bottom"/>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7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95"/>
              <w:spacing w:after="0"/>
              <w:rPr>
                <w:sz w:val="20"/>
                <w:szCs w:val="20"/>
                <w:color w:val="auto"/>
              </w:rPr>
            </w:pPr>
            <w:r>
              <w:rPr>
                <w:rFonts w:ascii="Arial" w:cs="Arial" w:eastAsia="Arial" w:hAnsi="Arial"/>
                <w:sz w:val="16"/>
                <w:szCs w:val="16"/>
                <w:b w:val="1"/>
                <w:bCs w:val="1"/>
                <w:color w:val="auto"/>
              </w:rPr>
              <w:t>% Change</w:t>
            </w:r>
          </w:p>
        </w:tc>
      </w:tr>
      <w:tr>
        <w:trPr>
          <w:trHeight w:val="33"/>
        </w:trPr>
        <w:tc>
          <w:tcPr>
            <w:tcW w:w="6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revenues</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293,212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6"/>
              </w:rPr>
              <w:t>272,477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20,735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Safety-Kleen direct revenues for the three months ended March 31, 2020 increased $20.7 million from the comparable period in 2019. Increased volumes and pricing in the base oil market accounted for $15.1 million of incremental base oil revenues from the comparable period in 2019. Direct revenue from sales of blended oil products increased $4.2 million, driven both by higher volume and better pricing. The increase in volumes of base and blended oil was largely the result of favorable weather conditions in 2020 as compared to the first quarter of 2019 when adverse weather conditions delayed the delivery of our products. Revenues generated through our core service offerings such as handling of containerized waste and vacuum services increased $3.6 million from the same period in 2019, and revenues from contract blending and packaging also increased $2.5 million. These increases were partially offset by a $4.7 million reduction in direct revenue driven by lower volume of recycled fuel oil and refinery byproducts sales. In the first three months of 2020, parts washer services were relatively consistent with the same quarter in the prior year. The impact of foreign currency translation on our Canadian operations was minimal.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7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1120" w:type="dxa"/>
            <w:vAlign w:val="bottom"/>
          </w:tcPr>
          <w:p>
            <w:pPr>
              <w:spacing w:after="0"/>
              <w:rPr>
                <w:sz w:val="18"/>
                <w:szCs w:val="18"/>
                <w:color w:val="auto"/>
              </w:rPr>
            </w:pPr>
          </w:p>
        </w:tc>
      </w:tr>
      <w:tr>
        <w:trPr>
          <w:trHeight w:val="270"/>
        </w:trPr>
        <w:tc>
          <w:tcPr>
            <w:tcW w:w="6600" w:type="dxa"/>
            <w:vAlign w:val="bottom"/>
          </w:tcPr>
          <w:p>
            <w:pPr>
              <w:spacing w:after="0"/>
              <w:rPr>
                <w:sz w:val="23"/>
                <w:szCs w:val="23"/>
                <w:color w:val="auto"/>
              </w:rPr>
            </w:pPr>
          </w:p>
        </w:tc>
        <w:tc>
          <w:tcPr>
            <w:tcW w:w="2400" w:type="dxa"/>
            <w:vAlign w:val="bottom"/>
            <w:gridSpan w:val="4"/>
          </w:tcPr>
          <w:p>
            <w:pPr>
              <w:ind w:left="8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23"/>
                <w:szCs w:val="23"/>
                <w:color w:val="auto"/>
              </w:rPr>
            </w:pPr>
          </w:p>
        </w:tc>
        <w:tc>
          <w:tcPr>
            <w:tcW w:w="2100" w:type="dxa"/>
            <w:vAlign w:val="bottom"/>
            <w:gridSpan w:val="3"/>
          </w:tcPr>
          <w:p>
            <w:pPr>
              <w:jc w:val="right"/>
              <w:ind w:right="493"/>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60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1080" w:type="dxa"/>
            <w:vAlign w:val="bottom"/>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100" w:type="dxa"/>
            <w:vAlign w:val="bottom"/>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1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6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  411,472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  385,107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26,365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Environmental Services cost of revenues for the three months ended March 31, 2020 increased $26.4 million from the comparable period in 2019; however, these costs improved as a percentage of direct revenues primarily due to increased utilization and higher priced waste streams at our incinerators and a more favorable mix of higher margin services. The overall cost increase was due to increased equipment and supply costs of $12.2 million and increased labor and benefits related costs of $12.1 million. The incremental operating costs were commensurate with greater activity levels in the first quarter of 2020.</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080" w:type="dxa"/>
            <w:vAlign w:val="bottom"/>
          </w:tcPr>
          <w:p>
            <w:pPr>
              <w:spacing w:after="0"/>
              <w:rPr>
                <w:sz w:val="18"/>
                <w:szCs w:val="18"/>
                <w:color w:val="auto"/>
              </w:rPr>
            </w:pPr>
          </w:p>
        </w:tc>
      </w:tr>
      <w:tr>
        <w:trPr>
          <w:trHeight w:val="270"/>
        </w:trPr>
        <w:tc>
          <w:tcPr>
            <w:tcW w:w="6640" w:type="dxa"/>
            <w:vAlign w:val="bottom"/>
          </w:tcPr>
          <w:p>
            <w:pPr>
              <w:spacing w:after="0"/>
              <w:rPr>
                <w:sz w:val="23"/>
                <w:szCs w:val="23"/>
                <w:color w:val="auto"/>
              </w:rPr>
            </w:pPr>
          </w:p>
        </w:tc>
        <w:tc>
          <w:tcPr>
            <w:tcW w:w="2400" w:type="dxa"/>
            <w:vAlign w:val="bottom"/>
            <w:gridSpan w:val="4"/>
          </w:tcPr>
          <w:p>
            <w:pPr>
              <w:ind w:left="8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23"/>
                <w:szCs w:val="23"/>
                <w:color w:val="auto"/>
              </w:rPr>
            </w:pPr>
          </w:p>
        </w:tc>
        <w:tc>
          <w:tcPr>
            <w:tcW w:w="2060" w:type="dxa"/>
            <w:vAlign w:val="bottom"/>
            <w:gridSpan w:val="3"/>
          </w:tcPr>
          <w:p>
            <w:pPr>
              <w:jc w:val="right"/>
              <w:ind w:right="473"/>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1080" w:type="dxa"/>
            <w:vAlign w:val="bottom"/>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100" w:type="dxa"/>
            <w:vAlign w:val="bottom"/>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6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  194,578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  180,366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8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Safety-Kleen cost of revenues for the three months ended March 31, 2020 increased $14.2 million from the comparable period in 2019; however, these costs remained relatively consistent as a percentage of direct revenues. The primary drivers of the cost increase were a $4.2 million increase in labor related costs, a $3.2 million increase in the costs of oil additives and raw materials and a $2.1 million increase in transportation, disposal and fuel costs, with the remaining increase spread across various cost components. These costs were in line with the overall growth in the business in the first quarter of 2020 as compared to the first quarter of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080" w:type="dxa"/>
            <w:vAlign w:val="bottom"/>
          </w:tcPr>
          <w:p>
            <w:pPr>
              <w:spacing w:after="0"/>
              <w:rPr>
                <w:sz w:val="18"/>
                <w:szCs w:val="18"/>
                <w:color w:val="auto"/>
              </w:rPr>
            </w:pPr>
          </w:p>
        </w:tc>
      </w:tr>
      <w:tr>
        <w:trPr>
          <w:trHeight w:val="270"/>
        </w:trPr>
        <w:tc>
          <w:tcPr>
            <w:tcW w:w="6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3"/>
          </w:tcPr>
          <w:p>
            <w:pPr>
              <w:jc w:val="right"/>
              <w:ind w:right="473"/>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640" w:type="dxa"/>
            <w:vAlign w:val="bottom"/>
          </w:tcPr>
          <w:p>
            <w:pPr>
              <w:ind w:left="8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Pr>
          <w:p>
            <w:pPr>
              <w:spacing w:after="0"/>
              <w:rPr>
                <w:sz w:val="20"/>
                <w:szCs w:val="20"/>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13"/>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6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45,976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8"/>
              </w:rPr>
              <w:t>34,405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11,571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8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Environmental Services SG&amp;A expenses for the three months ended March 31, 2020 increased $11.6 million from the comparable period in 2019 and SG&amp;A as a percentage of direct revenues increased as well. Contributing to this increase was the favorable resolution of a litigation matter of $5.5 million and recovery of certain trade receivables of $5.4 million, both of which were recorded in the first quarter of 2019. Absent these nonrecurring transactions, Environmental Services SG&amp;A as a percentage of direct revenues improved due to better leverage of our fixed cost base.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1120" w:type="dxa"/>
            <w:vAlign w:val="bottom"/>
          </w:tcPr>
          <w:p>
            <w:pPr>
              <w:spacing w:after="0"/>
              <w:rPr>
                <w:sz w:val="18"/>
                <w:szCs w:val="18"/>
                <w:color w:val="auto"/>
              </w:rPr>
            </w:pPr>
          </w:p>
        </w:tc>
      </w:tr>
      <w:tr>
        <w:trPr>
          <w:trHeight w:val="270"/>
        </w:trPr>
        <w:tc>
          <w:tcPr>
            <w:tcW w:w="6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gridSpan w:val="5"/>
          </w:tcPr>
          <w:p>
            <w:pPr>
              <w:ind w:left="5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23"/>
                <w:szCs w:val="23"/>
                <w:color w:val="auto"/>
              </w:rPr>
            </w:pPr>
          </w:p>
        </w:tc>
        <w:tc>
          <w:tcPr>
            <w:tcW w:w="2100" w:type="dxa"/>
            <w:vAlign w:val="bottom"/>
            <w:gridSpan w:val="3"/>
          </w:tcPr>
          <w:p>
            <w:pPr>
              <w:ind w:left="480"/>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60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Pr>
          <w:p>
            <w:pPr>
              <w:spacing w:after="0"/>
              <w:rPr>
                <w:sz w:val="20"/>
                <w:szCs w:val="20"/>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1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6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37,486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37,318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r>
    </w:tbl>
    <w:p>
      <w:pPr>
        <w:spacing w:after="0" w:line="28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Safety-Kleen SG&amp;A expenses for the three months ended March 31, 2020 and March 31, 2019 were relatively consistent; however, Safety-Kleen SG&amp;A improved as a percentage of direct revenues for the three months ended March 31, 2020 generally due to better leverage of fixed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For the Three Months Ended</w:t>
            </w:r>
          </w:p>
        </w:tc>
        <w:tc>
          <w:tcPr>
            <w:tcW w:w="1080" w:type="dxa"/>
            <w:vAlign w:val="bottom"/>
          </w:tcPr>
          <w:p>
            <w:pPr>
              <w:spacing w:after="0"/>
              <w:rPr>
                <w:sz w:val="18"/>
                <w:szCs w:val="18"/>
                <w:color w:val="auto"/>
              </w:rPr>
            </w:pPr>
          </w:p>
        </w:tc>
      </w:tr>
      <w:tr>
        <w:trPr>
          <w:trHeight w:val="270"/>
        </w:trPr>
        <w:tc>
          <w:tcPr>
            <w:tcW w:w="6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3"/>
          </w:tcPr>
          <w:p>
            <w:pPr>
              <w:jc w:val="right"/>
              <w:ind w:right="475"/>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80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Pr>
          <w:p>
            <w:pPr>
              <w:spacing w:after="0"/>
              <w:rPr>
                <w:sz w:val="20"/>
                <w:szCs w:val="20"/>
                <w:color w:val="auto"/>
              </w:rPr>
            </w:pPr>
          </w:p>
        </w:tc>
        <w:tc>
          <w:tcPr>
            <w:tcW w:w="800" w:type="dxa"/>
            <w:vAlign w:val="bottom"/>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7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95"/>
              <w:spacing w:after="0"/>
              <w:rPr>
                <w:sz w:val="20"/>
                <w:szCs w:val="20"/>
                <w:color w:val="auto"/>
              </w:rPr>
            </w:pPr>
            <w:r>
              <w:rPr>
                <w:rFonts w:ascii="Arial" w:cs="Arial" w:eastAsia="Arial" w:hAnsi="Arial"/>
                <w:sz w:val="16"/>
                <w:szCs w:val="16"/>
                <w:b w:val="1"/>
                <w:bCs w:val="1"/>
                <w:color w:val="auto"/>
              </w:rPr>
              <w:t>% Change</w:t>
            </w:r>
          </w:p>
        </w:tc>
      </w:tr>
      <w:tr>
        <w:trPr>
          <w:trHeight w:val="33"/>
        </w:trPr>
        <w:tc>
          <w:tcPr>
            <w:tcW w:w="6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SG&amp;A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45,845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43,089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Corporate Items SG&amp;A expenses for the three months ended March 31, 2020 increased $2.8 million from the comparable period in 2019 primarily due to increased marketing expenses of $4.0 million to expand brand awareness, partially offset by a $2.5 million decrease in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Arial" w:cs="Arial" w:eastAsia="Arial" w:hAnsi="Arial"/>
                <w:sz w:val="16"/>
                <w:szCs w:val="16"/>
                <w:b w:val="1"/>
                <w:bCs w:val="1"/>
                <w:color w:val="auto"/>
                <w:w w:val="96"/>
              </w:rPr>
              <w:t>For the Three Months Ended</w:t>
            </w:r>
          </w:p>
        </w:tc>
        <w:tc>
          <w:tcPr>
            <w:tcW w:w="1120" w:type="dxa"/>
            <w:vAlign w:val="bottom"/>
          </w:tcPr>
          <w:p>
            <w:pPr>
              <w:spacing w:after="0"/>
              <w:rPr>
                <w:sz w:val="18"/>
                <w:szCs w:val="18"/>
                <w:color w:val="auto"/>
              </w:rPr>
            </w:pPr>
          </w:p>
        </w:tc>
      </w:tr>
      <w:tr>
        <w:trPr>
          <w:trHeight w:val="270"/>
        </w:trPr>
        <w:tc>
          <w:tcPr>
            <w:tcW w:w="6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ind w:left="50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23"/>
                <w:szCs w:val="23"/>
                <w:color w:val="auto"/>
              </w:rPr>
            </w:pPr>
          </w:p>
        </w:tc>
        <w:tc>
          <w:tcPr>
            <w:tcW w:w="1960" w:type="dxa"/>
            <w:vAlign w:val="bottom"/>
            <w:gridSpan w:val="3"/>
          </w:tcPr>
          <w:p>
            <w:pPr>
              <w:jc w:val="right"/>
              <w:ind w:right="492"/>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6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6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108,914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89,510</w:t>
            </w:r>
          </w:p>
        </w:tc>
        <w:tc>
          <w:tcPr>
            <w:tcW w:w="10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19,404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21.7 %</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11.6</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(11.3)</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122,590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101,663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20,927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9"/>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20" w:type="dxa"/>
            <w:vAlign w:val="bottom"/>
          </w:tcPr>
          <w:p>
            <w:pPr>
              <w:spacing w:after="0"/>
              <w:rPr>
                <w:sz w:val="18"/>
                <w:szCs w:val="18"/>
                <w:color w:val="auto"/>
              </w:rPr>
            </w:pPr>
          </w:p>
        </w:tc>
      </w:tr>
      <w:tr>
        <w:trPr>
          <w:trHeight w:val="257"/>
        </w:trPr>
        <w:tc>
          <w:tcPr>
            <w:tcW w:w="6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5"/>
          </w:tcPr>
          <w:p>
            <w:pPr>
              <w:ind w:left="320"/>
              <w:spacing w:after="0"/>
              <w:rPr>
                <w:sz w:val="20"/>
                <w:szCs w:val="20"/>
                <w:color w:val="auto"/>
              </w:rPr>
            </w:pPr>
            <w:r>
              <w:rPr>
                <w:rFonts w:ascii="Arial" w:cs="Arial" w:eastAsia="Arial" w:hAnsi="Arial"/>
                <w:sz w:val="16"/>
                <w:szCs w:val="16"/>
                <w:b w:val="1"/>
                <w:bCs w:val="1"/>
                <w:color w:val="auto"/>
              </w:rPr>
              <w:t>March 31,</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ind w:left="440"/>
              <w:spacing w:after="0"/>
              <w:rPr>
                <w:sz w:val="20"/>
                <w:szCs w:val="20"/>
                <w:color w:val="auto"/>
              </w:rPr>
            </w:pPr>
            <w:r>
              <w:rPr>
                <w:rFonts w:ascii="Arial" w:cs="Arial" w:eastAsia="Arial" w:hAnsi="Arial"/>
                <w:sz w:val="16"/>
                <w:szCs w:val="16"/>
                <w:b w:val="1"/>
                <w:bCs w:val="1"/>
                <w:color w:val="auto"/>
                <w:w w:val="89"/>
              </w:rPr>
              <w:t>2020</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11,572</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8"/>
                <w:szCs w:val="18"/>
                <w:color w:val="auto"/>
              </w:rPr>
              <w:t>2,561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2,574</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74,533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75,355</w:t>
            </w:r>
          </w:p>
        </w:tc>
        <w:tc>
          <w:tcPr>
            <w:tcW w:w="20" w:type="dxa"/>
            <w:vAlign w:val="bottom"/>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(2,983)</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3,074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8"/>
                <w:szCs w:val="18"/>
                <w:color w:val="auto"/>
              </w:rPr>
              <w:t>18,787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19,764</w:t>
            </w:r>
          </w:p>
        </w:tc>
        <w:tc>
          <w:tcPr>
            <w:tcW w:w="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9,698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5,977</w:t>
            </w:r>
          </w:p>
        </w:tc>
        <w:tc>
          <w:tcPr>
            <w:tcW w:w="20" w:type="dxa"/>
            <w:vAlign w:val="bottom"/>
          </w:tcPr>
          <w:p>
            <w:pPr>
              <w:spacing w:after="0"/>
              <w:rPr>
                <w:sz w:val="23"/>
                <w:szCs w:val="23"/>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gridSpan w:val="3"/>
          </w:tcPr>
          <w:p>
            <w:pPr>
              <w:jc w:val="right"/>
              <w:ind w:right="79"/>
              <w:spacing w:after="0"/>
              <w:rPr>
                <w:sz w:val="20"/>
                <w:szCs w:val="20"/>
                <w:color w:val="auto"/>
              </w:rPr>
            </w:pPr>
            <w:r>
              <w:rPr>
                <w:rFonts w:ascii="Arial" w:cs="Arial" w:eastAsia="Arial" w:hAnsi="Arial"/>
                <w:sz w:val="18"/>
                <w:szCs w:val="18"/>
                <w:color w:val="auto"/>
                <w:w w:val="92"/>
              </w:rPr>
              <w:t>122,590</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101,663</w:t>
            </w:r>
          </w:p>
        </w:tc>
        <w:tc>
          <w:tcPr>
            <w:tcW w:w="20" w:type="dxa"/>
            <w:vAlign w:val="bottom"/>
          </w:tcPr>
          <w:p>
            <w:pPr>
              <w:spacing w:after="0"/>
              <w:rPr>
                <w:sz w:val="24"/>
                <w:szCs w:val="24"/>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 of Direct revenues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0"/>
                <w:szCs w:val="20"/>
                <w:color w:val="auto"/>
              </w:rPr>
            </w:pPr>
          </w:p>
        </w:tc>
      </w:tr>
      <w:tr>
        <w:trPr>
          <w:trHeight w:val="621"/>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0"/>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10"/>
          </w:tcPr>
          <w:p>
            <w:pPr>
              <w:ind w:left="140"/>
              <w:spacing w:after="0"/>
              <w:rPr>
                <w:sz w:val="20"/>
                <w:szCs w:val="20"/>
                <w:color w:val="auto"/>
              </w:rPr>
            </w:pPr>
            <w:r>
              <w:rPr>
                <w:rFonts w:ascii="Arial" w:cs="Arial" w:eastAsia="Arial" w:hAnsi="Arial"/>
                <w:sz w:val="16"/>
                <w:szCs w:val="16"/>
                <w:b w:val="1"/>
                <w:bCs w:val="1"/>
                <w:color w:val="auto"/>
                <w:w w:val="95"/>
              </w:rPr>
              <w:t>For the Three Months Ended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6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w w:val="91"/>
              </w:rPr>
              <w:t>2020 over 2019</w:t>
            </w:r>
          </w:p>
        </w:tc>
        <w:tc>
          <w:tcPr>
            <w:tcW w:w="2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Pr>
          <w:p>
            <w:pPr>
              <w:spacing w:after="0"/>
              <w:rPr>
                <w:sz w:val="20"/>
                <w:szCs w:val="20"/>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5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ind w:left="18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20"/>
                <w:szCs w:val="20"/>
                <w:color w:val="auto"/>
              </w:rPr>
            </w:pPr>
          </w:p>
        </w:tc>
      </w:tr>
      <w:tr>
        <w:trPr>
          <w:trHeight w:val="33"/>
        </w:trPr>
        <w:tc>
          <w:tcPr>
            <w:tcW w:w="6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fixed assets and amortization of landfills and finance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65,871</w:t>
            </w:r>
          </w:p>
        </w:tc>
        <w:tc>
          <w:tcPr>
            <w:tcW w:w="780" w:type="dxa"/>
            <w:vAlign w:val="bottom"/>
            <w:tcBorders>
              <w:bottom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0"/>
              </w:rPr>
              <w:t>(0.8)%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Permits and other intangibles amortization</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gridSpan w:val="3"/>
          </w:tcPr>
          <w:p>
            <w:pPr>
              <w:jc w:val="center"/>
              <w:spacing w:after="0"/>
              <w:rPr>
                <w:sz w:val="20"/>
                <w:szCs w:val="20"/>
                <w:color w:val="auto"/>
              </w:rPr>
            </w:pPr>
            <w:r>
              <w:rPr>
                <w:rFonts w:ascii="Arial" w:cs="Arial" w:eastAsia="Arial" w:hAnsi="Arial"/>
                <w:sz w:val="18"/>
                <w:szCs w:val="18"/>
                <w:color w:val="auto"/>
                <w:w w:val="95"/>
              </w:rPr>
              <w:t>(317)</w:t>
            </w:r>
          </w:p>
        </w:tc>
        <w:tc>
          <w:tcPr>
            <w:tcW w:w="100" w:type="dxa"/>
            <w:vAlign w:val="bottom"/>
          </w:tcPr>
          <w:p>
            <w:pPr>
              <w:spacing w:after="0"/>
              <w:rPr>
                <w:sz w:val="21"/>
                <w:szCs w:val="21"/>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74,533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75,355</w:t>
            </w:r>
          </w:p>
        </w:tc>
        <w:tc>
          <w:tcPr>
            <w:tcW w:w="7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(822)</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(1.1)%</w:t>
            </w:r>
          </w:p>
        </w:tc>
        <w:tc>
          <w:tcPr>
            <w:tcW w:w="20" w:type="dxa"/>
            <w:vAlign w:val="bottom"/>
            <w:shd w:val="clear" w:color="auto" w:fill="CCEEFF"/>
          </w:tcPr>
          <w:p>
            <w:pPr>
              <w:spacing w:after="0"/>
              <w:rPr>
                <w:sz w:val="22"/>
                <w:szCs w:val="22"/>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940" w:firstLine="648"/>
        <w:spacing w:after="0" w:line="434" w:lineRule="auto"/>
        <w:rPr>
          <w:sz w:val="20"/>
          <w:szCs w:val="20"/>
          <w:color w:val="auto"/>
        </w:rPr>
      </w:pPr>
      <w:r>
        <w:rPr>
          <w:rFonts w:ascii="Arial" w:cs="Arial" w:eastAsia="Arial" w:hAnsi="Arial"/>
          <w:sz w:val="18"/>
          <w:szCs w:val="18"/>
          <w:color w:val="auto"/>
        </w:rPr>
        <w:t xml:space="preserve">Depreciation and amortization for the three months ended March 31, 2020 was relatively consistent to the comparable period in 2019. </w:t>
      </w:r>
      <w:r>
        <w:rPr>
          <w:rFonts w:ascii="Arial" w:cs="Arial" w:eastAsia="Arial" w:hAnsi="Arial"/>
          <w:sz w:val="18"/>
          <w:szCs w:val="18"/>
          <w:b w:val="1"/>
          <w:bCs w:val="1"/>
          <w:i w:val="1"/>
          <w:iCs w:val="1"/>
          <w:color w:val="auto"/>
        </w:rPr>
        <w:t>Provision for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For the Three Months Ended</w:t>
            </w:r>
          </w:p>
        </w:tc>
        <w:tc>
          <w:tcPr>
            <w:tcW w:w="1080" w:type="dxa"/>
            <w:vAlign w:val="bottom"/>
          </w:tcPr>
          <w:p>
            <w:pPr>
              <w:spacing w:after="0"/>
              <w:rPr>
                <w:sz w:val="18"/>
                <w:szCs w:val="18"/>
                <w:color w:val="auto"/>
              </w:rPr>
            </w:pPr>
          </w:p>
        </w:tc>
      </w:tr>
      <w:tr>
        <w:trPr>
          <w:trHeight w:val="270"/>
        </w:trPr>
        <w:tc>
          <w:tcPr>
            <w:tcW w:w="6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gridSpan w:val="3"/>
          </w:tcPr>
          <w:p>
            <w:pPr>
              <w:jc w:val="right"/>
              <w:ind w:right="475"/>
              <w:spacing w:after="0"/>
              <w:rPr>
                <w:sz w:val="20"/>
                <w:szCs w:val="20"/>
                <w:color w:val="auto"/>
              </w:rPr>
            </w:pPr>
            <w:r>
              <w:rPr>
                <w:rFonts w:ascii="Arial" w:cs="Arial" w:eastAsia="Arial" w:hAnsi="Arial"/>
                <w:sz w:val="16"/>
                <w:szCs w:val="16"/>
                <w:b w:val="1"/>
                <w:bCs w:val="1"/>
                <w:color w:val="auto"/>
              </w:rPr>
              <w:t>2020 over 2019</w:t>
            </w:r>
          </w:p>
        </w:tc>
      </w:tr>
      <w:tr>
        <w:trPr>
          <w:trHeight w:val="33"/>
        </w:trPr>
        <w:tc>
          <w:tcPr>
            <w:tcW w:w="6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80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Pr>
          <w:p>
            <w:pPr>
              <w:spacing w:after="0"/>
              <w:rPr>
                <w:sz w:val="20"/>
                <w:szCs w:val="20"/>
                <w:color w:val="auto"/>
              </w:rPr>
            </w:pPr>
          </w:p>
        </w:tc>
        <w:tc>
          <w:tcPr>
            <w:tcW w:w="800" w:type="dxa"/>
            <w:vAlign w:val="bottom"/>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7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95"/>
              <w:spacing w:after="0"/>
              <w:rPr>
                <w:sz w:val="20"/>
                <w:szCs w:val="20"/>
                <w:color w:val="auto"/>
              </w:rPr>
            </w:pPr>
            <w:r>
              <w:rPr>
                <w:rFonts w:ascii="Arial" w:cs="Arial" w:eastAsia="Arial" w:hAnsi="Arial"/>
                <w:sz w:val="16"/>
                <w:szCs w:val="16"/>
                <w:b w:val="1"/>
                <w:bCs w:val="1"/>
                <w:color w:val="auto"/>
              </w:rPr>
              <w:t>% Change</w:t>
            </w:r>
          </w:p>
        </w:tc>
      </w:tr>
      <w:tr>
        <w:trPr>
          <w:trHeight w:val="33"/>
        </w:trPr>
        <w:tc>
          <w:tcPr>
            <w:tcW w:w="6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9,698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7"/>
        </w:trPr>
        <w:tc>
          <w:tcPr>
            <w:tcW w:w="6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provision for income taxes for the three months ended March 31, 2020 increased $3.7 million from the comparable period in 2019. The increase was primarily due to increased taxable income in the United States. Our effective tax rate for the three months ended March 31, 2020 was 45.6%, compared to 86.0% for the same period in 2019.</w:t>
      </w:r>
    </w:p>
    <w:p>
      <w:pPr>
        <w:spacing w:after="0" w:line="10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the three months ended March 31, 2020, we did not record an income tax benefit of $1.1 million associated with the loss on sale of businesses and $0.9 million of income tax benefits generated from losses at certain of our Canadian entities. This compares to $4.1 million of income tax benefits generated in the comparable period of 2019 which also were not recorded in that period's income tax provision.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595"/>
              <w:spacing w:after="0"/>
              <w:rPr>
                <w:sz w:val="20"/>
                <w:szCs w:val="20"/>
                <w:color w:val="auto"/>
              </w:rPr>
            </w:pPr>
            <w:r>
              <w:rPr>
                <w:rFonts w:ascii="Arial" w:cs="Arial" w:eastAsia="Arial" w:hAnsi="Arial"/>
                <w:sz w:val="16"/>
                <w:szCs w:val="16"/>
                <w:b w:val="1"/>
                <w:bCs w:val="1"/>
                <w:color w:val="auto"/>
                <w:w w:val="92"/>
              </w:rPr>
              <w:t>Three Months Ended</w:t>
            </w:r>
          </w:p>
        </w:tc>
        <w:tc>
          <w:tcPr>
            <w:tcW w:w="1080" w:type="dxa"/>
            <w:vAlign w:val="bottom"/>
          </w:tcPr>
          <w:p>
            <w:pPr>
              <w:spacing w:after="0"/>
              <w:rPr>
                <w:sz w:val="18"/>
                <w:szCs w:val="18"/>
                <w:color w:val="auto"/>
              </w:rPr>
            </w:pPr>
          </w:p>
        </w:tc>
      </w:tr>
      <w:tr>
        <w:trPr>
          <w:trHeight w:val="270"/>
        </w:trPr>
        <w:tc>
          <w:tcPr>
            <w:tcW w:w="7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80" w:type="dxa"/>
            <w:vAlign w:val="bottom"/>
            <w:gridSpan w:val="3"/>
          </w:tcPr>
          <w:p>
            <w:pPr>
              <w:jc w:val="center"/>
              <w:ind w:left="595"/>
              <w:spacing w:after="0"/>
              <w:rPr>
                <w:sz w:val="20"/>
                <w:szCs w:val="20"/>
                <w:color w:val="auto"/>
              </w:rPr>
            </w:pPr>
            <w:r>
              <w:rPr>
                <w:rFonts w:ascii="Arial" w:cs="Arial" w:eastAsia="Arial" w:hAnsi="Arial"/>
                <w:sz w:val="16"/>
                <w:szCs w:val="16"/>
                <w:b w:val="1"/>
                <w:bCs w:val="1"/>
                <w:color w:val="auto"/>
                <w:w w:val="94"/>
              </w:rPr>
              <w:t>March 31,</w:t>
            </w:r>
          </w:p>
        </w:tc>
        <w:tc>
          <w:tcPr>
            <w:tcW w:w="1080" w:type="dxa"/>
            <w:vAlign w:val="bottom"/>
          </w:tcPr>
          <w:p>
            <w:pPr>
              <w:spacing w:after="0"/>
              <w:rPr>
                <w:sz w:val="23"/>
                <w:szCs w:val="23"/>
                <w:color w:val="auto"/>
              </w:rPr>
            </w:pPr>
          </w:p>
        </w:tc>
      </w:tr>
      <w:tr>
        <w:trPr>
          <w:trHeight w:val="33"/>
        </w:trPr>
        <w:tc>
          <w:tcPr>
            <w:tcW w:w="7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5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20"/>
                <w:szCs w:val="20"/>
                <w:color w:val="auto"/>
              </w:rPr>
            </w:pPr>
          </w:p>
        </w:tc>
        <w:tc>
          <w:tcPr>
            <w:tcW w:w="1360" w:type="dxa"/>
            <w:vAlign w:val="bottom"/>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7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33,681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29,740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(93,087)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(74,969)</w:t>
            </w:r>
          </w:p>
        </w:tc>
      </w:tr>
      <w:tr>
        <w:trPr>
          <w:trHeight w:val="27"/>
        </w:trPr>
        <w:tc>
          <w:tcPr>
            <w:tcW w:w="7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from (used in) financing activities</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126,447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(15,368)</w:t>
            </w:r>
          </w:p>
        </w:tc>
      </w:tr>
      <w:tr>
        <w:trPr>
          <w:trHeight w:val="27"/>
        </w:trPr>
        <w:tc>
          <w:tcPr>
            <w:tcW w:w="7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Net cash from operating activities for the three months ended March 31, 2020 was $33.7 million, an increase of $3.9 million from the comparable period in 2019. The increase in operating cash flows from the comparable period of 2019 was attributable to greater levels of operating income partially offset by an increase in working capital amounts. The increase in working capital was attributable to comparatively higher interest payments in the first quarter of 2020.</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cash used in investing activities for the three months ended March 31, 2020 was $93.1 million, an increase of $18.1 million from the comparable period in 2019. Net cash used in investing activities increased most notably due to a $23.8 million increase in capital expenditure levels, including the purchase of our Norwell, Massachusetts corporate headquarters in January 2020, as well as the timing of proceeds received from the purchase and sale of marketable securities in the comparative periods. Additionally, levels of investing cash outflows in 2020 were impacted by a $14.9 million decrease in cash paid for acquisitions, net of cash acquired and a $7.9 million cash inflow in the current quarter related to the sale of two small non-core businesses previously included in the Environmental Services segment.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(used in) financing activities</w:t>
      </w:r>
    </w:p>
    <w:p>
      <w:pPr>
        <w:spacing w:after="0" w:line="27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Net cash from financing activities for the three months ended March 31, 2020 was $126.4 million, compared to net cash used in financing activities of $15.4 million from the comparable period in 2019. On March 31, 2020, we borrowed $150.0 million under our revolving credit facility out of an abundance of caution given the macroeconomic uncertainties surrounding the COVID-19 global pandemic. This financing cash inflow was partially offset by an increase in repurchases of common stock. For additional information regarding our financing activities, see Note 11, "Financing Arrangements," to the accompanying unaudited consolidated financial statements.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We exclude cash impacts of items derived from non-operating activities such as taxes paid in connection with divestitures and in the current period have also excluded cash paid in connection with the purchase of our corporate headquarters and certain capital improvements to the site as these expenditures are considered one-time in nature.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of net cash from operating activities to adjusted free cash flow for the following periods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Three Months Ended</w:t>
            </w:r>
          </w:p>
        </w:tc>
      </w:tr>
      <w:tr>
        <w:trPr>
          <w:trHeight w:val="257"/>
        </w:trPr>
        <w:tc>
          <w:tcPr>
            <w:tcW w:w="8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20" w:type="dxa"/>
            <w:vAlign w:val="bottom"/>
          </w:tcPr>
          <w:p>
            <w:pPr>
              <w:spacing w:after="0"/>
              <w:rPr>
                <w:sz w:val="22"/>
                <w:szCs w:val="22"/>
                <w:color w:val="auto"/>
              </w:rPr>
            </w:pPr>
          </w:p>
        </w:tc>
      </w:tr>
      <w:tr>
        <w:trPr>
          <w:trHeight w:val="33"/>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33"/>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29,740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(58,947)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and capital improvements of corporate headquarters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4,321</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(24,886)</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At March 31, 2020, cash and cash equivalents and marketable securities totaled $494.3 million, compared to $414.4 million at December 31, 2019. At March 31, 2020, cash and cash equivalents held by our foreign subsidiaries totaled $81.7 million and were readily convertible into other currencies including U.S. dollars. At March 31, 2020, the cash and cash equivalents and marketable securities balance for our U.S. operations was $412.6 million, and our U.S. operations had net operating cash flows of $4.3 million for the three months ended March 31, 2020. Additionally, we have a $400.0 million revolving credit facility of which approximately $80.7 million was available to borrow at March 31, 2020. Based on the above and on our current plans, we believe that our U.S. operations have and will continue to have adequate financial resources to satisfy their current liquidity needs.</w:t>
      </w:r>
    </w:p>
    <w:p>
      <w:pPr>
        <w:spacing w:after="0" w:line="21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Financing arrangements are discussed in Note 11, “Financing Arrangements,” to our unaudited consolidated financial statements included in this report. As discussed therein, the Company maintains a $400.0 million revolving credit facility expiring on November 1, 2021. On March 31, 2020, the Company drew down $150.0 million on the revolving credit facility out of an abundance of caution given the macroeconomic uncertainties surrounding the COVID-19 global pandemic. The $150.0 million is included in the Company's cash and cash equivalents balance as of March 31, 2020. The Company had $80.7 million available to borrow and outstanding letters of credit were $141.2 million at March 31, 2020. At December 31, 2019, $229.2 million was available to borrow and outstanding letters of credit were $146.9 million. We continue to monitor our debt instruments and evaluate opportunities where it may be beneficial to refinance or reallocate the portfolio.</w:t>
      </w:r>
    </w:p>
    <w:p>
      <w:pPr>
        <w:spacing w:after="0" w:line="9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2020, we were in compliance with the covenants of all our debt agreements, and we believe it is reasonably likely that we will continue to meet such covenants.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Stock Repurchases</w:t>
      </w:r>
    </w:p>
    <w:p>
      <w:pPr>
        <w:spacing w:after="0" w:line="144"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During the three months ended March 31, 2020 and March 31, 2019, the Company repurchased and retired a total of approximately 0.3 million and 0.1 million shares, respectively, of the Company's common stock for total costs of approximately $17.3 million and $6.3 million, respectively. These purchases were pursuant to the previously authorized board approved plan to repurchase up to $600.0 million of the Company's common stock. Through March 31, 2020, the Company has repurchased and retired a total of approximately 6.2 million shares of its common stock for approximately $332.7 million under this program. As of March 31, 2020, an additional $267.3 million remained available for repurchase of shares under this program.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ind w:left="4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 Change</w:t>
            </w:r>
          </w:p>
        </w:tc>
        <w:tc>
          <w:tcPr>
            <w:tcW w:w="1780" w:type="dxa"/>
            <w:vAlign w:val="bottom"/>
          </w:tcPr>
          <w:p>
            <w:pPr>
              <w:jc w:val="right"/>
              <w:ind w:right="432"/>
              <w:spacing w:after="0"/>
              <w:rPr>
                <w:sz w:val="20"/>
                <w:szCs w:val="20"/>
                <w:color w:val="auto"/>
              </w:rPr>
            </w:pPr>
            <w:r>
              <w:rPr>
                <w:rFonts w:ascii="Arial" w:cs="Arial" w:eastAsia="Arial" w:hAnsi="Arial"/>
                <w:sz w:val="16"/>
                <w:szCs w:val="16"/>
                <w:b w:val="1"/>
                <w:bCs w:val="1"/>
                <w:color w:val="auto"/>
              </w:rPr>
              <w:t>% Change</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Remedial liabilities</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110,864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114,173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(2.9)</w:t>
            </w: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environmental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189,824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554"/>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Total environmental liabilities as of March 31, 2020 were $191.3 million, an increase of $1.5 million compared to December 31, 2019 primarily due to a $4.2 million increase in the closure and post-closure liabilities associated with one commercial landfill for which the Company has initiated closure plans. The remaining change is resulting from accretion of $2.6 million, partially offset by expenditures of $3.4 million and changes in the balance due to currency translation of approximately $1.7 million.</w:t>
      </w:r>
    </w:p>
    <w:p>
      <w:pPr>
        <w:spacing w:after="0" w:line="24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Capital expenditures in the first quarter of 2020 were $82.8 million as compared to $58.9 million in the first quarter of 2019. The increase was primarily due to the purchase of our corporate headquarters in January 2020. We anticipate that in 2020, capital expenditures net of disposals will be less than the prior year. However, unanticipated changes in environmental regulations could require us to make significant capital expenditures for our facilities and adversely affect our results of operations and cash flow.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Other than as described below, there were no material changes in the first three months of 2020 to the information provided under the heading “Critical Accounting Policies and Estimates” included in our Annual Report on Form 10-K for the year ended December 31, 2019.</w:t>
      </w:r>
    </w:p>
    <w:p>
      <w:pPr>
        <w:spacing w:after="0" w:line="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Goodwill and Other Long-Lived Assets</w:t>
      </w:r>
      <w:r>
        <w:rPr>
          <w:rFonts w:ascii="Arial" w:cs="Arial" w:eastAsia="Arial" w:hAnsi="Arial"/>
          <w:sz w:val="18"/>
          <w:szCs w:val="18"/>
          <w:color w:val="auto"/>
        </w:rPr>
        <w:t>. Goodwill is reviewed for impairment annually as of December 31 or when events or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environment (triggering events)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0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determine our reporting units by identifying the components of each operating segment, and then in some circumstances aggregate components having similar economic characteristics based on quantitative and/or qualitative factors. As of March 31, 2020 and December 31, 2019, we continue to have four reporting units, consisting of Environmental Sales and Service, Environmental Facilities, Safety-Kleen Oil and Safety-Kleen Environmental Services.</w:t>
      </w:r>
    </w:p>
    <w:p>
      <w:pPr>
        <w:spacing w:after="0" w:line="10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conducted our annual impairment test of goodwill for all of our reporting units to which goodwill was allocated as of December 31, 2019 and determined that no adjustment to the carrying value of goodwill for any reporting unit was then necessary. In all cases the estimated fair value of each reporting unit significantly exceeded its carrying value.</w:t>
      </w:r>
    </w:p>
    <w:p>
      <w:pPr>
        <w:spacing w:after="0" w:line="10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long-lived assets are carried on our financial statements based on their cost less accumulated depreciation or amortization. Long-lived assets with finite lives are reviewed for impairment whenever events or changes in circumstances (triggering events) indicate that their carrying value may not be entirely recoverable. When such factors and circumstances exist, management compares the projected undiscounted future cash flows associated with the related asset or group of assets to the respective carrying amounts. The impairment loss, if any, would be measured as the excess of the carrying amount over the fair value of the asset and is recorded in the period in which the determination is made.</w:t>
      </w:r>
    </w:p>
    <w:p>
      <w:pPr>
        <w:spacing w:after="0" w:line="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During the period ended March 31, 2020, we considered the expected adverse impact of COVID-19 and the overall sharp decline in oil pricing, partially driven by the global response to COVID-19 and partially driven by increased production from certain oil producing countries, and concluded that a triggering event had not occurred. This conclusion was based on a qualitative analysis incorporating (i) the significant excess fair value that previously existed in each reporting unit and (ii) assessing the current and long-term performance of the Company given expectations that the effects on the operations and cash flows of each reporting unit arising from these disruptions will be short lived.</w:t>
      </w:r>
    </w:p>
    <w:p>
      <w:pPr>
        <w:spacing w:after="0" w:line="9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will continue to evaluate all of our goodwill and other long-lived assets impacted by economic downturns. The market conditions which could lead to such future impairments are currently most prevalent for assets supporting our oil and gas field services and lodging services operations within the Environmental Sales &amp; Services reporting unit and goodwill associated with our Safety-Kleen Oil reporting unit.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assumptions with respect to future cash flows and conclusions with respect to asset impairments could be impacted by changes arising from</w:t>
      </w:r>
    </w:p>
    <w:p>
      <w:pPr>
        <w:spacing w:after="0" w:line="46" w:lineRule="exact"/>
        <w:rPr>
          <w:sz w:val="20"/>
          <w:szCs w:val="20"/>
          <w:color w:val="auto"/>
        </w:rPr>
      </w:pPr>
    </w:p>
    <w:p>
      <w:pPr>
        <w:ind w:right="80" w:firstLine="8"/>
        <w:spacing w:after="0" w:line="260"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further significant deterioration in market conditions arising from COVID-19, (ii) a sustained period of economic and industrial slow downs resulting from social distancing guidelines, (iii) inability to price our oil related products and</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services to maintain profitability, (iv) inability to scale our operations and implement cost reduction efforts in light of reduced demand or (v) a further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6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Other than the draw down on March 31, 2020, of $150.0 million from our available borrowings under our revolving credit facility, there were no material changes in the first three months of 2020 to the information provided under Item 7A. “Quantitative and Qualitative Disclosures about Market Risk” in the Company's Annual Report on Form 10-K for the year ended December 31, 2019. The revolving credit facility will expire on November 1, 2021, at which point, the amount of then outstanding borrowings will be due. However, the Company can repay the borrowings without penalty (other than customary LIBOR breakage fees) at any point. Interest on the credit facility is based on the one-month LIBOR, and as of March 31, 2020, the effective interest rate on the $150.0 million borrowed was 2.25%. Commencing on April 30, 2020, interest payments are due monthly until the borrowing is repaid.</w:t>
      </w:r>
    </w:p>
    <w:p>
      <w:pPr>
        <w:spacing w:after="0" w:line="7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100" w:firstLine="621"/>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March 31, 2020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quarter ended March 31, 2020 that have materially affected, or are reasonably likely to materially affect, the Company’s internal control over financial reporting. As a result of the coronavirus ("COVID-19") pandemic, certain employees of the Company began working remotely in March 2020 but these changes to the working environment did not have a material effect on the Company’s internal control over financial reporting. We will continue to monitor the impact of COVID-19 on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16, “Commitments and Contingencies,” to the unaudited consolidated financial statements included in Item 1 of this report, which description is incorporated herein by reference.</w:t>
      </w:r>
    </w:p>
    <w:p>
      <w:pPr>
        <w:spacing w:after="0" w:line="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Except as set forth below, during the three months ended March 31, 2020, there were no material changes from the risk factors as previously disclosed in Item 1A in the Company's Annual Report on Form 10-K for the year ended December 31, 2019 other than the update described below.</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Natural disasters or other catastrophic events, including pandemics, could negatively affect our business, financial condition and results of operations.</w:t>
      </w:r>
    </w:p>
    <w:p>
      <w:pPr>
        <w:spacing w:after="0" w:line="26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Natural disasters such as hurricanes, tornados or earthquakes or other catastrophic events including public health threats or outbreaks of communicable diseases including the recent novel coronavirus pandemic could negatively affect our operations and financial performance. The impact of such events could include physical damage to one or more of our facilities or equipment, the temporary lack of an adequate workforce in a market and the temporary disruption in rail or truck transportation services upon which we rely. These events could prevent or delay shipments from suppliers or to customers and reduce both volumes and revenue. 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30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jc w:val="right"/>
              <w:ind w:right="113"/>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8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Average Price Paid Per</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Announced Plans or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center"/>
              <w:ind w:right="194"/>
              <w:spacing w:after="0"/>
              <w:rPr>
                <w:sz w:val="20"/>
                <w:szCs w:val="20"/>
                <w:color w:val="auto"/>
              </w:rPr>
            </w:pPr>
            <w:r>
              <w:rPr>
                <w:rFonts w:ascii="Arial" w:cs="Arial" w:eastAsia="Arial" w:hAnsi="Arial"/>
                <w:sz w:val="16"/>
                <w:szCs w:val="16"/>
                <w:b w:val="1"/>
                <w:bCs w:val="1"/>
                <w:color w:val="auto"/>
                <w:w w:val="90"/>
              </w:rPr>
              <w:t>or Programs</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gridSpan w:val="2"/>
          </w:tcPr>
          <w:p>
            <w:pPr>
              <w:ind w:left="1740"/>
              <w:spacing w:after="0"/>
              <w:rPr>
                <w:sz w:val="20"/>
                <w:szCs w:val="20"/>
                <w:color w:val="auto"/>
              </w:rPr>
            </w:pPr>
            <w:r>
              <w:rPr>
                <w:rFonts w:ascii="Arial" w:cs="Arial" w:eastAsia="Arial" w:hAnsi="Arial"/>
                <w:sz w:val="16"/>
                <w:szCs w:val="16"/>
                <w:b w:val="1"/>
                <w:bCs w:val="1"/>
                <w:color w:val="auto"/>
              </w:rPr>
              <w:t>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 xml:space="preserve">Shares Purchased </w:t>
            </w:r>
            <w:r>
              <w:rPr>
                <w:rFonts w:ascii="Arial" w:cs="Arial" w:eastAsia="Arial" w:hAnsi="Arial"/>
                <w:sz w:val="21"/>
                <w:szCs w:val="21"/>
                <w:color w:val="auto"/>
                <w:w w:val="91"/>
                <w:vertAlign w:val="superscript"/>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color w:val="auto"/>
                <w:vertAlign w:val="superscript"/>
              </w:rPr>
              <w:t>(2)</w:t>
            </w:r>
          </w:p>
        </w:tc>
        <w:tc>
          <w:tcPr>
            <w:tcW w:w="12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194"/>
              <w:spacing w:after="0"/>
              <w:rPr>
                <w:sz w:val="20"/>
                <w:szCs w:val="20"/>
                <w:color w:val="auto"/>
              </w:rPr>
            </w:pPr>
            <w:r>
              <w:rPr>
                <w:rFonts w:ascii="Arial" w:cs="Arial" w:eastAsia="Arial" w:hAnsi="Arial"/>
                <w:sz w:val="16"/>
                <w:szCs w:val="16"/>
                <w:b w:val="1"/>
                <w:bCs w:val="1"/>
                <w:color w:val="auto"/>
                <w:w w:val="86"/>
              </w:rPr>
              <w:t xml:space="preserve">(in thousands) </w:t>
            </w:r>
            <w:r>
              <w:rPr>
                <w:rFonts w:ascii="Arial" w:cs="Arial" w:eastAsia="Arial" w:hAnsi="Arial"/>
                <w:sz w:val="21"/>
                <w:szCs w:val="21"/>
                <w:color w:val="auto"/>
                <w:w w:val="86"/>
                <w:vertAlign w:val="superscript"/>
              </w:rPr>
              <w:t>(3)</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January 1, 2020 through January 31, 2020</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3,327</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284,684</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February 1, 2020 through February 29, 2020</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39,298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76.95</w:t>
            </w:r>
          </w:p>
        </w:tc>
        <w:tc>
          <w:tcPr>
            <w:tcW w:w="12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26,841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282,684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shd w:val="clear" w:color="auto" w:fill="CCEEFF"/>
              </w:rPr>
              <w:t>March 1, 2020 through March 31, 2020</w:t>
            </w:r>
          </w:p>
        </w:tc>
        <w:tc>
          <w:tcPr>
            <w:tcW w:w="10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290,185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56.03</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275,136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267,346</w:t>
            </w:r>
          </w:p>
        </w:tc>
        <w:tc>
          <w:tcPr>
            <w:tcW w:w="0" w:type="dxa"/>
            <w:vAlign w:val="bottom"/>
          </w:tcPr>
          <w:p>
            <w:pPr>
              <w:spacing w:after="0"/>
              <w:rPr>
                <w:sz w:val="1"/>
                <w:szCs w:val="1"/>
                <w:color w:val="auto"/>
              </w:rPr>
            </w:pPr>
          </w:p>
        </w:tc>
      </w:tr>
      <w:tr>
        <w:trPr>
          <w:trHeight w:val="257"/>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332,810</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301,977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06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3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30,833 shares withheld by us from employees to satisfy employee tax obligations upon vesting of restricted stock units granted to our employees under the Company's equity incentive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right="20" w:hanging="328"/>
        <w:spacing w:after="0" w:line="25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During April 2018,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860" w:type="dxa"/>
            <w:vAlign w:val="bottom"/>
            <w:gridSpan w:val="3"/>
          </w:tcPr>
          <w:p>
            <w:pPr>
              <w:ind w:left="120"/>
              <w:spacing w:after="0"/>
              <w:rPr>
                <w:sz w:val="20"/>
                <w:szCs w:val="20"/>
                <w:color w:val="auto"/>
              </w:rPr>
            </w:pPr>
            <w:r>
              <w:rPr>
                <w:rFonts w:ascii="Arial" w:cs="Arial" w:eastAsia="Arial" w:hAnsi="Arial"/>
                <w:sz w:val="18"/>
                <w:szCs w:val="18"/>
                <w:b w:val="1"/>
                <w:bCs w:val="1"/>
                <w:color w:val="auto"/>
              </w:rPr>
              <w:t>OTHER INFORMATION</w:t>
            </w:r>
          </w:p>
        </w:tc>
        <w:tc>
          <w:tcPr>
            <w:tcW w:w="1460" w:type="dxa"/>
            <w:vAlign w:val="bottom"/>
          </w:tcPr>
          <w:p>
            <w:pPr>
              <w:spacing w:after="0"/>
              <w:rPr>
                <w:sz w:val="20"/>
                <w:szCs w:val="20"/>
                <w:color w:val="auto"/>
              </w:rPr>
            </w:pPr>
          </w:p>
        </w:tc>
      </w:tr>
      <w:tr>
        <w:trPr>
          <w:trHeight w:val="392"/>
        </w:trPr>
        <w:tc>
          <w:tcPr>
            <w:tcW w:w="9780" w:type="dxa"/>
            <w:vAlign w:val="bottom"/>
            <w:gridSpan w:val="4"/>
          </w:tcPr>
          <w:p>
            <w:pPr>
              <w:ind w:left="660"/>
              <w:spacing w:after="0"/>
              <w:rPr>
                <w:sz w:val="20"/>
                <w:szCs w:val="20"/>
                <w:color w:val="auto"/>
              </w:rPr>
            </w:pPr>
            <w:r>
              <w:rPr>
                <w:rFonts w:ascii="Arial" w:cs="Arial" w:eastAsia="Arial" w:hAnsi="Arial"/>
                <w:sz w:val="18"/>
                <w:szCs w:val="18"/>
                <w:color w:val="auto"/>
              </w:rPr>
              <w:t>None</w:t>
            </w:r>
          </w:p>
        </w:tc>
        <w:tc>
          <w:tcPr>
            <w:tcW w:w="146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86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c>
          <w:tcPr>
            <w:tcW w:w="1460" w:type="dxa"/>
            <w:vAlign w:val="bottom"/>
          </w:tcPr>
          <w:p>
            <w:pPr>
              <w:spacing w:after="0"/>
              <w:rPr>
                <w:sz w:val="24"/>
                <w:szCs w:val="24"/>
                <w:color w:val="auto"/>
              </w:rPr>
            </w:pPr>
          </w:p>
        </w:tc>
      </w:tr>
      <w:tr>
        <w:trPr>
          <w:trHeight w:val="37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8420" w:type="dxa"/>
            <w:vAlign w:val="bottom"/>
            <w:tcBorders>
              <w:bottom w:val="single" w:sz="8" w:color="auto"/>
            </w:tcBorders>
          </w:tcPr>
          <w:p>
            <w:pPr>
              <w:ind w:left="386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1"/>
                <w:szCs w:val="21"/>
                <w:color w:val="auto"/>
              </w:rPr>
            </w:pPr>
          </w:p>
        </w:tc>
        <w:tc>
          <w:tcPr>
            <w:tcW w:w="8640" w:type="dxa"/>
            <w:vAlign w:val="bottom"/>
            <w:gridSpan w:val="2"/>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Rule 13a-14a/15d-14(a) Certification of the CEO Alan S. McKim</w:t>
              </w:r>
            </w:hyperlink>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54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8640" w:type="dxa"/>
            <w:vAlign w:val="bottom"/>
            <w:gridSpan w:val="2"/>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Rule 13a-14a/15d-14(a) Certification of the CFO Michael L. Battles</w:t>
              </w:r>
            </w:hyperlink>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540"/>
        </w:trPr>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20" w:type="dxa"/>
            <w:vAlign w:val="bottom"/>
          </w:tcPr>
          <w:p>
            <w:pPr>
              <w:spacing w:after="0"/>
              <w:rPr>
                <w:sz w:val="24"/>
                <w:szCs w:val="24"/>
                <w:color w:val="auto"/>
              </w:rPr>
            </w:pPr>
          </w:p>
        </w:tc>
        <w:tc>
          <w:tcPr>
            <w:tcW w:w="8640" w:type="dxa"/>
            <w:vAlign w:val="bottom"/>
            <w:gridSpan w:val="2"/>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Section 1350 Certifications</w:t>
              </w:r>
            </w:hyperlink>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20" w:type="dxa"/>
            <w:vAlign w:val="bottom"/>
          </w:tcPr>
          <w:p>
            <w:pPr>
              <w:spacing w:after="0"/>
              <w:rPr>
                <w:sz w:val="24"/>
                <w:szCs w:val="24"/>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w w:val="97"/>
              </w:rPr>
              <w:t>Interactive Data Files Pursuant to Rule 405 of Regulation S-T: Financial statements from the quarterly report on</w:t>
            </w: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w w:val="98"/>
              </w:rPr>
              <w:t>Form 10-Q of Clean Harbors, Inc. for the quarter ended March 31, 2020, formatted in iXBRL (Inline eXtensible</w:t>
            </w:r>
          </w:p>
        </w:tc>
        <w:tc>
          <w:tcPr>
            <w:tcW w:w="1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Business Reporting Language): (i) Consolidated Balance Sheets, (ii) Unaudited Consolidated Statements of</w:t>
            </w:r>
          </w:p>
        </w:tc>
        <w:tc>
          <w:tcPr>
            <w:tcW w:w="14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w w:val="93"/>
              </w:rPr>
              <w:t>Operations, (iii) Unaudited Consolidated Statements of Comprehensive (Loss) Income, (iv) Unaudited Consolidated</w:t>
            </w:r>
          </w:p>
        </w:tc>
        <w:tc>
          <w:tcPr>
            <w:tcW w:w="1460" w:type="dxa"/>
            <w:vAlign w:val="bottom"/>
          </w:tcPr>
          <w:p>
            <w:pPr>
              <w:spacing w:after="0"/>
              <w:rPr>
                <w:sz w:val="20"/>
                <w:szCs w:val="20"/>
                <w:color w:val="auto"/>
              </w:rPr>
            </w:pPr>
          </w:p>
        </w:tc>
      </w:tr>
    </w:tbl>
    <w:p>
      <w:pPr>
        <w:ind w:left="1160" w:right="2260"/>
        <w:spacing w:after="0" w:line="260" w:lineRule="auto"/>
        <w:rPr>
          <w:sz w:val="20"/>
          <w:szCs w:val="20"/>
          <w:color w:val="auto"/>
        </w:rPr>
      </w:pPr>
      <w:r>
        <w:rPr>
          <w:rFonts w:ascii="Arial" w:cs="Arial" w:eastAsia="Arial" w:hAnsi="Arial"/>
          <w:sz w:val="18"/>
          <w:szCs w:val="18"/>
          <w:color w:val="auto"/>
        </w:rPr>
        <w:t>Statements of Cash Flows, (v) Unaudited Consolidated Statements of Stockholders’ Equity and (vi) Notes to Unaudited Consolidated Financial Statements.</w:t>
      </w:r>
    </w:p>
    <w:p>
      <w:pPr>
        <w:spacing w:after="0" w:line="145" w:lineRule="exact"/>
        <w:rPr>
          <w:sz w:val="20"/>
          <w:szCs w:val="20"/>
          <w:color w:val="auto"/>
        </w:rPr>
      </w:pPr>
    </w:p>
    <w:p>
      <w:pPr>
        <w:ind w:left="1160" w:right="2320" w:hanging="835"/>
        <w:spacing w:after="0" w:line="266"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2020, formatted in iXBRL and contained in Exhibit 101.</w:t>
      </w:r>
    </w:p>
    <w:p>
      <w:pPr>
        <w:spacing w:after="0"/>
        <w:rPr>
          <w:sz w:val="20"/>
          <w:szCs w:val="20"/>
          <w:color w:val="auto"/>
        </w:rPr>
      </w:pPr>
      <w:r>
        <w:rPr>
          <w:rFonts w:ascii="Arial" w:cs="Arial" w:eastAsia="Arial" w:hAnsi="Arial"/>
          <w:sz w:val="18"/>
          <w:szCs w:val="18"/>
          <w:color w:val="auto"/>
        </w:rPr>
        <w:t>_______________________</w:t>
      </w:r>
    </w:p>
    <w:p>
      <w:pPr>
        <w:spacing w:after="0" w:line="144" w:lineRule="exact"/>
        <w:rPr>
          <w:sz w:val="20"/>
          <w:szCs w:val="20"/>
          <w:color w:val="auto"/>
        </w:rPr>
      </w:pPr>
    </w:p>
    <w:p>
      <w:pPr>
        <w:ind w:left="660" w:right="240" w:hanging="490"/>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80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2020</w:t>
      </w:r>
    </w:p>
    <w:p>
      <w:pPr>
        <w:spacing w:after="0" w:line="333" w:lineRule="exact"/>
        <w:rPr>
          <w:sz w:val="20"/>
          <w:szCs w:val="20"/>
          <w:color w:val="auto"/>
        </w:rPr>
      </w:pPr>
    </w:p>
    <w:p>
      <w:pPr>
        <w:ind w:left="580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Michael L. Battles</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2020</w:t>
      </w: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320" w:top="125" w:right="6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260" w:firstLine="8"/>
        <w:spacing w:after="0" w:line="395" w:lineRule="auto"/>
        <w:tabs>
          <w:tab w:leader="none" w:pos="1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540" w:firstLine="8"/>
        <w:spacing w:after="0" w:line="357" w:lineRule="auto"/>
        <w:tabs>
          <w:tab w:leader="none" w:pos="1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200" w:hanging="192"/>
        <w:spacing w:after="0"/>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100" w:firstLine="8"/>
        <w:spacing w:after="0" w:line="324"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80" w:firstLine="8"/>
        <w:spacing w:after="0" w:line="357" w:lineRule="auto"/>
        <w:tabs>
          <w:tab w:leader="none" w:pos="1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40" w:firstLine="8"/>
        <w:spacing w:after="0" w:line="324"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260" w:firstLine="8"/>
        <w:spacing w:after="0" w:line="324"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ectPr>
          <w:pgSz w:w="11900" w:h="16838" w:orient="portrait"/>
          <w:cols w:equalWidth="0" w:num="1">
            <w:col w:w="11240"/>
          </w:cols>
          <w:pgMar w:left="320" w:top="55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260" w:firstLine="8"/>
        <w:spacing w:after="0" w:line="395" w:lineRule="auto"/>
        <w:tabs>
          <w:tab w:leader="none" w:pos="1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540" w:firstLine="8"/>
        <w:spacing w:after="0" w:line="357" w:lineRule="auto"/>
        <w:tabs>
          <w:tab w:leader="none" w:pos="1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200" w:hanging="192"/>
        <w:spacing w:after="0"/>
        <w:tabs>
          <w:tab w:leader="none" w:pos="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100" w:firstLine="8"/>
        <w:spacing w:after="0" w:line="324" w:lineRule="auto"/>
        <w:tabs>
          <w:tab w:leader="none" w:pos="2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80" w:firstLine="8"/>
        <w:spacing w:after="0" w:line="357" w:lineRule="auto"/>
        <w:tabs>
          <w:tab w:leader="none" w:pos="18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40" w:firstLine="8"/>
        <w:spacing w:after="0" w:line="324" w:lineRule="auto"/>
        <w:tabs>
          <w:tab w:leader="none" w:pos="2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260" w:firstLine="8"/>
        <w:spacing w:after="0" w:line="324" w:lineRule="auto"/>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ectPr>
          <w:pgSz w:w="11900" w:h="16838" w:orient="portrait"/>
          <w:cols w:equalWidth="0" w:num="1">
            <w:col w:w="11240"/>
          </w:cols>
          <w:pgMar w:left="320" w:top="55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March 31, 2020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7" w:lineRule="exact"/>
        <w:rPr>
          <w:sz w:val="20"/>
          <w:szCs w:val="20"/>
          <w:color w:val="auto"/>
        </w:rPr>
      </w:pPr>
    </w:p>
    <w:p>
      <w:pPr>
        <w:ind w:left="59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April 29, 2020</w:t>
      </w:r>
    </w:p>
    <w:p>
      <w:pPr>
        <w:spacing w:after="0" w:line="333" w:lineRule="exact"/>
        <w:rPr>
          <w:sz w:val="20"/>
          <w:szCs w:val="20"/>
          <w:color w:val="auto"/>
        </w:rPr>
      </w:pPr>
    </w:p>
    <w:p>
      <w:pPr>
        <w:ind w:left="590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Michael L. Battles</w:t>
      </w:r>
    </w:p>
    <w:p>
      <w:pPr>
        <w:spacing w:after="0" w:line="60" w:lineRule="exact"/>
        <w:rPr>
          <w:sz w:val="20"/>
          <w:szCs w:val="20"/>
          <w:color w:val="auto"/>
        </w:rPr>
      </w:pPr>
    </w:p>
    <w:p>
      <w:pPr>
        <w:ind w:left="67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April 29,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0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3"/>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2020-04-30T17:26:42Z</dcterms:created>
  <dcterms:modified xsi:type="dcterms:W3CDTF">2020-04-30T17:26:42Z</dcterms:modified>
</cp:coreProperties>
</file>