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 OF AMERICA</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OF 1934</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OF 1934</w:t>
      </w:r>
    </w:p>
    <w:p>
      <w:pPr>
        <w:sectPr>
          <w:pgSz w:w="11900" w:h="16838" w:orient="portrait"/>
          <w:cols w:equalWidth="0" w:num="1">
            <w:col w:w="11400"/>
          </w:cols>
          <w:pgMar w:left="240" w:top="233" w:right="259" w:bottom="1440" w:gutter="0" w:footer="0" w:header="0"/>
        </w:sectPr>
      </w:pPr>
    </w:p>
    <w:p>
      <w:pPr>
        <w:spacing w:after="0" w:line="21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33" w:right="259" w:bottom="144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400"/>
          </w:cols>
          <w:pgMar w:left="240" w:top="233"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6"/>
              </w:rPr>
              <w:t>Massachusetts</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04-2997780</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42 Longwater Drive, Norwell, MA</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02061-9149</w:t>
            </w:r>
          </w:p>
        </w:tc>
      </w:tr>
      <w:tr>
        <w:trPr>
          <w:trHeight w:val="270"/>
        </w:trPr>
        <w:tc>
          <w:tcPr>
            <w:tcW w:w="558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70"/>
              <w:spacing w:after="0"/>
              <w:rPr>
                <w:sz w:val="20"/>
                <w:szCs w:val="20"/>
                <w:color w:val="auto"/>
              </w:rPr>
            </w:pPr>
            <w:r>
              <w:rPr>
                <w:rFonts w:ascii="Arial" w:cs="Arial" w:eastAsia="Arial" w:hAnsi="Arial"/>
                <w:sz w:val="18"/>
                <w:szCs w:val="18"/>
                <w:color w:val="auto"/>
                <w:w w:val="91"/>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792-5000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ind w:right="120" w:firstLine="324"/>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0"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4380" w:type="dxa"/>
            <w:vAlign w:val="bottom"/>
          </w:tcPr>
          <w:p>
            <w:pPr>
              <w:jc w:val="center"/>
              <w:ind w:right="1616"/>
              <w:spacing w:after="0"/>
              <w:rPr>
                <w:sz w:val="20"/>
                <w:szCs w:val="20"/>
                <w:color w:val="auto"/>
              </w:rPr>
            </w:pPr>
            <w:r>
              <w:rPr>
                <w:rFonts w:ascii="Arial" w:cs="Arial" w:eastAsia="Arial" w:hAnsi="Arial"/>
                <w:sz w:val="18"/>
                <w:szCs w:val="18"/>
                <w:color w:val="auto"/>
                <w:w w:val="91"/>
              </w:rPr>
              <w:t>Large accelerated filer x</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2"/>
              </w:rPr>
              <w:t>Accelerated filer o</w:t>
            </w:r>
          </w:p>
        </w:tc>
      </w:tr>
      <w:tr>
        <w:trPr>
          <w:trHeight w:val="270"/>
        </w:trPr>
        <w:tc>
          <w:tcPr>
            <w:tcW w:w="4380" w:type="dxa"/>
            <w:vAlign w:val="bottom"/>
          </w:tcPr>
          <w:p>
            <w:pPr>
              <w:jc w:val="center"/>
              <w:ind w:right="1596"/>
              <w:spacing w:after="0"/>
              <w:rPr>
                <w:sz w:val="20"/>
                <w:szCs w:val="20"/>
                <w:color w:val="auto"/>
              </w:rPr>
            </w:pPr>
            <w:r>
              <w:rPr>
                <w:rFonts w:ascii="Arial" w:cs="Arial" w:eastAsia="Arial" w:hAnsi="Arial"/>
                <w:sz w:val="18"/>
                <w:szCs w:val="18"/>
                <w:color w:val="auto"/>
                <w:w w:val="91"/>
              </w:rPr>
              <w:t>Non-accelerated filer o</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1"/>
              </w:rPr>
              <w:t>Smaller reporting company o</w:t>
            </w:r>
          </w:p>
        </w:tc>
      </w:tr>
      <w:tr>
        <w:trPr>
          <w:trHeight w:val="285"/>
        </w:trPr>
        <w:tc>
          <w:tcPr>
            <w:tcW w:w="4380" w:type="dxa"/>
            <w:vAlign w:val="bottom"/>
          </w:tcPr>
          <w:p>
            <w:pPr>
              <w:jc w:val="center"/>
              <w:ind w:right="1616"/>
              <w:spacing w:after="0"/>
              <w:rPr>
                <w:sz w:val="20"/>
                <w:szCs w:val="20"/>
                <w:color w:val="auto"/>
              </w:rPr>
            </w:pPr>
            <w:r>
              <w:rPr>
                <w:rFonts w:ascii="Arial" w:cs="Arial" w:eastAsia="Arial" w:hAnsi="Arial"/>
                <w:sz w:val="14"/>
                <w:szCs w:val="14"/>
                <w:color w:val="auto"/>
                <w:w w:val="94"/>
              </w:rPr>
              <w:t>(Do not check if a smaller reporting company)</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1"/>
              </w:rPr>
              <w:t>Emerging growth company o</w:t>
            </w:r>
          </w:p>
        </w:tc>
      </w:tr>
    </w:tbl>
    <w:p>
      <w:pPr>
        <w:spacing w:after="0" w:line="21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00"/>
          </w:cols>
          <w:pgMar w:left="240" w:top="233" w:right="259" w:bottom="1440" w:gutter="0" w:footer="0" w:header="0"/>
          <w:type w:val="continuous"/>
        </w:sectPr>
      </w:pPr>
    </w:p>
    <w:p>
      <w:pPr>
        <w:spacing w:after="0" w:line="16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56,088,908</w:t>
      </w:r>
    </w:p>
    <w:p>
      <w:pPr>
        <w:spacing w:after="0" w:line="90" w:lineRule="exact"/>
        <w:rPr>
          <w:sz w:val="24"/>
          <w:szCs w:val="24"/>
          <w:color w:val="auto"/>
        </w:rPr>
      </w:pPr>
    </w:p>
    <w:p>
      <w:pPr>
        <w:sectPr>
          <w:pgSz w:w="11900" w:h="16838" w:orient="portrait"/>
          <w:cols w:equalWidth="0" w:num="2">
            <w:col w:w="7580" w:space="720"/>
            <w:col w:w="3100"/>
          </w:cols>
          <w:pgMar w:left="240" w:top="233" w:right="259" w:bottom="1440" w:gutter="0" w:footer="0" w:header="0"/>
          <w:type w:val="continuous"/>
        </w:sectPr>
      </w:pPr>
    </w:p>
    <w:p>
      <w:pPr>
        <w:ind w:left="258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(Outstanding as of July 30, 2018)</w:t>
      </w:r>
    </w:p>
    <w:p>
      <w:pPr>
        <w:sectPr>
          <w:pgSz w:w="11900" w:h="16838" w:orient="portrait"/>
          <w:cols w:equalWidth="0" w:num="2">
            <w:col w:w="6780" w:space="720"/>
            <w:col w:w="390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4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w w:val="98"/>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4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54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36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920" w:type="dxa"/>
            <w:vAlign w:val="bottom"/>
            <w:gridSpan w:val="11"/>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Stockholders’ Equity</w:t>
              </w:r>
            </w:hyperlink>
          </w:p>
        </w:tc>
        <w:tc>
          <w:tcPr>
            <w:tcW w:w="624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Arial" w:cs="Arial" w:eastAsia="Arial" w:hAnsi="Arial"/>
                <w:sz w:val="18"/>
                <w:szCs w:val="18"/>
                <w:b w:val="1"/>
                <w:bCs w:val="1"/>
                <w:color w:val="0000FF"/>
                <w:w w:val="89"/>
              </w:rPr>
            </w:pPr>
            <w:hyperlink w:anchor="page46">
              <w:r>
                <w:rPr>
                  <w:rFonts w:ascii="Arial" w:cs="Arial" w:eastAsia="Arial" w:hAnsi="Arial"/>
                  <w:sz w:val="18"/>
                  <w:szCs w:val="18"/>
                  <w:b w:val="1"/>
                  <w:bCs w:val="1"/>
                  <w:color w:val="0000FF"/>
                  <w:w w:val="89"/>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Arial" w:cs="Arial" w:eastAsia="Arial" w:hAnsi="Arial"/>
                <w:sz w:val="18"/>
                <w:szCs w:val="18"/>
                <w:b w:val="1"/>
                <w:bCs w:val="1"/>
                <w:color w:val="0000FF"/>
                <w:w w:val="94"/>
              </w:rPr>
            </w:pPr>
            <w:hyperlink w:anchor="page46">
              <w:r>
                <w:rPr>
                  <w:rFonts w:ascii="Arial" w:cs="Arial" w:eastAsia="Arial" w:hAnsi="Arial"/>
                  <w:sz w:val="18"/>
                  <w:szCs w:val="18"/>
                  <w:b w:val="1"/>
                  <w:bCs w:val="1"/>
                  <w:color w:val="0000FF"/>
                  <w:w w:val="94"/>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Arial" w:cs="Arial" w:eastAsia="Arial" w:hAnsi="Arial"/>
                <w:sz w:val="18"/>
                <w:szCs w:val="18"/>
                <w:b w:val="1"/>
                <w:bCs w:val="1"/>
                <w:color w:val="0000FF"/>
                <w:w w:val="96"/>
              </w:rPr>
            </w:pPr>
            <w:hyperlink w:anchor="page47">
              <w:r>
                <w:rPr>
                  <w:rFonts w:ascii="Arial" w:cs="Arial" w:eastAsia="Arial" w:hAnsi="Arial"/>
                  <w:sz w:val="18"/>
                  <w:szCs w:val="18"/>
                  <w:b w:val="1"/>
                  <w:bCs w:val="1"/>
                  <w:color w:val="0000FF"/>
                  <w:w w:val="96"/>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b w:val="1"/>
                <w:bCs w:val="1"/>
                <w:color w:val="0000FF"/>
                <w:w w:val="85"/>
              </w:rPr>
            </w:pPr>
            <w:hyperlink w:anchor="page48">
              <w:r>
                <w:rPr>
                  <w:rFonts w:ascii="Arial" w:cs="Arial" w:eastAsia="Arial" w:hAnsi="Arial"/>
                  <w:sz w:val="18"/>
                  <w:szCs w:val="18"/>
                  <w:b w:val="1"/>
                  <w:bCs w:val="1"/>
                  <w:color w:val="0000FF"/>
                  <w:w w:val="85"/>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r>
      <w:tr>
        <w:trPr>
          <w:trHeight w:val="264"/>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197,068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319,399</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 of allowances aggregating $34,033 and $27,799, respectively</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590,580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528,924</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20,445</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176,012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35,175</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1,154,056</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1,609,382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497,251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478,523</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Permits and other 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17,498</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969,597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965,149</w:t>
            </w:r>
          </w:p>
        </w:tc>
      </w:tr>
      <w:tr>
        <w:trPr>
          <w:trHeight w:val="297"/>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3,715,461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3,706,570</w:t>
            </w:r>
          </w:p>
        </w:tc>
      </w:tr>
      <w:tr>
        <w:trPr>
          <w:trHeight w:val="271"/>
        </w:trPr>
        <w:tc>
          <w:tcPr>
            <w:tcW w:w="8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4,000</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224,231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67,822</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187,982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19,782</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$6,514 and $6,444,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54,593</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$16,493 and $13,338, respectively</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104,782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111,130</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obligations,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1,625,537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222,246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223,291</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2,010,745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2,014,551</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Commitments and contingent liabilities (See Note 16)</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Common stock, $.01 par value:</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Authorized 80,000,000; shares issued and outstanding 56,087,256 and 56,501,190 shares,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664,948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686,962</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earnings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689,634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673,082</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1,161,048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1,188,202</w:t>
            </w:r>
          </w:p>
        </w:tc>
      </w:tr>
      <w:tr>
        <w:trPr>
          <w:trHeight w:val="257"/>
        </w:trPr>
        <w:tc>
          <w:tcPr>
            <w:tcW w:w="824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3,715,461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3,706,570</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696,779</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610,940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1,316,498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1,171,154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152,361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282,420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270,575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849,140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752,788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1,598,918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1,441,729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473,423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412,356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921,072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803,443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110,161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208,937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212,945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583,584</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1,130,009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1,016,388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125,995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241,083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224,515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72,760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143,943</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64,353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75,344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31,722</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3"/>
              </w:rPr>
              <w:t>Interest expense, net of interest income of $587, $311, $1,350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$520, 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(20,769)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(41,039)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(45,068)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44,430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13,683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30,747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to compute earnings per share - 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56,410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56,304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Shares used to compute earnings per share -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56,505</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57,336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56,399</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57,349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30,747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 xml:space="preserve">Unrealized (losses) gains on available-for-sale securities </w:t>
            </w:r>
            <w:r>
              <w:rPr>
                <w:rFonts w:ascii="Arial" w:cs="Arial" w:eastAsia="Arial" w:hAnsi="Arial"/>
                <w:sz w:val="18"/>
                <w:szCs w:val="18"/>
                <w:color w:val="auto"/>
                <w:w w:val="94"/>
                <w:shd w:val="clear" w:color="auto" w:fill="CCEEFF"/>
              </w:rPr>
              <w:t>(net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 xml:space="preserve">tax </w:t>
            </w:r>
            <w:r>
              <w:rPr>
                <w:rFonts w:ascii="Arial" w:cs="Arial" w:eastAsia="Arial" w:hAnsi="Arial"/>
                <w:sz w:val="18"/>
                <w:szCs w:val="18"/>
                <w:color w:val="auto"/>
              </w:rPr>
              <w:t>of $8, $20, $88 and $122,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Reclassification adjustment for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w w:val="92"/>
              </w:rPr>
              <w:t>securities included in net income (net of taxes of $0, $29, $0 and</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$79, respectively)</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Foreign currency translation adjustments (including a tax benefit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$5.6 million in 2018)</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20,847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21,149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25,805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25,636</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8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18,116</w:t>
            </w:r>
          </w:p>
        </w:tc>
        <w:tc>
          <w:tcPr>
            <w:tcW w:w="10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4,487</w:t>
            </w: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147,604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143,943</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Allowance for doubtful accounts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3,580</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 and debt discount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1,660</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Accretion of environmental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4,706</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Changes in environmental liability estimates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6,639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5,172</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2,382</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Gain on sale of business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(31,722)</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early extinguishment of debt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6,045</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Environmental expenditures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(4,585)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(6,102)</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Accounts receivable and unbilled accounts receivable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(62,764)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(31,154)</w:t>
            </w: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Inventories and supplies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w:t>
            </w: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13,918</w:t>
            </w: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23,605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w:t>
            </w:r>
          </w:p>
        </w:tc>
      </w:tr>
      <w:tr>
        <w:trPr>
          <w:trHeight w:val="264"/>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8,948</w:t>
            </w:r>
          </w:p>
        </w:tc>
      </w:tr>
      <w:tr>
        <w:trPr>
          <w:trHeight w:val="25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from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129,670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116,931</w:t>
            </w:r>
          </w:p>
        </w:tc>
      </w:tr>
      <w:tr>
        <w:trPr>
          <w:trHeight w:val="258"/>
        </w:trPr>
        <w:tc>
          <w:tcPr>
            <w:tcW w:w="8260" w:type="dxa"/>
            <w:vAlign w:val="bottom"/>
          </w:tcPr>
          <w:p>
            <w:pPr>
              <w:ind w:left="180"/>
              <w:spacing w:after="0"/>
              <w:rPr>
                <w:sz w:val="20"/>
                <w:szCs w:val="20"/>
                <w:color w:val="auto"/>
              </w:rPr>
            </w:pPr>
            <w:r>
              <w:rPr>
                <w:rFonts w:ascii="Arial" w:cs="Arial" w:eastAsia="Arial" w:hAnsi="Arial"/>
                <w:sz w:val="14"/>
                <w:szCs w:val="14"/>
                <w:color w:val="auto"/>
              </w:rPr>
              <w:t>Cash flows used in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(94,139)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(88,742)</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and disposal of fixed assets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2,121</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(9,277)</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of businesses, net of transactional costs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46,391</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w:t>
            </w:r>
          </w:p>
        </w:tc>
      </w:tr>
      <w:tr>
        <w:trPr>
          <w:trHeight w:val="264"/>
        </w:trPr>
        <w:tc>
          <w:tcPr>
            <w:tcW w:w="8260" w:type="dxa"/>
            <w:vAlign w:val="bottom"/>
          </w:tcPr>
          <w:p>
            <w:pPr>
              <w:ind w:left="340"/>
              <w:spacing w:after="0"/>
              <w:rPr>
                <w:sz w:val="20"/>
                <w:szCs w:val="20"/>
                <w:color w:val="auto"/>
              </w:rPr>
            </w:pPr>
            <w:r>
              <w:rPr>
                <w:rFonts w:ascii="Arial" w:cs="Arial" w:eastAsia="Arial" w:hAnsi="Arial"/>
                <w:sz w:val="14"/>
                <w:szCs w:val="14"/>
                <w:color w:val="auto"/>
              </w:rPr>
              <w:t>Proceeds from sale of available-for-sale securities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376</w:t>
            </w:r>
          </w:p>
        </w:tc>
      </w:tr>
      <w:tr>
        <w:trPr>
          <w:trHeight w:val="270"/>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available-for-sale securities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(10,001)</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(216,141)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(50,370)</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(used in) from financing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 in uncashed checks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(8,361)</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Tax payments related to withholdings on vested restricted stock</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(2,132)</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Repurchases of common stock</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(12,257)</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Deferred financing costs paid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(4,727)</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Premiums paid on early extinguishment of debt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Principal payment on debt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(296,202)</w:t>
            </w:r>
          </w:p>
        </w:tc>
      </w:tr>
      <w:tr>
        <w:trPr>
          <w:trHeight w:val="270"/>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senior secured notes, net of discount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399,000</w:t>
            </w:r>
          </w:p>
        </w:tc>
      </w:tr>
      <w:tr>
        <w:trPr>
          <w:trHeight w:val="250"/>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from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(33,928)</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70,702</w:t>
            </w:r>
          </w:p>
        </w:tc>
      </w:tr>
      <w:tr>
        <w:trPr>
          <w:trHeight w:val="25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 on cash</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2,106</w:t>
            </w:r>
          </w:p>
        </w:tc>
      </w:tr>
      <w:tr>
        <w:trPr>
          <w:trHeight w:val="250"/>
        </w:trPr>
        <w:tc>
          <w:tcPr>
            <w:tcW w:w="8260" w:type="dxa"/>
            <w:vAlign w:val="bottom"/>
          </w:tcPr>
          <w:p>
            <w:pPr>
              <w:ind w:left="180"/>
              <w:spacing w:after="0"/>
              <w:rPr>
                <w:sz w:val="20"/>
                <w:szCs w:val="20"/>
                <w:color w:val="auto"/>
              </w:rPr>
            </w:pPr>
            <w:r>
              <w:rPr>
                <w:rFonts w:ascii="Arial" w:cs="Arial" w:eastAsia="Arial" w:hAnsi="Arial"/>
                <w:sz w:val="14"/>
                <w:szCs w:val="14"/>
                <w:color w:val="auto"/>
              </w:rPr>
              <w:t>(Decrease) increase in cash and cash equivalents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(122,331)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139,369</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319,399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306,997</w:t>
            </w:r>
          </w:p>
        </w:tc>
      </w:tr>
      <w:tr>
        <w:trPr>
          <w:trHeight w:val="283"/>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197,068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446,366</w:t>
            </w:r>
          </w:p>
        </w:tc>
      </w:tr>
      <w:tr>
        <w:trPr>
          <w:trHeight w:val="251"/>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Supplemental information: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4"/>
        </w:trPr>
        <w:tc>
          <w:tcPr>
            <w:tcW w:w="8260" w:type="dxa"/>
            <w:vAlign w:val="bottom"/>
          </w:tcPr>
          <w:p>
            <w:pPr>
              <w:ind w:left="180"/>
              <w:spacing w:after="0"/>
              <w:rPr>
                <w:sz w:val="20"/>
                <w:szCs w:val="20"/>
                <w:color w:val="auto"/>
              </w:rPr>
            </w:pPr>
            <w:r>
              <w:rPr>
                <w:rFonts w:ascii="Arial" w:cs="Arial" w:eastAsia="Arial" w:hAnsi="Arial"/>
                <w:sz w:val="14"/>
                <w:szCs w:val="14"/>
                <w:color w:val="auto"/>
              </w:rPr>
              <w:t>Cash payments for interest and income taxes: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paid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40,745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50,432</w:t>
            </w: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Income taxes paid</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14,118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13,407</w:t>
            </w: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investing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Property, plant and equipment accrued</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13,041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16,213</w:t>
            </w: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Transfer of inventory to property, plant and equipment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12,641</w:t>
            </w:r>
          </w:p>
        </w:tc>
      </w:tr>
    </w:tbl>
    <w:p>
      <w:pPr>
        <w:spacing w:after="0" w:line="40" w:lineRule="exact"/>
        <w:rPr>
          <w:sz w:val="20"/>
          <w:szCs w:val="20"/>
          <w:color w:val="auto"/>
        </w:rPr>
      </w:pPr>
    </w:p>
    <w:p>
      <w:pPr>
        <w:sectPr>
          <w:pgSz w:w="11900" w:h="16838" w:orient="portrait"/>
          <w:cols w:equalWidth="0" w:num="1">
            <w:col w:w="11360"/>
          </w:cols>
          <w:pgMar w:left="240" w:top="125" w:right="299" w:bottom="0" w:gutter="0" w:footer="0" w:header="0"/>
        </w:sect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ectPr>
          <w:pgSz w:w="11900" w:h="16838" w:orient="portrait"/>
          <w:cols w:equalWidth="0" w:num="1">
            <w:col w:w="11360"/>
          </w:cols>
          <w:pgMar w:left="240" w:top="125" w:right="29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8"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$ 0.01</w:t>
            </w: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Par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3"/>
              </w:rPr>
              <w:t>$686,962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673,082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4"/>
              </w:rPr>
              <w:t>$ 1,188,202</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Cumulative effect of change in accounting principle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rPr>
              <w:t>Issuance of restricted shares, net of shares remitted and tax</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withholdings</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(26,482)</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56,087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3"/>
              </w:rPr>
              <w:t>$664,948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(194,095)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689,634</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4"/>
              </w:rPr>
              <w:t>$ 1,161,048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firstLine="621"/>
        <w:spacing w:after="0" w:line="254" w:lineRule="auto"/>
        <w:rPr>
          <w:sz w:val="20"/>
          <w:szCs w:val="20"/>
          <w:color w:val="auto"/>
        </w:rPr>
      </w:pPr>
      <w:r>
        <w:rPr>
          <w:rFonts w:ascii="Arial" w:cs="Arial" w:eastAsia="Arial" w:hAnsi="Arial"/>
          <w:sz w:val="18"/>
          <w:szCs w:val="18"/>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connection with the financial statements included in the Company’s Annual Report on Form 10-K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2017. There have been no material changes in these policies or their application except for the changes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the Company's operations through the sharing of resources, namely labor and equipment which will reduce third party spend and promote the cross selling of such business offerings. In connection with this reorganization, the Company’s chief operating decision maker also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(i) the Environmental Services segment which consists of the Company’s historical Technical Services, Industrial Services, Field Services and Oil, Gas and Lodging businesses and (ii) the Safety-Kleen segment. See Note 18, </w:t>
      </w:r>
      <w:r>
        <w:rPr>
          <w:rFonts w:ascii="Arial" w:cs="Arial" w:eastAsia="Arial" w:hAnsi="Arial"/>
          <w:sz w:val="17"/>
          <w:szCs w:val="17"/>
          <w:i w:val="1"/>
          <w:iCs w:val="1"/>
          <w:color w:val="auto"/>
        </w:rPr>
        <w:t>"</w:t>
      </w:r>
      <w:r>
        <w:rPr>
          <w:rFonts w:ascii="Arial" w:cs="Arial" w:eastAsia="Arial" w:hAnsi="Arial"/>
          <w:sz w:val="17"/>
          <w:szCs w:val="17"/>
          <w:color w:val="auto"/>
        </w:rPr>
        <w:t>Segment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for more information. The amounts presented for the three and six months ended June 30, 2017 have been recast to reflect the impact of such changes. These reclassifications and adjustments had no effect on the consolidated statements of operations, consolidated statements of comprehensive loss, consolidated statements of cash flows or consolidated statements of stockholders' equity for any of the periods presented.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implemented</w:t>
      </w:r>
    </w:p>
    <w:p>
      <w:pPr>
        <w:spacing w:after="0" w:line="144"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replaces numerous requirements in U.S. GAAP, including industry-specific requirements, and provides companies with a single revenue recognition model for recognizing revenue from contracts with customers. 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On January 1, 2018, the Company adopted Topic 606 using the modified retrospective method for all contracts. Results for reporting periods beginning on the date of adoption are presented under ASC 606, while prior period amounts have not been adjusted and continue to be reported in accordance with the Company's historical accounting methodology pursuant to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Upon adoption, a cumulative effect adjustment was not required as the majority of the Company’s contracts are recognized based on time and materials incurred and were not impacted by the new guidance. The Company has concluded that the most significant impact of the standard relates to the incremental disclosures required.</w:t>
      </w:r>
    </w:p>
    <w:p>
      <w:pPr>
        <w:spacing w:after="0" w:line="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 - Intra-Entity Transfers of Assets Other than Inventory</w:t>
      </w:r>
      <w:r>
        <w:rPr>
          <w:rFonts w:ascii="Arial" w:cs="Arial" w:eastAsia="Arial" w:hAnsi="Arial"/>
          <w:sz w:val="18"/>
          <w:szCs w:val="18"/>
          <w:color w:val="auto"/>
        </w:rPr>
        <w:t>. The amendment improves the accounting for the income tax consequences of intra-entity transfers of assets other than inventory.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adopted the amendment on a modified retrospective basis effective January 1, 2018. As a result of adoption, the Company recorded a cumulative effect adjustment that reduced retained earnings by $1.6 million.</w:t>
      </w:r>
    </w:p>
    <w:p>
      <w:pPr>
        <w:spacing w:after="0" w:line="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amendment requires an employer to report the service cost component of net benefit cost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In addition, the amendment allows only the service cost component to be eligible for capitalization when applicable. The Company adopted the amendment in the first quarter of 2018. Adoption did not have a material impact on the Company's consolidated financial statements.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to be implemented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evaluating the impact that the below standards to be implemented will have on the Company's consolidated financial statements.</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In February 2016,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 increases transparency and comparability among organizations by recognizing lease assets and lease liabilities on the balance sheet and disclosing key information about leasing arrangements. In February 2018, FASB issued ASU 2018-01, </w:t>
      </w:r>
      <w:r>
        <w:rPr>
          <w:rFonts w:ascii="Arial" w:cs="Arial" w:eastAsia="Arial" w:hAnsi="Arial"/>
          <w:sz w:val="16"/>
          <w:szCs w:val="16"/>
          <w:i w:val="1"/>
          <w:iCs w:val="1"/>
          <w:color w:val="auto"/>
        </w:rPr>
        <w:t>Leases (Topic 842): Land Easement Practical Expedient for Transition to Topic 842</w:t>
      </w:r>
      <w:r>
        <w:rPr>
          <w:rFonts w:ascii="Arial" w:cs="Arial" w:eastAsia="Arial" w:hAnsi="Arial"/>
          <w:sz w:val="16"/>
          <w:szCs w:val="16"/>
          <w:color w:val="auto"/>
        </w:rPr>
        <w:t xml:space="preserve">. The amendment clarifies that land easements are within the scope of the new leases standard (ASC 842) and introduces a new transition practical expedient allowing a company to not assess whether existing and expired land easements that were not previously accounted for as leases under current US GAAP (ASC 840) are or contain leases under ASC 842. In July 2018,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The amendment provides improvements that clarify specific aspects of the guidance in ASU 2016-02. The Company will adopt the new standard beginning on January 1, 2019. A modified retrospective transition approach is required for leases existing at, or entered into after, the beginning of the earliest comparative period presented in the financial statements, with certain practical expedients available. While the Company is still continuing to assess the effect of adoption, it expects that the new standard will have a material effect on its consolidated balance sheet related to the recognition of new assets and lease liabilities. In preparation for the adoption of the guidance, the Company is in the process of implementing new software and assessing changes to controls and processes to enable the preparation of financial information.</w:t>
      </w:r>
    </w:p>
    <w:p>
      <w:pPr>
        <w:spacing w:after="0" w:line="9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June 2016,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 changes the way entities recognize impairment of many financial assets, including accounts receivable and investments in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by requiring immediate recognition of estimated credit losses expected to occur over their remaining lives. The amendment should be applied using a modified-retrospective approach and is effective for the Company for annual and interim reporting periods beginning after January 1, 2020, with early adoption permitted. The Company is currently evaluating the impact ASU 2016-13 will have on its consolidated financial statements.</w:t>
      </w:r>
    </w:p>
    <w:p>
      <w:pPr>
        <w:spacing w:after="0" w:line="9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The amendment better aligns an entity’s risk management activities and financial reporting for hedging relationships through changes to both the designation and measurement guidance for qualifying hedging relationships and the presentation of hedge results. The amendment is effective for the Company for annual and interim reporting periods beginning after December 15, 2018, with early adoption permitted. The Company is currently evaluating the impact ASU 2017-12 will have on its consolidated financial statements.</w:t>
      </w:r>
    </w:p>
    <w:p>
      <w:pPr>
        <w:spacing w:after="0" w:line="319" w:lineRule="exact"/>
        <w:rPr>
          <w:sz w:val="20"/>
          <w:szCs w:val="20"/>
          <w:color w:val="auto"/>
        </w:rPr>
      </w:pPr>
    </w:p>
    <w:p>
      <w:pPr>
        <w:ind w:right="9780" w:firstLine="8"/>
        <w:spacing w:after="0" w:line="460" w:lineRule="auto"/>
        <w:tabs>
          <w:tab w:leader="none" w:pos="25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REVENUES Revenue Recognition</w:t>
      </w:r>
    </w:p>
    <w:p>
      <w:pPr>
        <w:spacing w:after="0" w:line="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the Company expects to be entitled to in exchange for those goods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generates services and product revenues through its Environmental Services and Safety-Kleen operating segments. The majority of the Company’s contracts are for services, which are recognized based on time and materials incurred at contractually agreed-upon rates. Product revenues are recognized when the products are delivered and control transfers to the customer. The Company’s payment terms vary by the type and location of its customers and the products or services offered.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term between invoicing and when payment is due is not significant. The Company excludes sales taxes that it collects from customers from its revenues.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4"/>
              </w:rPr>
              <w:t>For the Three Months Ended June 30, 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6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right w:val="single" w:sz="8" w:color="CCEEFF"/>
            </w:tcBorders>
          </w:tcPr>
          <w:p>
            <w:pPr>
              <w:spacing w:after="0"/>
              <w:rPr>
                <w:sz w:val="21"/>
                <w:szCs w:val="21"/>
                <w:color w:val="auto"/>
              </w:rPr>
            </w:pPr>
          </w:p>
        </w:tc>
        <w:tc>
          <w:tcPr>
            <w:tcW w:w="2420" w:type="dxa"/>
            <w:vAlign w:val="bottom"/>
            <w:tcBorders>
              <w:top w:val="single" w:sz="8" w:color="CCEEFF"/>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408,127</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306,059</w:t>
            </w:r>
          </w:p>
        </w:tc>
        <w:tc>
          <w:tcPr>
            <w:tcW w:w="10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3"/>
              </w:rPr>
              <w:t>363</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714,549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111,789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22,656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134,591</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519,916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328,715</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509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849,140</w:t>
            </w:r>
          </w:p>
        </w:tc>
      </w:tr>
      <w:tr>
        <w:trPr>
          <w:trHeight w:val="27"/>
        </w:trPr>
        <w:tc>
          <w:tcPr>
            <w:tcW w:w="40" w:type="dxa"/>
            <w:vAlign w:val="bottom"/>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17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Sources of Revenue (1)</w:t>
            </w:r>
          </w:p>
        </w:tc>
        <w:tc>
          <w:tcPr>
            <w:tcW w:w="244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257,006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257,006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Field and Emergency Response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76,092</w:t>
            </w: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161,046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161,046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Oil, Gas and Lodging Services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26,281</w:t>
            </w: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200,034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200,034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Kleen Performance Products</w:t>
            </w: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128,681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128,681</w:t>
            </w:r>
          </w:p>
        </w:tc>
      </w:tr>
      <w:tr>
        <w:trPr>
          <w:trHeight w:val="237"/>
        </w:trPr>
        <w:tc>
          <w:tcPr>
            <w:tcW w:w="4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519,916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328,715</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509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849,140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9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4"/>
              </w:rPr>
              <w:t>For the Three Months Ended June 30, 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6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Borders>
              <w:right w:val="single" w:sz="8" w:color="CCEEFF"/>
            </w:tcBorders>
          </w:tcPr>
          <w:p>
            <w:pPr>
              <w:spacing w:after="0"/>
              <w:rPr>
                <w:sz w:val="21"/>
                <w:szCs w:val="21"/>
                <w:color w:val="auto"/>
              </w:rPr>
            </w:pPr>
          </w:p>
        </w:tc>
        <w:tc>
          <w:tcPr>
            <w:tcW w:w="2420" w:type="dxa"/>
            <w:vAlign w:val="bottom"/>
            <w:tcBorders>
              <w:top w:val="single" w:sz="8" w:color="CCEEFF"/>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20" w:type="dxa"/>
            <w:vAlign w:val="bottom"/>
            <w:tcBorders>
              <w:top w:val="single" w:sz="8" w:color="CCEEFF"/>
              <w:bottom w:val="single" w:sz="8" w:color="auto"/>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343,323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280,617</w:t>
            </w:r>
          </w:p>
        </w:tc>
        <w:tc>
          <w:tcPr>
            <w:tcW w:w="100" w:type="dxa"/>
            <w:vAlign w:val="bottom"/>
          </w:tcPr>
          <w:p>
            <w:pPr>
              <w:spacing w:after="0"/>
              <w:rPr>
                <w:sz w:val="21"/>
                <w:szCs w:val="21"/>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624,095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680" w:type="dxa"/>
            <w:vAlign w:val="bottom"/>
            <w:tcBorders>
              <w:bottom w:val="single" w:sz="8" w:color="CCEEFF"/>
            </w:tcBorders>
            <w:gridSpan w:val="2"/>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106,308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22,339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128,693</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449,631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302,956</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752,788</w:t>
            </w:r>
          </w:p>
        </w:tc>
      </w:tr>
      <w:tr>
        <w:trPr>
          <w:trHeight w:val="27"/>
        </w:trPr>
        <w:tc>
          <w:tcPr>
            <w:tcW w:w="40" w:type="dxa"/>
            <w:vAlign w:val="bottom"/>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17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Sources of Revenue (1)</w:t>
            </w:r>
          </w:p>
        </w:tc>
        <w:tc>
          <w:tcPr>
            <w:tcW w:w="244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254,487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254,487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Field and Emergency Response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70,707</w:t>
            </w: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99,733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99,733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Oil, Gas and Lodging Services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24,905</w:t>
            </w: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192,817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192,817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Kleen Performance Products</w:t>
            </w: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110,139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110,139</w:t>
            </w:r>
          </w:p>
        </w:tc>
      </w:tr>
      <w:tr>
        <w:trPr>
          <w:trHeight w:val="237"/>
        </w:trPr>
        <w:tc>
          <w:tcPr>
            <w:tcW w:w="4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449,631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302,956</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201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752,788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9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6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Safety-Kleen</w:t>
            </w: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420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752,099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593,701</w:t>
            </w:r>
          </w:p>
        </w:tc>
        <w:tc>
          <w:tcPr>
            <w:tcW w:w="10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3"/>
              </w:rPr>
              <w:t>508</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1,346,308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680" w:type="dxa"/>
            <w:vAlign w:val="bottom"/>
            <w:tcBorders>
              <w:bottom w:val="single" w:sz="8" w:color="CCEEFF"/>
            </w:tcBorders>
            <w:gridSpan w:val="2"/>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207,505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44,932</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252,610</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959,604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638,633</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1,598,918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shd w:val="clear" w:color="auto" w:fill="CCEEFF"/>
          </w:tcPr>
          <w:p>
            <w:pPr>
              <w:spacing w:after="0"/>
              <w:rPr>
                <w:sz w:val="17"/>
                <w:szCs w:val="17"/>
                <w:color w:val="auto"/>
              </w:rPr>
            </w:pPr>
          </w:p>
        </w:tc>
        <w:tc>
          <w:tcPr>
            <w:tcW w:w="42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Sources of Revenue (1)</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1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Technical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493,312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493,312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Field and Emergency Response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146,027</w:t>
            </w: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264,809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264,809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Oil, Gas and Lodging Services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55,456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56,137</w:t>
            </w:r>
          </w:p>
        </w:tc>
      </w:tr>
      <w:tr>
        <w:trPr>
          <w:trHeight w:val="243"/>
        </w:trPr>
        <w:tc>
          <w:tcPr>
            <w:tcW w:w="40" w:type="dxa"/>
            <w:vAlign w:val="bottom"/>
          </w:tcPr>
          <w:p>
            <w:pPr>
              <w:spacing w:after="0"/>
              <w:rPr>
                <w:sz w:val="21"/>
                <w:szCs w:val="21"/>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394,195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394,195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Kleen Performance Products</w:t>
            </w: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244,438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244,438</w:t>
            </w:r>
          </w:p>
        </w:tc>
      </w:tr>
      <w:tr>
        <w:trPr>
          <w:trHeight w:val="237"/>
        </w:trPr>
        <w:tc>
          <w:tcPr>
            <w:tcW w:w="40" w:type="dxa"/>
            <w:vAlign w:val="bottom"/>
          </w:tcPr>
          <w:p>
            <w:pPr>
              <w:spacing w:after="0"/>
              <w:rPr>
                <w:sz w:val="20"/>
                <w:szCs w:val="20"/>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959,604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638,633</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1,598,918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Six Months Ended June 30, 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657,106</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552,688</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1,210,082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6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188,432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43,169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231,647</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845,538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595,857</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1,441,729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Sources of Revenue (1)</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Technical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484,705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484,705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Field and Emergency Response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131,726</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174,801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174,801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Oil, Gas and Lodging Services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54,640</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384,544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384,544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Kleen Performance Products</w:t>
            </w:r>
          </w:p>
        </w:tc>
        <w:tc>
          <w:tcPr>
            <w:tcW w:w="1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211,313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211,313</w:t>
            </w: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845,538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595,857</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1,441,729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jc w:val="both"/>
        <w:ind w:left="660" w:right="8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revenue except Kleen Performance Products and product sales within Safety-Kleen Environmental Services, including allied products and direct blended oil sales, are recognized over time. Kleen Performance Products and Safety-Kleen Environmental Services product revenues are recognized at a point in time.</w:t>
      </w:r>
    </w:p>
    <w:p>
      <w:pPr>
        <w:spacing w:after="0" w:line="1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Technical Services. </w:t>
      </w:r>
      <w:r>
        <w:rPr>
          <w:rFonts w:ascii="Arial" w:cs="Arial" w:eastAsia="Arial" w:hAnsi="Arial"/>
          <w:sz w:val="16"/>
          <w:szCs w:val="16"/>
          <w:color w:val="auto"/>
        </w:rPr>
        <w:t>Technical Services revenues are generated from fees charged for waste material management and disposal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 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location of the customer, but generally is measured in days.</w:t>
      </w:r>
    </w:p>
    <w:p>
      <w:pPr>
        <w:spacing w:after="0" w:line="17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 xml:space="preserve">Field and Emergency Response Services. </w:t>
      </w:r>
      <w:r>
        <w:rPr>
          <w:rFonts w:ascii="Arial" w:cs="Arial" w:eastAsia="Arial" w:hAnsi="Arial"/>
          <w:sz w:val="17"/>
          <w:szCs w:val="17"/>
          <w:color w:val="auto"/>
        </w:rPr>
        <w:t>Field Services revenues are generated from cleanup services at customer sites, including municipalities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Industrial Services. </w:t>
      </w:r>
      <w:r>
        <w:rPr>
          <w:rFonts w:ascii="Arial" w:cs="Arial" w:eastAsia="Arial" w:hAnsi="Arial"/>
          <w:sz w:val="18"/>
          <w:szCs w:val="18"/>
          <w:color w:val="auto"/>
        </w:rPr>
        <w:t>Industrial Services revenues are generated from industrial and specialty services provided to refineries, mines, upgraders,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plants, pulp and paper mills, manufacturing facilities, power generation facilities and other industrial customers throughout North America. Services include in-plant cleaning and maintenance services, plant outage and turnaround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services, decoking and pigging, chemical cleaning, high and ultra-high pressure water cleaning, pipeline inspection and coating services, large tank and surface impoundment cleaning, oilfield transport, daylighting, production services and directional boring services (previously included in Oil, Gas and Lodging service offerings)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w:t>
      </w:r>
    </w:p>
    <w:p>
      <w:pPr>
        <w:spacing w:after="0" w:line="16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i w:val="1"/>
          <w:iCs w:val="1"/>
          <w:color w:val="auto"/>
        </w:rPr>
        <w:t xml:space="preserve">Safety-Kleen Environmental Services. </w:t>
      </w:r>
      <w:r>
        <w:rPr>
          <w:rFonts w:ascii="Arial" w:cs="Arial" w:eastAsia="Arial" w:hAnsi="Arial"/>
          <w:sz w:val="16"/>
          <w:szCs w:val="16"/>
          <w:color w:val="auto"/>
        </w:rPr>
        <w:t>Safety-Kleen Environmental Services revenues are generated from providing parts washer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containerized waste handling and disposal services, oil collection services, direct sales of blended oil products, and other complementary services and product sales. Containerized waste services consist of profiling, collecting, transporting and recycling or disposing of a wide variety of waste. Other complementary products and services include vacuum services, sale of allied supply products and other environmental services. 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 Collection and transportation revenues are recognized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Product revenue is recognized upon the transfer of control. Control transfers when the products are delivered to the customer.</w:t>
      </w:r>
    </w:p>
    <w:p>
      <w:pPr>
        <w:spacing w:after="0" w:line="169"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Kleen Performance Products. </w:t>
      </w:r>
      <w:r>
        <w:rPr>
          <w:rFonts w:ascii="Arial" w:cs="Arial" w:eastAsia="Arial" w:hAnsi="Arial"/>
          <w:sz w:val="17"/>
          <w:szCs w:val="17"/>
          <w:color w:val="auto"/>
        </w:rPr>
        <w:t>Kleen Performance Products revenues are generated from sales of high quality base and blended lubricating oils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third-party distributors, 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transfers when the products are delivered to the customer.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Oil, Gas and Lodging Services and Other. </w:t>
      </w:r>
      <w:r>
        <w:rPr>
          <w:rFonts w:ascii="Arial" w:cs="Arial" w:eastAsia="Arial" w:hAnsi="Arial"/>
          <w:sz w:val="18"/>
          <w:szCs w:val="18"/>
          <w:color w:val="auto"/>
        </w:rPr>
        <w:t>Oil, Gas and Lodging Services and Other is primarily comprised of revenues generated from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 Revenue for manufacturing services is recognized over time using a cost-to-cost measure of progress or completed units to depict the transfer of assets to the customer.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590,580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496,226</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Contract Assets (Unbilled Receivables)</w:t>
            </w:r>
          </w:p>
        </w:tc>
        <w:tc>
          <w:tcPr>
            <w:tcW w:w="28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62,762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35,922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46,576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36,190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68,705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67,822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72,089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64,397</w:t>
            </w:r>
          </w:p>
        </w:tc>
      </w:tr>
      <w:tr>
        <w:trPr>
          <w:trHeight w:val="27"/>
        </w:trPr>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As part of the acquisition of the Veolia Business on February 23, 2018, the Company acquired receivables and contract assets of $20.5 million and $17.6 million, respectively. Changes in the contract asset and liability balances during the six-month period ended June 30, 2018 and June 30, 2017 were not materially impacted by any other factors. The contract liability balances at the beginning of each period presented were fully recognized in the subsequent three-month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4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Remaining performance obligations represent the transaction price of orders for which work has not been performed. As of June 30, 2018, all remaining performance obligations were for contracts with an original expected length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nature of the Company's contracts gives rise to certain types of variable consideration, including in limited cases volume and payment discounts.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 Variable consideration was not material in any of the periods presented.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 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w:t>
      </w:r>
    </w:p>
    <w:p>
      <w:pPr>
        <w:spacing w:after="0" w:line="22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On February 23, 2018, the Company completed the acquisition of the U.S. Industrial Cleaning Business of Veolia Environmental Services North America LLC (the "Veolia Business"). The acquisition will provide significant scale and industrial services capabilities while increasing the size of the Company's existing U.S. Industrial Services business. The Company acquired the Veolia Business for a purchase price of $120.0 million subject to certain post-closing adjustments. The acquisition was financed with cash on hand. The amount of revenue from the Veolia Business included in the Company's results of operations for the three and six months ended June 30, 2018 was $46.3 million and $63.9 million, respectively. The amount of pre-tax income for the three and six months ended June 30, 2018 was $2.1 million and $3.3 million, respectively. During the three and six months ended June 30, 2018, the Company incurred acquisition-related costs of approximately $0.4 million and $0.9 million, respectively, in connection with the transaction which are included in selling, general and administrative expenses in the consolidated statements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allocation of the purchase price was based on preliminary estimates of the fair value of assets acquired and liabilities assumed as of February 23, 2018, as the Company is continuing to obtain information to complete its valuation of these accounts and the associated tax accounting. The components and preliminary allocation of the purchase price consist of the following amounts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Acquisition Date</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Measurement Period</w:t>
            </w:r>
          </w:p>
        </w:tc>
        <w:tc>
          <w:tcPr>
            <w:tcW w:w="1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At Acquisition Date As</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Reported June 30, 2018</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including unbilled receivables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72,244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72,244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104,092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Pro forma revenue and earnings amounts on a combined basis as if this acquisition had been completed on January 1, 2017 are immaterial to the consolidated financial statements of the Company since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July 14, 2017, the Company acquired Lonestar West Inc. ("Lonestar"), a public company headquartered in Alberta, Canada, for approximately CAD $41.8 million, ($33.1 million USD), net of cash acquired, which included an equity payout of CAD $0.72 per share to Lonestar shareholders and the assumption of approximately CAD $21.3 million ($16.8 million USD) in outstanding debt, which Clean Harbors subsequently repaid. The acquisition supports the Company's growth in the daylighting and hydro excavation services markets. In addition to increasing the size of the Company's hydro vac fleet, Lonestar's network of locations provides the Company with direct access to key geographic markets in both the United States and Canada. The acquired company is included in the Environmental Services segment. In connection with this acquisition, a goodwill amount of $2.8 million was recognized.</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January 31, 2017, the Company acquired a privately held company for a purchase price of approximately $11.9 million in cash, net of cash acquired. The acquired business produces and distributes oil products and therefore complements the Company's closed loop model as it relates to the sale of its oil products. The acquired company is included in the Safety-Kleen segment. In connection with this acquisition, a goodwill amount of $5.0 million was recognized.</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 forma revenue and earnings amounts on a combined basis as if these acquisitions had been completed on January 1, 2017 are immaterial to the consolidated financial statements of the Company since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w:t>
      </w:r>
    </w:p>
    <w:p>
      <w:pPr>
        <w:spacing w:after="0" w:line="1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June 30, 2017, the Company completed the sale of its Transformer Services business, as part of its continuous focus on improving or divesting certain non-core operations. The sale price was $45.5 million. The Transformer Services business was a non-core business previously included within the legacy Technical Services operating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income attributable to the Transformer Services business included in the Company's consolidated results of operations for the three and six months ended June 30,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040" w:type="dxa"/>
            <w:vAlign w:val="bottom"/>
          </w:tcPr>
          <w:p>
            <w:pPr>
              <w:jc w:val="center"/>
              <w:ind w:left="462"/>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r>
      <w:tr>
        <w:trPr>
          <w:trHeight w:val="276"/>
        </w:trPr>
        <w:tc>
          <w:tcPr>
            <w:tcW w:w="20" w:type="dxa"/>
            <w:vAlign w:val="bottom"/>
          </w:tcPr>
          <w:p>
            <w:pPr>
              <w:spacing w:after="0"/>
              <w:rPr>
                <w:sz w:val="24"/>
                <w:szCs w:val="24"/>
                <w:color w:val="auto"/>
              </w:rPr>
            </w:pPr>
          </w:p>
        </w:tc>
        <w:tc>
          <w:tcPr>
            <w:tcW w:w="60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ind w:left="482"/>
              <w:spacing w:after="0"/>
              <w:rPr>
                <w:sz w:val="20"/>
                <w:szCs w:val="20"/>
                <w:color w:val="auto"/>
              </w:rPr>
            </w:pPr>
            <w:r>
              <w:rPr>
                <w:rFonts w:ascii="Arial" w:cs="Arial" w:eastAsia="Arial" w:hAnsi="Arial"/>
                <w:sz w:val="14"/>
                <w:szCs w:val="14"/>
                <w:b w:val="1"/>
                <w:bCs w:val="1"/>
                <w:color w:val="auto"/>
                <w:w w:val="92"/>
              </w:rPr>
              <w:t>June 30, 2017</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94"/>
              </w:rPr>
              <w:t>June 30, 2017</w:t>
            </w:r>
          </w:p>
        </w:tc>
        <w:tc>
          <w:tcPr>
            <w:tcW w:w="720" w:type="dxa"/>
            <w:vAlign w:val="bottom"/>
            <w:tcBorders>
              <w:bottom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040" w:type="dxa"/>
            <w:vAlign w:val="bottom"/>
            <w:tcBorders>
              <w:bottom w:val="single" w:sz="8" w:color="CCEEFF"/>
            </w:tcBorders>
            <w:shd w:val="clear" w:color="auto" w:fill="CCEEFF"/>
          </w:tcPr>
          <w:p>
            <w:pPr>
              <w:jc w:val="right"/>
              <w:ind w:right="186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w:t>
            </w: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(6) INVENTORIES AND SUPPLIES</w:t>
            </w: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Arial" w:cs="Arial" w:eastAsia="Arial" w:hAnsi="Arial"/>
                <w:sz w:val="18"/>
                <w:szCs w:val="18"/>
                <w:color w:val="auto"/>
              </w:rPr>
              <w:t>Inventories and supplies consisted of the following (in thousands):</w:t>
            </w: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60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products</w:t>
            </w:r>
          </w:p>
        </w:tc>
        <w:tc>
          <w:tcPr>
            <w:tcW w:w="2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68,125</w:t>
            </w:r>
          </w:p>
        </w:tc>
        <w:tc>
          <w:tcPr>
            <w:tcW w:w="1060" w:type="dxa"/>
            <w:vAlign w:val="bottom"/>
            <w:tcBorders>
              <w:bottom w:val="single" w:sz="8" w:color="CCEEFF"/>
            </w:tcBorders>
            <w:gridSpan w:val="3"/>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58,142</w:t>
            </w:r>
          </w:p>
        </w:tc>
      </w:tr>
      <w:tr>
        <w:trPr>
          <w:trHeight w:val="243"/>
        </w:trPr>
        <w:tc>
          <w:tcPr>
            <w:tcW w:w="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Supplies and drums</w:t>
            </w:r>
          </w:p>
        </w:tc>
        <w:tc>
          <w:tcPr>
            <w:tcW w:w="2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94,242</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2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w:t>
            </w:r>
          </w:p>
        </w:tc>
      </w:tr>
      <w:tr>
        <w:trPr>
          <w:trHeight w:val="243"/>
        </w:trPr>
        <w:tc>
          <w:tcPr>
            <w:tcW w:w="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Modular camp accommodations</w:t>
            </w:r>
          </w:p>
        </w:tc>
        <w:tc>
          <w:tcPr>
            <w:tcW w:w="2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1,826</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12,635</w:t>
            </w:r>
          </w:p>
        </w:tc>
      </w:tr>
      <w:tr>
        <w:trPr>
          <w:trHeight w:val="257"/>
        </w:trPr>
        <w:tc>
          <w:tcPr>
            <w:tcW w:w="20" w:type="dxa"/>
            <w:vAlign w:val="bottom"/>
          </w:tcPr>
          <w:p>
            <w:pPr>
              <w:spacing w:after="0"/>
              <w:rPr>
                <w:sz w:val="22"/>
                <w:szCs w:val="22"/>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Total inventories and supplies</w:t>
            </w:r>
          </w:p>
        </w:tc>
        <w:tc>
          <w:tcPr>
            <w:tcW w:w="20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193,544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176,012</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June 30, 2018 and December 31, 2017, other inventories consisted primarily of parts washer components, cleaning fluids, absorbents and automotive fluids, such as windshield washer fluid and antifreeze. Supplies and drums consisted primarily of drums and containers as well as critical spare parts to support the Company's incinerator and re-refinery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14,593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429,880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414,384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689,846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617,959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1,644,102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5,708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57,618</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3,286,569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3,190,573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1,603,208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1,609,382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in the amount of $0.1 million and $0.4 million was capitalized to property, plant and equipment during the three and six months ended June 30, 2018, respectively. Interest in the amount of $0.1 million and $0.2 million was capitalized to property, plant and equipment during the three and six months ended June 30, 2017, respectively. Depreciation expense, inclusive of landfill amortization, was $64.2 million and $129.8 million for the three and six months ended June 30, 2018, respectively. Depreciation expense, inclusive of landfill amortization, was $61.8 million and $125.2 million for the three and six months ended June 30, 2017,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six months ended June 30,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21,626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192,629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304,622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497,251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As discussed in Note 18, “Segment Reporting,” during the first quarter of fiscal year 2018 and as a result of operational and managerial changes in several of the Company’s businesses, the identification of operating segments in accordance with ASC 280, </w:t>
      </w:r>
      <w:r>
        <w:rPr>
          <w:rFonts w:ascii="Arial" w:cs="Arial" w:eastAsia="Arial" w:hAnsi="Arial"/>
          <w:sz w:val="17"/>
          <w:szCs w:val="17"/>
          <w:i w:val="1"/>
          <w:iCs w:val="1"/>
          <w:color w:val="auto"/>
        </w:rPr>
        <w:t>Segment Information</w:t>
      </w:r>
      <w:r>
        <w:rPr>
          <w:rFonts w:ascii="Arial" w:cs="Arial" w:eastAsia="Arial" w:hAnsi="Arial"/>
          <w:sz w:val="17"/>
          <w:szCs w:val="17"/>
          <w:color w:val="auto"/>
        </w:rPr>
        <w:t>, was changed. As a result of the Company's conclusions around the identification of operating segments, the Company also concluded that, for purposes of reviewing for potential goodwill impairment, it now has four reporting units, consisting of Environmental Sales and Service, Environmental Facilities, Kleen Performance Products and Safety-Kleen Environmental Services.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9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As of June 30, 2018 and December 31, 2017, the Company's total finite-lived and indefinite-lived intangible assets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December 31, 2017</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175,317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174,721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100,374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w w:val="95"/>
              </w:rPr>
              <w:t>399,012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170,866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228,146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399,224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158,972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240,252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37,431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5"/>
              </w:rPr>
              <w:t>611,760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278,680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333,080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610,711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345,800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lived 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122,840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122,840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123,328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123,328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734,600</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278,680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455,920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734,039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469,128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Amortization expense of permits and other intangible assets was $8.6 million and $17.8 million in the three and six months ended June 30, 2018, respectively. Amortization expense of permits and other intangible assets was $9.7 million and $18.8 million in the three and six months ended June 30, 2017, respectively.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amortization of the net carrying amount of finite-lived intangible assets at June 30, 2018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Expected Amortization</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 (six months)</w:t>
            </w:r>
          </w:p>
        </w:tc>
        <w:tc>
          <w:tcPr>
            <w:tcW w:w="66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2019</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32,143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29,850</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2021</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27,222</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199,557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333,080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68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at June 30,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12,660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27,116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27,330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34,242</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200,135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187,982</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w:t>
      </w:r>
    </w:p>
    <w:p>
      <w:pPr>
        <w:spacing w:after="0" w:line="2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2018 through June 30,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35,088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65,504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of the landfill facilities included in the above were active as of June 30, 2018. There were no significant charges (benefits) in 2018 resulting from changes in estimates for closure and post-closure liabilities.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asset retirement obligations incurred during the first six months of 2018 were discounted at the credit-adjusted risk-free rate of 5.66%.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for the six months ended June 30,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65,743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53,712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121,275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six months ended June 30, 2018, there were no significant charges (benefits) resulting from changes in estimates for remedial liabilities.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long-term obligations, at carrying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r>
      <w:tr>
        <w:trPr>
          <w:trHeight w:val="271"/>
        </w:trPr>
        <w:tc>
          <w:tcPr>
            <w:tcW w:w="8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392,000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394,000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at 5.25%, due August 1, 2020 ("2020 Notes")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845,000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845,000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par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1,639,000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1,624,727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1,625,537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and long-term obligations, at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1,628,727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1,629,537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April 17, 2018, the Company, and substantially all of the Company's domestic subsidiaries as guarantors, entered into the first amendment (“First Amendment”) of the Term Loan Agreement. The First Amendment reduced the applicable interest rate margin for the Company’s initial term loans outstanding (the "Term Loans") under the Term Loan Agreement by 25 basis points for both Eurocurrency borrowings and base rate borrowings. After giving effect to the repricing, the applicable interest rate margin for the Term Loans are 1.75% for Eurocurrency borrowings and 0.75% for base rate borrowings.</w:t>
      </w:r>
    </w:p>
    <w:p>
      <w:pPr>
        <w:spacing w:after="0" w:line="7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July 19, 2018, the Company, and substantially all of the Company’s domestic subsidiaries as guarantors, entered into an Incremental Facility Amendment (the “Incremental Facility Amendment”) to the Company’s existing Term Loan Agreement. The Incremental Facility Amendment increases the principal amount of the initial term loans (the “Initial Term Loans”) outstanding under the Term Loan Agreement by $350.0 million and, as a result of such increase, an aggregate of $746.0 million of principal was outstanding at July 19, 2018. Initial Term Loans under the Term Loan Agreement will mature on June 30, 2024 and may be prepaid at any time without premium or penalty other than customary breakage costs with respect to Eurodollar based loans or if the Company engages in certain repricing transactions before January 19, 2019, in which event a 1.0% prepayment premium would be due. The Company’s obligations under the Term Loan Agreement are guaranteed by all of the Company’s domestic restricted subsidiaries and secured by liens on substantially all of the assets of the Company and the guarantors.</w:t>
      </w:r>
    </w:p>
    <w:p>
      <w:pPr>
        <w:spacing w:after="0" w:line="9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Concurrently with the closing on July 19, 2018 of the Incremental Facility Amendment, the Company purchased $322.0 million aggregate principal of 2020 Notes. Total amount paid in purchasing the 2020 Notes was $330.9 including $7.9 million of accrued interest.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August 1, 2018, the Company redeemed the remaining $78.0 million outstanding 2020 Notes. In connection with the redemption of the $78.0 million of 2020 Notes, the Company borrowed $50.0 million under the Company's revolving credit facility.</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At June 30, 2018 and December 31, 2017, the fair value of the Term Loans was $394.5 million and $400.5 million, respectively, based on quoted market prices or other available market data. At June 30, 2018 and December 31, 2017, the fair value of the Company's 2020 Notes was $400.9 million and $404.6 million, respectively, based on quoted market prices for the instrument. At June 30, 2018 and December 31, 2017, the fair value of the Company's 2021 Notes was $848.6 million and $855.7 million, respectively, based on quoted market prices for the instrument. The fair values of the Term Loans, 2020 Notes and 2021 Notes are considered Level 2 measures according to the fair value hierarchy.</w:t>
      </w:r>
    </w:p>
    <w:p>
      <w:pPr>
        <w:spacing w:after="0" w:line="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also maintains a $400.0 million revolving credit facility under which the Company had no outstanding loan balances as of June 30, 2018 and December 31, 2017. At June 30, 2018, approximately $244.3 million was available to borrow and outstanding letters of credit were $132.4 million. At December 31, 2017, $217.8 million was available to borrow and outstanding letters of credit were $134.1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30,747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25,880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18,116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4,487</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56,410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56,304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57,226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w:t>
            </w:r>
          </w:p>
        </w:tc>
        <w:tc>
          <w:tcPr>
            <w:tcW w:w="3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123</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56,505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56,399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57,349</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For the three months ended June 30, 2018 and June 30, 2017, the dilutive effect of all then outstanding restricted stock and performance awards is included in the EPS calculation above except for 146,159 and 142,503 of performance stock awards for which the performance criteria were not attained at that time and 136,155 and 14,699, respectively, of restricted stock awards which were antidilutive at that time.</w:t>
      </w:r>
    </w:p>
    <w:p>
      <w:pPr>
        <w:spacing w:after="0" w:line="84"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For the six months ended June 30, 2018 and June 30, 2017, the dilutive effect of all then outstanding restricted stock and performance awards is included in the EPS calculation above except for 146,159 and 142,503 of performance stock awards for which the performance criteria were not attained at that time and 130,932 and 21,013, respectively, of restricted stock awards which were antidilutive at that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six months ended June 30,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Unfunded Pension</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Securities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before tax effects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stock-based compensation cost charged to selling, general and administrative expenses for the three and six months ended June 30, 2018 was $3.5 million and $6.6 million, respectively. Total stock-based compensation cost charged to selling, general and administrative expenses for the three and six months ended June 30, 2017 was $2.9 million and $5.2 million, respectively. The total income tax benefit recognized in the consolidated statements of operations from stock-based compensation was $0.7 million and $1.3 million for the three and six months ended June 30, 2018, respectively. The total income tax benefit recognized in the consolidated statements of operations from stock-based compensation was $0.8 million and $1.5 million for the three and six months ended June 30, 2017, respectively.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information relates to restricted stock awards that have been granted to employees and directors under the Company's equity incentive plans (the "Plans"). The restricted stock awards are not transferable until vested and the restrictions generally lapse upon the achievement of continued employment over a three-to-five-year period or service as a director until the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following annual meeting of shareholders. The fair value of each restricted stock grant is based on the closing price of the Company's common stock on the date of grant and is amortized to expense over its vesting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six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200,688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(152,283)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(17,136)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636,202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June 30, 2018, there was $27.1 million of total unrecognized compensation cost arising from restricted stock awards under the Company's Plans. This cost is expected to be recognized over a weighted average period of 2.7 years. The total fair value of restricted stock vested during the three and six months ended June 30, 2018 was $7.0 million and $8.3 million, respectively. The total fair value of restricted stock vested during the three and six months ended June 30, 2017 was $4.5 million and $6.0 million,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information relates to performance stock awards that have been granted to employees under the Company's Plans.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Adjusted Free Cash Flow and Total Recordable Incident Rate. In addition, performance stock awards include continued service conditions. The fair value of each performance stock award is based on the closing price of the Company's common stock on the date of grant and is amortized to expense over the service period if achievement of performance measures is considered probable.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six months ended June 30, 2018:</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190,129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(8,696)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57"/>
        </w:trPr>
        <w:tc>
          <w:tcPr>
            <w:tcW w:w="8340" w:type="dxa"/>
            <w:vAlign w:val="bottom"/>
          </w:tcPr>
          <w:p>
            <w:pPr>
              <w:ind w:left="20"/>
              <w:spacing w:after="0"/>
              <w:rPr>
                <w:sz w:val="20"/>
                <w:szCs w:val="20"/>
                <w:color w:val="auto"/>
              </w:rPr>
            </w:pPr>
            <w:r>
              <w:rPr>
                <w:rFonts w:ascii="Arial" w:cs="Arial" w:eastAsia="Arial" w:hAnsi="Arial"/>
                <w:sz w:val="18"/>
                <w:szCs w:val="18"/>
                <w:color w:val="auto"/>
              </w:rPr>
              <w:t>Balance at June 30, 2018</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168,544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June 30, 2018, there was $1.3 million of total unrecognized compensation cost arising from unvested performance stock awards deemed probable of vesting under the Company's Plans. No performance awards vested during the three months ended June 30, 2018. The total fair value of performance awards vested during six months ended June 30, 2018 was $0.5 million. No performance awards vested during the three months ended June 30, 2017. The total fair value of performance awards vested during the six months ended June 30, 2017 was $1.4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October 31, 2017, the Company's board of directors increased the size of the Company’s current share repurchase program from $300 million to $600 million. During the three and six months ended June 30, 2018, the Company repurchased and retired a total of 0.2 million shares and 0.5 million shares, respectively, of the Company's common stock for a total cost of $12.2 million and $26.5 million, respectively. During the three and six months ended June 30, 2017, the Company repurchased and retired a total of 0.1 million and 0.2 million, respectively, of the Company's common stock for a total cost of $5.5 million and $12.3 million, respectively. Through June 30, 2018, the Company has repurchased and retired a total of 5.3 million shares of the Company's common stock for a total cost of $275.3 million under this program. As of June 30, 2018, an additional $324.7 million remained available for repurchase of shares under the current authorized program.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 party sites”) to which either the Company or the prior owners of certain of the Company’s facilities shipped wastes.</w:t>
      </w:r>
    </w:p>
    <w:p>
      <w:pPr>
        <w:spacing w:after="0" w:line="8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At June 30, 2018 and December 31, 2017, the Company had recorded reserves of $21.6 million and $19.3 million, respectively, in the Company's financial statements for actual or probable liabilities related to the legal and administrative proceedings in which the Company was then involved, the principal of which are described below. At June 30, 2018 and December 31, 2017, the Company also believed that it was reasonably possible that the amount of these potential liabilities could be as much as $1.7 million and $1.8 million more, respectively. The Company periodically adjusts the aggregate amount of these reserves when actual or probable liabilities are paid or otherwise discharged, new claims arise, or additional relevant information about existing or probable claims becomes available. As of June 30, 2018 and December 31, 2017, the $21.6 million and $19.3 million, respectively, of reserves consisted of</w:t>
      </w:r>
    </w:p>
    <w:p>
      <w:pPr>
        <w:spacing w:after="0" w:line="5" w:lineRule="exact"/>
        <w:rPr>
          <w:sz w:val="20"/>
          <w:szCs w:val="20"/>
          <w:color w:val="auto"/>
        </w:rPr>
      </w:pPr>
    </w:p>
    <w:p>
      <w:pPr>
        <w:jc w:val="both"/>
        <w:ind w:right="10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$17.0 million and $17.9 million, respectively, related to pending legal or administrative proceedings, including Superfund liabilities, which were included in remedial liabilities on the consolidated balance sheets, and (ii) $4.6 million and $1.4 million, respectively, primarily related to federal, state and provincial enforcement actions, which were included in accrued expenses on the consolidated balance sheets.</w:t>
      </w:r>
    </w:p>
    <w:p>
      <w:pPr>
        <w:spacing w:after="0" w:line="2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2018, the principal legal and administrative proceedings in which the Company was involved, or which had been terminated during 2018, were as follows:</w:t>
      </w:r>
    </w:p>
    <w:p>
      <w:pPr>
        <w:spacing w:after="0" w:line="2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incinerator in Ville Mercier, Quebec (the "Mercier Facility"). The property adjacent to the Mercier Facility, which is also owned by the Mercier Subsidiary, is now contaminated as a result of actions dating back to 1968, when the Government of Quebec issued to a company unrelated to the Mercier 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currently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June 30, 2018 were as follows:</w:t>
      </w:r>
    </w:p>
    <w:p>
      <w:pPr>
        <w:spacing w:after="0" w:line="1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60 proceedings (excluding cases which have been settled but not formally dismissed) as of June 30, 2018,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failed to warn adequately the product user of potential risks, including a historic failure to warn that solvent contains trace amounts of toxic or hazardous substances such as benzene.</w:t>
      </w:r>
    </w:p>
    <w:p>
      <w:pPr>
        <w:spacing w:after="0" w:line="2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Safety-Kleen is unable to ascertain the ultimate aggregate amount of monetary liability or financial impact with respect to these matters as of June 30, 2018. From January 1, 2018 to June 30, 2018, three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has been notified that either the Company (which, since December 28, 2012, includes Safety-Kleen) or the prior owners of certain of the Company's facilities for which the Company may have indemnification obligations have been identified as potentially responsible parties ("PRPs") or potential PRPs in connection with 127 sites which are subject to or are proposed to become subject to proceedings under federal or state Superfund laws. Of the 127 sites, three (including the BR Facility described below) involve facilities that are now owned or leased by the Company and 124 involve third party sites to which either the Company or the prior owners of certain of the Company’s facilities shipped wastes. Of the 124 third party sites, 34 are now settled, 17 are currently requiring expenditures on remediation and 73 are not currently requiring expenditures on remediation.</w:t>
      </w:r>
    </w:p>
    <w:p>
      <w:pPr>
        <w:spacing w:after="0" w:line="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10 of the 124 third party sites.</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Environmental Protection Agency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The Company is currently performing corrective actions at the BR Facility under an order issued by the Louisiana Department of Environmental Quality, and has begun conducting the remedial investigation and feasibility study under an order issued by the EPA. The Company cannot presently estimate the potential additional liability for the Devil's Swamp cleanup until a final remedy is selected by the EPA.</w:t>
      </w:r>
    </w:p>
    <w:p>
      <w:pPr>
        <w:spacing w:after="0" w:line="23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Third Party Sites. </w:t>
      </w:r>
      <w:r>
        <w:rPr>
          <w:rFonts w:ascii="Arial" w:cs="Arial" w:eastAsia="Arial" w:hAnsi="Arial"/>
          <w:sz w:val="16"/>
          <w:szCs w:val="16"/>
          <w:color w:val="auto"/>
        </w:rPr>
        <w:t>Of the 124 third 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 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124 third party sites discussed above.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2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June 30, 2018 and December 31, 2017, there were six and five, respectively,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97" w:lineRule="exact"/>
        <w:rPr>
          <w:sz w:val="20"/>
          <w:szCs w:val="20"/>
          <w:color w:val="auto"/>
        </w:rPr>
      </w:pPr>
    </w:p>
    <w:p>
      <w:pPr>
        <w:ind w:right="40" w:firstLine="648"/>
        <w:spacing w:after="0" w:line="292"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8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Company’s effective tax rate for the three and six months ended June 30, 2018 was 30.8% and 48.0% compared to 47.3% and 85.2% for the same periods in 2017. The variations in the effective income tax rates for the six months ended June 30, 2018 and the three and six months ended June 30, 2017 as compared to more customary relationships between pre-tax income and the provision for income taxes were primarily due to not recognizing income tax benefits from current operating losses related to certain Canadian entities during these periods.</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22, 2017, the “Tax Cuts and Jobs Act” (the “Tax Act”) was signed into law, making significant changes to the federal tax law. Changes include, but are not limited to, a corporate tax rate decrease from 35% to 21% effective for tax years beginning after December 31, 2017, the transition of U.S. international taxation from a worldwide tax system to a territorial tax system, and a one-time transition tax on the mandatory deemed repatriation of cumulative foreign earnings as of December 31, 2017. The Company recognized its best estimate of the income tax effects of the 2017 Tax Act in the financial statements included in its 2017 Annual Report on Form 10-K in accordance with Staff Accounting Bulletin No. 118, which provides SEC staff guidance for the application of ASC Topic 740, Income Taxes, in the reporting period in which the 2017 Tax Act was signed into law. During the three and six months ended June 30, 2018, the Company did not recognize any changes to the provisional amounts recorded in its 2017 Annual Report on Form 10-K in connection with the 2017 Tax Act. The Company is continuing to evaluate the impact of the Tax Act on its business and the consolidated financial statements and will make any adjustments to its provisional amounts in subsequent reporting periods upon obtaining, preparing or analyzing additional information affecting the income tax effects initially reported as a provisional amount. Any subsequent adjustment to these amounts will be recorded to tax expense in the quarter of 2018 when the analysis is completed.</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June 30, 2018 and December 31, 2017, the Company had recorded $5.0 million and $5.1 million, respectively, of liabilities for unrecognized tax benefits and $1.0 million and $0.9 million of interest, respectively.</w:t>
      </w:r>
    </w:p>
    <w:p>
      <w:pPr>
        <w:spacing w:after="0" w:line="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Due to expiring statute of limitation periods, the Company believes that total unrecognized tax benefits will decrease by $1.4 million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4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Segment reporting is prepared on the same basis that the Company's chief executive officer, who is the Company's chief operating decision maker, manages the business, makes operating decisions and assesses performance. 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the Company's operations through the sharing of resources, namely labor and equipment which will reduce third party spend and promote the cross selling of such business offerings. In connection with this reorganization, the Company’s chief operating decision maker also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 the Environmental Services segment which consists of the Company’s historical Technical Services, Industrial Services, Field Services and Oil, Gas and Lodging businesses and (ii) the Safety-Kleen segment.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negative intersegment revenues are due to more transfers out of customer revenues to other segments than transfers in of customer revenues from other segments. The operations not managed through the Company’s operating segments described above are recorded as “Corporate Items.” Corporate Items revenues consist of two different operations for which the revenues are insignificant. Corporate Items cost of revenues represents certain central services that are not allocated to the Company's operating segments for internal reporting purposes. Corporate Items selling, general and administrative expenses include typical corporate items such as legal, accounting and other items of a general corporate nature that are not allocated to the Company’s operating segments.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reconciles third party revenues to direct revenues for the three and six months ended June 30, 2018 and 2017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4"/>
              </w:rPr>
              <w:t>For the Three Months Ended June 30, 2018</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4"/>
          </w:tcPr>
          <w:p>
            <w:pPr>
              <w:jc w:val="center"/>
              <w:ind w:right="56"/>
              <w:spacing w:after="0"/>
              <w:rPr>
                <w:sz w:val="20"/>
                <w:szCs w:val="20"/>
                <w:color w:val="auto"/>
              </w:rPr>
            </w:pPr>
            <w:r>
              <w:rPr>
                <w:rFonts w:ascii="Arial" w:cs="Arial" w:eastAsia="Arial" w:hAnsi="Arial"/>
                <w:sz w:val="14"/>
                <w:szCs w:val="14"/>
                <w:b w:val="1"/>
                <w:bCs w:val="1"/>
                <w:color w:val="auto"/>
                <w:w w:val="93"/>
              </w:rPr>
              <w:t>For the Three Months Ended June 30, 2017</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8"/>
              </w:rPr>
              <w:t>Third party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3"/>
                <w:szCs w:val="13"/>
                <w:color w:val="auto"/>
              </w:rPr>
            </w:pPr>
          </w:p>
        </w:tc>
        <w:tc>
          <w:tcPr>
            <w:tcW w:w="124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Corporate Items,</w:t>
            </w:r>
          </w:p>
        </w:tc>
        <w:tc>
          <w:tcPr>
            <w:tcW w:w="12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Direct revenues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rPr>
              <w:t>Third party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3"/>
                <w:szCs w:val="13"/>
                <w:color w:val="auto"/>
              </w:rPr>
            </w:pPr>
          </w:p>
        </w:tc>
        <w:tc>
          <w:tcPr>
            <w:tcW w:w="124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revenues, net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revenues, net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519,916</w:t>
            </w:r>
          </w:p>
        </w:tc>
        <w:tc>
          <w:tcPr>
            <w:tcW w:w="3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34,291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554,814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449,631</w:t>
            </w:r>
          </w:p>
        </w:tc>
        <w:tc>
          <w:tcPr>
            <w:tcW w:w="3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328,715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294,435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302,956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271,315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849,140</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849,140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752,788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2"/>
                <w:szCs w:val="22"/>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752,788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For the Six Months Ended June 30, 2017</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Third party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3"/>
                <w:szCs w:val="13"/>
                <w:color w:val="auto"/>
              </w:rPr>
            </w:pPr>
          </w:p>
        </w:tc>
        <w:tc>
          <w:tcPr>
            <w:tcW w:w="124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Corporate Items,</w:t>
            </w:r>
          </w:p>
        </w:tc>
        <w:tc>
          <w:tcPr>
            <w:tcW w:w="12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Direct revenues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Third party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3"/>
                <w:szCs w:val="13"/>
                <w:color w:val="auto"/>
              </w:rPr>
            </w:pPr>
          </w:p>
        </w:tc>
        <w:tc>
          <w:tcPr>
            <w:tcW w:w="124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revenues, net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revenues, net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959,604</w:t>
            </w:r>
          </w:p>
        </w:tc>
        <w:tc>
          <w:tcPr>
            <w:tcW w:w="3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1,027,261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845,538</w:t>
            </w:r>
          </w:p>
        </w:tc>
        <w:tc>
          <w:tcPr>
            <w:tcW w:w="3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63,708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910,486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638,633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572,399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595,857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532,150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1,598,918</w:t>
            </w:r>
          </w:p>
        </w:tc>
        <w:tc>
          <w:tcPr>
            <w:tcW w:w="80" w:type="dxa"/>
            <w:vAlign w:val="bottom"/>
            <w:tcBorders>
              <w:top w:val="single" w:sz="8" w:color="auto"/>
              <w:bottom w:val="single" w:sz="8" w:color="auto"/>
            </w:tcBorders>
            <w:gridSpan w:val="2"/>
          </w:tcPr>
          <w:p>
            <w:pPr>
              <w:spacing w:after="0"/>
              <w:rPr>
                <w:sz w:val="22"/>
                <w:szCs w:val="22"/>
                <w:color w:val="auto"/>
              </w:rPr>
            </w:pPr>
          </w:p>
        </w:tc>
        <w:tc>
          <w:tcPr>
            <w:tcW w:w="14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1,598,918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1,441,729</w:t>
            </w:r>
          </w:p>
        </w:tc>
        <w:tc>
          <w:tcPr>
            <w:tcW w:w="8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1,441,729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plus accretion of environmental liabilities, depreciation and amortization, interest expense, net, loss on early extinguishment of debt, provision for income taxes and excludes gain on sale of business and other income (expense), net. Transactions between the segments are accounted for at the Company’s best estimate based on similar transactions with outside customers.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27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109,199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94,832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170,616</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155,022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112,649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(66,845)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227,826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200,826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72,760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147,604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143,943</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2,382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Gain on sale of business</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(31,722)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45,068</w:t>
            </w:r>
          </w:p>
        </w:tc>
      </w:tr>
      <w:tr>
        <w:trPr>
          <w:trHeight w:val="257"/>
        </w:trPr>
        <w:tc>
          <w:tcPr>
            <w:tcW w:w="5140" w:type="dxa"/>
            <w:vAlign w:val="bottom"/>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44,430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49,096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34,852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30,404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assets by reportable segment and in the aggregate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3"/>
                <w:szCs w:val="13"/>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100" w:type="dxa"/>
            <w:vAlign w:val="bottom"/>
            <w:gridSpan w:val="2"/>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jc w:val="center"/>
              <w:ind w:right="70"/>
              <w:spacing w:after="0" w:line="153"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left="57"/>
              <w:spacing w:after="0"/>
              <w:rPr>
                <w:sz w:val="20"/>
                <w:szCs w:val="20"/>
                <w:color w:val="auto"/>
              </w:rPr>
            </w:pPr>
            <w:r>
              <w:rPr>
                <w:rFonts w:ascii="Arial" w:cs="Arial" w:eastAsia="Arial" w:hAnsi="Arial"/>
                <w:sz w:val="14"/>
                <w:szCs w:val="14"/>
                <w:b w:val="1"/>
                <w:bCs w:val="1"/>
                <w:color w:val="auto"/>
                <w:w w:val="92"/>
              </w:rPr>
              <w:t>Items</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988,957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555,124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65,301</w:t>
            </w:r>
          </w:p>
        </w:tc>
        <w:tc>
          <w:tcPr>
            <w:tcW w:w="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1,609,382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192,629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4"/>
              <w:spacing w:after="0"/>
              <w:rPr>
                <w:sz w:val="20"/>
                <w:szCs w:val="20"/>
                <w:color w:val="auto"/>
              </w:rPr>
            </w:pPr>
            <w:r>
              <w:rPr>
                <w:rFonts w:ascii="Arial" w:cs="Arial" w:eastAsia="Arial" w:hAnsi="Arial"/>
                <w:sz w:val="18"/>
                <w:szCs w:val="18"/>
                <w:color w:val="auto"/>
              </w:rPr>
              <w:t>304,622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497,251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359,755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455,920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1,681,627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
              <w:spacing w:after="0"/>
              <w:rPr>
                <w:sz w:val="20"/>
                <w:szCs w:val="20"/>
                <w:color w:val="auto"/>
              </w:rPr>
            </w:pPr>
            <w:r>
              <w:rPr>
                <w:rFonts w:ascii="Arial" w:cs="Arial" w:eastAsia="Arial" w:hAnsi="Arial"/>
                <w:sz w:val="18"/>
                <w:szCs w:val="18"/>
                <w:color w:val="auto"/>
              </w:rPr>
              <w:t>1,436,014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597,820</w:t>
            </w:r>
          </w:p>
        </w:tc>
        <w:tc>
          <w:tcPr>
            <w:tcW w:w="4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3,715,461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4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Totals</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92"/>
              </w:rPr>
              <w:t>Items</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927,139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582,162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78,064</w:t>
            </w:r>
          </w:p>
        </w:tc>
        <w:tc>
          <w:tcPr>
            <w:tcW w:w="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1,587,365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172,386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4"/>
              <w:spacing w:after="0"/>
              <w:rPr>
                <w:sz w:val="20"/>
                <w:szCs w:val="20"/>
                <w:color w:val="auto"/>
              </w:rPr>
            </w:pPr>
            <w:r>
              <w:rPr>
                <w:rFonts w:ascii="Arial" w:cs="Arial" w:eastAsia="Arial" w:hAnsi="Arial"/>
                <w:sz w:val="18"/>
                <w:szCs w:val="18"/>
                <w:color w:val="auto"/>
              </w:rPr>
              <w:t>306,137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478,523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371,609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469,128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1,541,241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
              <w:spacing w:after="0"/>
              <w:rPr>
                <w:sz w:val="20"/>
                <w:szCs w:val="20"/>
                <w:color w:val="auto"/>
              </w:rPr>
            </w:pPr>
            <w:r>
              <w:rPr>
                <w:rFonts w:ascii="Arial" w:cs="Arial" w:eastAsia="Arial" w:hAnsi="Arial"/>
                <w:sz w:val="18"/>
                <w:szCs w:val="18"/>
                <w:color w:val="auto"/>
              </w:rPr>
              <w:t>1,471,291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4"/>
          </w:tcPr>
          <w:p>
            <w:pPr>
              <w:jc w:val="right"/>
              <w:ind w:right="10"/>
              <w:spacing w:after="0"/>
              <w:rPr>
                <w:sz w:val="20"/>
                <w:szCs w:val="20"/>
                <w:color w:val="auto"/>
              </w:rPr>
            </w:pPr>
            <w:r>
              <w:rPr>
                <w:rFonts w:ascii="Arial" w:cs="Arial" w:eastAsia="Arial" w:hAnsi="Arial"/>
                <w:sz w:val="18"/>
                <w:szCs w:val="18"/>
                <w:color w:val="auto"/>
              </w:rPr>
              <w:t>694,038</w:t>
            </w:r>
          </w:p>
        </w:tc>
        <w:tc>
          <w:tcPr>
            <w:tcW w:w="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3,706,570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220" w:type="dxa"/>
            <w:vAlign w:val="bottom"/>
            <w:gridSpan w:val="4"/>
          </w:tcPr>
          <w:p>
            <w:pPr>
              <w:ind w:left="660"/>
              <w:spacing w:after="0"/>
              <w:rPr>
                <w:sz w:val="20"/>
                <w:szCs w:val="20"/>
                <w:color w:val="auto"/>
              </w:rPr>
            </w:pPr>
            <w:r>
              <w:rPr>
                <w:rFonts w:ascii="Arial" w:cs="Arial" w:eastAsia="Arial" w:hAnsi="Arial"/>
                <w:sz w:val="18"/>
                <w:szCs w:val="18"/>
                <w:color w:val="auto"/>
                <w:w w:val="89"/>
              </w:rPr>
              <w:t>The following table presents total assets by geographical area (in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6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6"/>
          </w:tcPr>
          <w:p>
            <w:pPr>
              <w:jc w:val="right"/>
              <w:ind w:right="297"/>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9"/>
              </w:rPr>
              <w:t>3,041,509</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2,985,394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Canada</w:t>
            </w:r>
          </w:p>
        </w:tc>
        <w:tc>
          <w:tcPr>
            <w:tcW w:w="1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w w:val="95"/>
              </w:rPr>
              <w:t>673,836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foreign</w:t>
            </w:r>
          </w:p>
        </w:tc>
        <w:tc>
          <w:tcPr>
            <w:tcW w:w="19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w w:val="99"/>
              </w:rPr>
              <w:t>3,715,461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3,706,570</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80" w:type="dxa"/>
            <w:vAlign w:val="bottom"/>
            <w:vMerge w:val="restart"/>
          </w:tcPr>
          <w:p>
            <w:pPr>
              <w:jc w:val="right"/>
              <w:ind w:right="15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FINANCIAL INFORMATION</w:t>
      </w:r>
    </w:p>
    <w:p>
      <w:pPr>
        <w:spacing w:after="0" w:line="1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2020 Notes and the 2021 Notes (collectively, the "Senior Unsecured Notes") and the Company's obligations under its Term Loan Agreement are guaranteed by substantially all of the Company’s subsidiaries organized in the United States. Each guarantor is a 100% owned subsidiary of Clean Harbors, Inc. and its guarantee is both full and unconditional and joint and several. The guarantees are, however, subject to customary release provisions under which, in particular, the guarantee of any domestic restricted subsidiary will be released if the Company sells such subsidiary to an unrelated third party in accordance with the terms of the indentures which govern the Senior Unsecured Notes and of the Term Loan Agreement. The Senior Unsecured Notes and the Company's obligations under its Term Loan Agreement are not guaranteed by the Company’s subsidiaries organized outside the United States. The following supplemental condensed consolidating financial information for the parent company, the guarantor subsidiaries and the non-guarantor subsidiaries, respectively, is presented in conformity with the requirements of Rule 3-10 of SEC Regulation S-X (“Rule 3-10”).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June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51,960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92,833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52,275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197,068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250,206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651,218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590,580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260,489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311,972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1,609,382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3,135,271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599,091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(3,734,362)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437,229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497,251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455,920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16,426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3,439,720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4,211,463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806,160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3,715,461</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637,318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309,423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15,808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163,772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1,624,727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1,624,727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200,999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222,246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2,278,672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1,084,455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198,806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(1,007,520)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2,554,413</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1,161,048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3,127,008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607,354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(3,734,362)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1,161,048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3,439,720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4,211,463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806,160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3,715,461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207,777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59,984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238,339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590,100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528,924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233,602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267,554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1,587,365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3,112,547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569,568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415,641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574,812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289,531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1,625,537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1,625,537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2,217,303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1,031,624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2,518,368</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1,188,202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3,106,330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575,785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1,188,202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June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544,521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165,435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696,779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152,361</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682,412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182,798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849,140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361,644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124,956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473,423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110,161</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464,086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135,568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583,584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72,760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64,353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13,683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25,805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38,897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5" w:right="259" w:bottom="96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June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Clean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rPr>
              <w:t>Harbors, Inc.</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474,801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147,924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610,940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125,859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141,848</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600,660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166,654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752,788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306,960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412,356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107,447</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405,605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128,724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519,803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112,294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71,531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48,433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before (benefit)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40,978</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59,042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six months ended June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1,026,004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317,836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1,316,498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259,473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282,420</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1,285,477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346,649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1,598,918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689,824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258,590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921,072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208,937</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887,304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275,913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1,130,009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241,083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88,370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before (benefit)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46,130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six months ended June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918,106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278,995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1,171,154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242,509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270,575</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1,160,615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313,056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1,441,729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601,105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228,285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803,443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195,150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212,945</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796,255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252,075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1,016,388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224,515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143,943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71,612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(benefit) provision for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21,149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25,636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six months ended June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129,670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(94,139)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(123,750)</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(233,136)</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30,657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(216,141)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from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5"/>
              </w:rPr>
              <w:t>Tax payments related to withholdings on vested restricted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 on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from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(122,331)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207,777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59,984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92,833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197,068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six months ended June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116,931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(88,742)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businesses, net of transactional costs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46,210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46,391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available-for-sale securities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from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(used in)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Tax payments related to withholdings on vested restricted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Premium paid on early extinguishment of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 on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(296,202)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399,000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from (used) in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93,406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148,053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51,391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303,996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90,979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446,366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7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addition to historical information, this Quarterly Report on Form 10-Q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28, 2018,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8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During the first quarter of fiscal year 2018, certain of our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our operations through the sharing of resources, namely labor and equipment which will reduce third party spend and promote the cross selling of such business offerings. In connection with this reorganization, our chief operating decision maker also requested changes in the information that he regularly reviews for purposes of allocating resources and assessing performance. These changes required a reconsideration of our operating segments in the first quarter of 2018 and resulted in a change in our assessment of our operating segments. We concluded that there are now two operating segments for disclosure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(i) the Environmental Services segment which consists of our historical Technical Services, Industrial Services, Field Services and Oil, Gas and Lodging businesses, and (ii) the Safety-Kleen segment.</w:t>
      </w:r>
    </w:p>
    <w:p>
      <w:pPr>
        <w:spacing w:after="0" w:line="182" w:lineRule="exact"/>
        <w:rPr>
          <w:sz w:val="20"/>
          <w:szCs w:val="20"/>
          <w:color w:val="auto"/>
        </w:rPr>
      </w:pPr>
    </w:p>
    <w:p>
      <w:pPr>
        <w:ind w:right="48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hanging="324"/>
        <w:spacing w:after="0" w:line="290"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waste volumes generated by them and project work for which waste handling and/or disposal is required. In managing the business and evaluating performance, management tracks the volumes of waste handled and disposed of through our owned incinerators and landfills as well as the utilization of such incinerators. Levels of activity and ultimate performance associated with this segment can be impacted by seasonality and weather conditions, market conditions and overall U.S. GDP and U.S. industrial production,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the requirement for environmental cleanup services on a scheduled or emergency basis, including response to national events such as major oil spills, natural disasters or other events where immediate and specialized services are required.</w:t>
      </w:r>
    </w:p>
    <w:p>
      <w:pPr>
        <w:spacing w:after="0" w:line="159" w:lineRule="exact"/>
        <w:rPr>
          <w:rFonts w:ascii="Arial" w:cs="Arial" w:eastAsia="Arial" w:hAnsi="Arial"/>
          <w:sz w:val="16"/>
          <w:szCs w:val="16"/>
          <w:color w:val="auto"/>
        </w:rPr>
      </w:pPr>
    </w:p>
    <w:p>
      <w:pPr>
        <w:ind w:left="980" w:right="2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Safety-Kleen - </w:t>
      </w:r>
      <w:r>
        <w:rPr>
          <w:rFonts w:ascii="Arial" w:cs="Arial" w:eastAsia="Arial" w:hAnsi="Arial"/>
          <w:sz w:val="18"/>
          <w:szCs w:val="18"/>
          <w:color w:val="auto"/>
        </w:rPr>
        <w:t>Safety-Kleen segment results are significantly impacted by the overall market pricing and product mix associated with base and</w:t>
      </w:r>
      <w:r>
        <w:rPr>
          <w:rFonts w:ascii="Arial" w:cs="Arial" w:eastAsia="Arial" w:hAnsi="Arial"/>
          <w:sz w:val="18"/>
          <w:szCs w:val="18"/>
          <w:b w:val="1"/>
          <w:bCs w:val="1"/>
          <w:color w:val="auto"/>
        </w:rPr>
        <w:t xml:space="preserve"> </w:t>
      </w:r>
      <w:r>
        <w:rPr>
          <w:rFonts w:ascii="Arial" w:cs="Arial" w:eastAsia="Arial" w:hAnsi="Arial"/>
          <w:sz w:val="18"/>
          <w:szCs w:val="18"/>
          <w:color w:val="auto"/>
        </w:rPr>
        <w:t>blended oil products and, more specifically, the market prices of Group II base oils, which historically have correlated with overall crude oil prices. Costs incurred in connection with the collection of used oils, which are raw materials associated with the segment’s products, can also be volatile. Starting in 2015, we began charging for collection of used oils, which has allowed us to more effectively manage the profit spreads inherent in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80"/>
        <w:spacing w:after="0" w:line="322" w:lineRule="auto"/>
        <w:rPr>
          <w:sz w:val="20"/>
          <w:szCs w:val="20"/>
          <w:color w:val="auto"/>
        </w:rPr>
      </w:pPr>
      <w:r>
        <w:rPr>
          <w:rFonts w:ascii="Arial" w:cs="Arial" w:eastAsia="Arial" w:hAnsi="Arial"/>
          <w:sz w:val="16"/>
          <w:szCs w:val="16"/>
          <w:color w:val="auto"/>
        </w:rPr>
        <w:t>business. The implementation of our OilPlus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closed loop initiative resulting in the sale of our renewable oil products directly to our end customers will also impact future operating results. In addition, this segment's results are impacted by the number of parts washers serviced by the business and the ability to attract small quantity waste producers as customers and integrate them into the Clean Harbors waste network.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revenues for the three and six months ended June 30, 2018 were $849.1 million and $1,598.9 million compared with $752.8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$1,441.7 million for the three and six months ended June 30, 2017. In the three and six months ended June 30, 2018, our Environmental Services segment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direct revenues 15.2% and 12.8%, respectively, from the comparable periods in 2017 primarily due to greater waste volumes disposed of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 along with higher pricing, revenues resulting from the acquisition of the Veolia Business in the first quarter of 2018 and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made in 2017 subsequent to the second quarter. In the three and six months ended June 30, 2018, our Safety-Kleen segment increased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8.5% and 7.6%, respectively, from the comparable periods in 2017, as a result of improved pricing conditions related to our renewable oil products,</w:t>
      </w:r>
    </w:p>
    <w:p>
      <w:pPr>
        <w:spacing w:after="0" w:line="237" w:lineRule="auto"/>
        <w:rPr>
          <w:sz w:val="20"/>
          <w:szCs w:val="20"/>
          <w:color w:val="auto"/>
        </w:rPr>
      </w:pPr>
      <w:r>
        <w:rPr>
          <w:rFonts w:ascii="Arial" w:cs="Arial" w:eastAsia="Arial" w:hAnsi="Arial"/>
          <w:sz w:val="16"/>
          <w:szCs w:val="16"/>
          <w:color w:val="auto"/>
        </w:rPr>
        <w:t>continued growth related to our Safety-Kleen Environmental Services business and our OilPlus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closed loop initiative. The strengthening of the Canadian</w:t>
      </w:r>
    </w:p>
    <w:p>
      <w:pPr>
        <w:spacing w:after="0"/>
        <w:rPr>
          <w:sz w:val="20"/>
          <w:szCs w:val="20"/>
          <w:color w:val="auto"/>
        </w:rPr>
      </w:pPr>
      <w:r>
        <w:rPr>
          <w:rFonts w:ascii="Arial" w:cs="Arial" w:eastAsia="Arial" w:hAnsi="Arial"/>
          <w:sz w:val="16"/>
          <w:szCs w:val="16"/>
          <w:color w:val="auto"/>
        </w:rPr>
        <w:t>dollar also positively impacted our consolidated revenues by $6.3 million and $12.5 million, respectively, in the three and six months ended June 30, 2018.</w:t>
      </w:r>
    </w:p>
    <w:p>
      <w:pPr>
        <w:spacing w:after="0" w:line="23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reported income from operations for the three and six months ended June 30, 2018 of $64.4 million and $75.3 million, respectively, compared with $46.7 million and $52.2 million in the three and six months ended June 30, 2017. We reported net income for the three and six months ended June 30, 2018 of $30.7 million and $18.1 million, respectively, compared with net income of $25.9 million and $4.5 million in the three and six months ended June 30, 2017. The three and six months ended June 30, 2017 included a $31.7 million pre-tax gain on the sale of a non-core line of business and a $6.0 million pre-tax loss on early extinguishment of debt.</w:t>
      </w:r>
    </w:p>
    <w:p>
      <w:pPr>
        <w:spacing w:after="0" w:line="134"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 xml:space="preserve">Adjusted EBITDA, which is the primary financial measure by which our segments are evaluated, increased 15.6% to $139.6 million in the three months ended June 30, 2018 from $120.7 million in the three months ended June 30, 2017 and increased 13.4% to $227.8 million in the six months ended June 30, 2018 from $200.8 million in the six months ended June 30, 2017. Additional information, including a reconciliation of Adjusted EBITDA to net income, appears below under the heading </w:t>
      </w:r>
      <w:r>
        <w:rPr>
          <w:rFonts w:ascii="Arial" w:cs="Arial" w:eastAsia="Arial" w:hAnsi="Arial"/>
          <w:sz w:val="18"/>
          <w:szCs w:val="18"/>
          <w:i w:val="1"/>
          <w:iCs w:val="1"/>
          <w:color w:val="auto"/>
        </w:rPr>
        <w:t>"Adjusted EBITDA."</w:t>
      </w:r>
    </w:p>
    <w:p>
      <w:pPr>
        <w:spacing w:after="0" w:line="13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Net cash from operating activities for the six months ended June 30, 2018 was $129.7 million, an increase of $12.7 million from the comparable period in 2017. Adjusted free cash flow, which management uses to measure our financial strength and ability to generate cash, was $38.2 million in the six months ended June 30, 2018, which represents a $7.9 million increase over the comparable period of 2017. The increase in cash flows as compared to the comparable period of 2017 was most directly attributable to greater levels of operating income and lower interest payments offset by higher working capital levels. Additional information, including a reconciliation of adjusted free cash flow to net cash from operating activities, appears below under the heading </w:t>
      </w:r>
      <w:r>
        <w:rPr>
          <w:rFonts w:ascii="Arial" w:cs="Arial" w:eastAsia="Arial" w:hAnsi="Arial"/>
          <w:sz w:val="18"/>
          <w:szCs w:val="18"/>
          <w:i w:val="1"/>
          <w:iCs w:val="1"/>
          <w:color w:val="auto"/>
        </w:rPr>
        <w:t>"Adjusted Free Cash Flow."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primary financial measure by which we evaluate the performance of our segments is Adjusted EBITDA. The following table sets forth certain financial information associated with our results of operations for the three and six months ended June 30, 2018 and 2017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w w:val="97"/>
              </w:rPr>
              <w:t>Summary of Operations (in thousands)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3"/>
                <w:szCs w:val="13"/>
                <w:color w:val="auto"/>
              </w:rPr>
            </w:pPr>
          </w:p>
        </w:tc>
        <w:tc>
          <w:tcPr>
            <w:tcW w:w="920" w:type="dxa"/>
            <w:vAlign w:val="bottom"/>
          </w:tcPr>
          <w:p>
            <w:pPr>
              <w:jc w:val="right"/>
              <w:ind w:right="440"/>
              <w:spacing w:after="0" w:line="153"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2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2018</w:t>
            </w: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3"/>
                <w:szCs w:val="13"/>
                <w:color w:val="auto"/>
              </w:rPr>
            </w:pPr>
          </w:p>
        </w:tc>
        <w:tc>
          <w:tcPr>
            <w:tcW w:w="74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2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3"/>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554,814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481,590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73,224</w:t>
            </w:r>
          </w:p>
        </w:tc>
        <w:tc>
          <w:tcPr>
            <w:tcW w:w="92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1,027,261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910,486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116,775</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12.8%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23,120</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40,249</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7.6</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849,140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752,788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96,352</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1,598,918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1,441,729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157,189</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10.9</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54,798</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97,497</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14.4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1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181,494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172,684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8,810</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359,231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344,432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14,799</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2880" w:type="dxa"/>
            <w:vAlign w:val="bottom"/>
          </w:tcPr>
          <w:p>
            <w:pPr>
              <w:ind w:left="38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583,584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519,803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63,781</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1,130,009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1,016,388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113,621</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11.2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&amp; Administrative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1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43,775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39,716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4,059</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80,561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3,684</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4.6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1,522</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3,146</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1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42,348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34,228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8,120</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78,623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68,885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9,738</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14.1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125,995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13,701</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241,083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224,515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16,568</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94,832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14,367</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15,594</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10.1</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1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73,069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60,281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12,788</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134,953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112,649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22,304</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19.8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(8,285)</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5"/>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(10,898)</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5"/>
              </w:rPr>
              <w:t>(16.3)</w:t>
            </w:r>
          </w:p>
        </w:tc>
        <w:tc>
          <w:tcPr>
            <w:tcW w:w="0" w:type="dxa"/>
            <w:vAlign w:val="bottom"/>
          </w:tcPr>
          <w:p>
            <w:pPr>
              <w:spacing w:after="0"/>
              <w:rPr>
                <w:sz w:val="1"/>
                <w:szCs w:val="1"/>
                <w:color w:val="auto"/>
              </w:rPr>
            </w:pPr>
          </w:p>
        </w:tc>
      </w:tr>
      <w:tr>
        <w:trPr>
          <w:trHeight w:val="244"/>
        </w:trPr>
        <w:tc>
          <w:tcPr>
            <w:tcW w:w="2880" w:type="dxa"/>
            <w:vAlign w:val="bottom"/>
          </w:tcPr>
          <w:p>
            <w:pPr>
              <w:ind w:left="38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139,561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120,691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18,870</w:t>
            </w:r>
          </w:p>
        </w:tc>
        <w:tc>
          <w:tcPr>
            <w:tcW w:w="92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227,826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200,826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27,000</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13.4%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There are many factors which have impacted and continue to impact our revenues. These factors include, but are not limited to: overall industrial activity and growth in North America, existence of large scale environmental waste and remediation projects, general conditions of the energy related industries, competitive industry pricing, the effects of fuel prices on our fuel recovery fees, acquisitions and divestitures, the level of emergency response projects and foreign currency translation. In addition, customer efforts to minimalize hazardous waste and changes in regulation can also impact our revenues.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ind w:left="680"/>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554,814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481,590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73,224</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15.2%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1,027,261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910,486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116,775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right="60" w:firstLine="648"/>
        <w:spacing w:after="0" w:line="282" w:lineRule="auto"/>
        <w:rPr>
          <w:sz w:val="20"/>
          <w:szCs w:val="20"/>
          <w:color w:val="auto"/>
        </w:rPr>
      </w:pPr>
      <w:r>
        <w:rPr>
          <w:rFonts w:ascii="Arial" w:cs="Arial" w:eastAsia="Arial" w:hAnsi="Arial"/>
          <w:sz w:val="17"/>
          <w:szCs w:val="17"/>
          <w:color w:val="auto"/>
        </w:rPr>
        <w:t xml:space="preserve">Environmental Services direct revenues for the three months ended June 30, 2018 increased $73.2 million from the comparable period in 2017. Included in the three months ended June 30, 2017 was $10.7 million of direct revenues from our Transformer Services business, which we sold on June 30, 2017. </w:t>
      </w:r>
      <w:r>
        <w:rPr>
          <w:rFonts w:ascii="Arial" w:cs="Arial" w:eastAsia="Arial" w:hAnsi="Arial"/>
          <w:sz w:val="18"/>
          <w:szCs w:val="18"/>
          <w:color w:val="auto"/>
        </w:rPr>
        <w:t>I</w:t>
      </w:r>
      <w:r>
        <w:rPr>
          <w:rFonts w:ascii="Arial" w:cs="Arial" w:eastAsia="Arial" w:hAnsi="Arial"/>
          <w:sz w:val="17"/>
          <w:szCs w:val="17"/>
          <w:color w:val="auto"/>
        </w:rPr>
        <w:t>ncluded in the three months ended June 30, 2018 was $46.3 million of direct revenues from the Veolia Business, which we acquired on February 23, 2018, and $9.4 million from 2017 acquisitions which had not been consummated by June 30, 2017</w:t>
      </w:r>
      <w:r>
        <w:rPr>
          <w:rFonts w:ascii="Arial" w:cs="Arial" w:eastAsia="Arial" w:hAnsi="Arial"/>
          <w:sz w:val="18"/>
          <w:szCs w:val="18"/>
          <w:color w:val="auto"/>
        </w:rPr>
        <w:t>.</w:t>
      </w:r>
      <w:r>
        <w:rPr>
          <w:rFonts w:ascii="Arial" w:cs="Arial" w:eastAsia="Arial" w:hAnsi="Arial"/>
          <w:sz w:val="17"/>
          <w:szCs w:val="17"/>
          <w:color w:val="auto"/>
        </w:rPr>
        <w:t xml:space="preserve"> Excluding these direct revenues related to recent acquisition and divestiture activities, Environmental Services direct revenue increased $28.2 million primarily due to increases in our industrial and speciality services line of business resulting from a strong turnaround season and a steady stream of smaller project across our Environmental Services business as well as higher disposal pricing and waste volumes processed in our incinerators. The utilization rate at our incinerators on a practical capacity of 561,721 tons was 89.8% for the three months ended June 30, 2018, compared with 86.9% in the comparable period of 2017. Greater levels of activity at our sales and service branches also accounted for increases to direct revenue of $16.5 million from the comparable period in 2017. Inclusive in the change within this segment was also the positive impact of foreign currency translation on our Canadian operations of $4.8 million for the three months ended June 30, 2018 from the comparable period in 2017.</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Environmental Services direct revenues for the six months ended June 30, 2018 increased $116.8 million from the comparable period in 2017. Included in the six months ended June 30, 2017 was $20.6 million of direct revenues from our Transformer Services business, which we sold on June 30, 2017. Included in the six months ended June 30, 2018 was $63.9 million of direct revenues from the Veolia Business, which we acquired on February 23, 2018, and $18.1 million from our 2017 acquisitions. Excluding those direct revenues, Environmental Services direct revenue increased $55.4 million primarily due to higher levels of revenues associated with waste projects and higher waste volumes disposed of in our incinerators and landfills. The utilization rate at our incinerators on a practical capacity of 561,721 tons was 88.5% for the six months ended June 30, 2018, compared with 83.1% in the comparable period of 2017. The increase in utilization was impacted by higher volumes of waste processed through our incinerator network. Greater levels of activity at our sales and service branches also accounted for increases to direct revenue of $31.6 million from the comparable period in 2017. Inclusive in the change within this segment was also the positive impact of foreign currency translation on our Canadian operations of $9.3 million for the six months ended June 30, 2018 from the comparable period in 2017.</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ind w:left="680"/>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2220" w:type="dxa"/>
            <w:vAlign w:val="bottom"/>
            <w:gridSpan w:val="5"/>
          </w:tcPr>
          <w:p>
            <w:pPr>
              <w:ind w:left="6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294,435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23,120</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8.5%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40,249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Safety-Kleen direct revenues for the three months ended June 30, 2018 increased $23.1 million from the comparable period in 2017 primarily due to more favorable pricing on oil products and growth in the business’ core service offerings. Increased base and blended oil pricing, volumes and direct sales of blended oil accounted for $18.5 million of incremental direct revenue from the comparable period in 2017. Revenues generated through direct sales of packaging and blending services and other core service offerings such as handling of containerized waste, vac services and sales of allied products accounted for $11.7 million of incremental revenues which more than offset a decrease in used oil collection revenues of $8.5 million. Inclusive in the change within this segment was also the positive impact of foreign currency translation on our Canadian operations of $1.4 million for the three months ended June 30, 2018 from the comparable period in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Safety-Kleen direct revenues for the six months ended June 30, 2018 increased $40.2 million from the comparable period in 2017 primarily due to more favorable pricing on oil products, increase in base oil volume and growth in the business’ core service offerings. Increased base and blended oil pricing and direct sales of blended oil accounted for $37.2 million of incremental direct revenue from the comparable period in 2017. Revenues generated through direct sales of packaging and blending services and other core service offerings such as handling of containerized waste, vac services and sales of allied products accounted for $18.5 million of incremental revenues which more than offset a decrease in used oil collection revenues of $16.6 million. Inclusive in the change within this segment was also the positive impact of foreign currency translation on our Canadian operations of $3.0 million for the six months ended June 30, 2018 from the comparable period in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in an effort to optimize our operating margins.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Pr>
          <w:p>
            <w:pPr>
              <w:spacing w:after="0"/>
              <w:rPr>
                <w:sz w:val="18"/>
                <w:szCs w:val="18"/>
                <w:color w:val="auto"/>
              </w:rPr>
            </w:pPr>
          </w:p>
        </w:tc>
      </w:tr>
      <w:tr>
        <w:trPr>
          <w:trHeight w:val="270"/>
        </w:trPr>
        <w:tc>
          <w:tcPr>
            <w:tcW w:w="2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ind w:left="680"/>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2018 over 2017</w:t>
            </w: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r>
      <w:tr>
        <w:trPr>
          <w:trHeight w:val="33"/>
        </w:trPr>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401,840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347,042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54,798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15.8%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772,400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674,903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97,497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Environmental Services cost of revenues for the three months ended June 30, 2018 increased $54.8 million from the comparable period in 2017 primarily due to increases in labor related costs of $35.8 million along with equipment and supply costs of $11.4 million and transportation, disposal and fuel costs of $7.5 million. The incremental operating costs were driven by higher volumes of waste handled in our facilities and incremental costs associated with the acquisition of the Veolia Business.</w:t>
      </w:r>
    </w:p>
    <w:p>
      <w:pPr>
        <w:spacing w:after="0" w:line="24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Environmental Services cost of revenues for the six months ended June 30, 2018 increased $97.5 million from the comparable period in 2017 primarily due to increases in labor related costs of $59.6 million along with equipment and supply costs of $28.1 million and transportation, disposal and fuel costs of $11.3 million. The incremental operating costs were driven by higher volumes of waste handled in our facilities, increased cost of certain commodity supplies such as fuel and solvents, as well as incremental costs related to repairs which needed to be made at our incinerators and our solvent recycling facility. These repair costs are the primary factor in the increase in cost of revenues as a percentage of direct revenue for the period.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Six Months Ended</w:t>
            </w:r>
          </w:p>
        </w:tc>
        <w:tc>
          <w:tcPr>
            <w:tcW w:w="900" w:type="dxa"/>
            <w:vAlign w:val="bottom"/>
          </w:tcPr>
          <w:p>
            <w:pPr>
              <w:spacing w:after="0"/>
              <w:rPr>
                <w:sz w:val="18"/>
                <w:szCs w:val="18"/>
                <w:color w:val="auto"/>
              </w:rPr>
            </w:pPr>
          </w:p>
        </w:tc>
      </w:tr>
      <w:tr>
        <w:trPr>
          <w:trHeight w:val="270"/>
        </w:trPr>
        <w:tc>
          <w:tcPr>
            <w:tcW w:w="2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2018 over 2017</w:t>
            </w: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3"/>
          </w:tcPr>
          <w:p>
            <w:pPr>
              <w:ind w:left="34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181,494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172,684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5.1 %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359,231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344,432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14,799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Safety-Kleen cost of revenues for the three months ended June 30, 2018 increased $8.8 million from the comparable period in 2017 primarily due to increased costs of oil additives and other raw materials of $4.0 million and increased transportation, disposal and fuel costs of $2.5 million. These increases were the result of overall growth of the business and increases seen in commodities pricing. Despite these increases in costs gross margin has expanded as we continue to effectively manage the spread in our re-refinery business and implement new pricing strategies.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Safety-Kleen cost of revenues for the six months ended June 30, 2018 increased $14.8 million from the comparable period in 2017 primarily due to increased costs of oil additives and other raw materials of $5.8 million, increased transportation, disposal and fuel costs of $5.7 million and labor related costs of $3.7 million. These increases are in line with the overall growth of the business. Costs as a percentage of direct revenues decreased over the comparable periods of 2017 as we have been able to gain greater leverage from our cost structure.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4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strive to manage our selling, general and administrative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Six Months Ended</w:t>
            </w:r>
          </w:p>
        </w:tc>
        <w:tc>
          <w:tcPr>
            <w:tcW w:w="900" w:type="dxa"/>
            <w:vAlign w:val="bottom"/>
          </w:tcPr>
          <w:p>
            <w:pPr>
              <w:spacing w:after="0"/>
              <w:rPr>
                <w:sz w:val="18"/>
                <w:szCs w:val="18"/>
                <w:color w:val="auto"/>
              </w:rPr>
            </w:pPr>
          </w:p>
        </w:tc>
      </w:tr>
      <w:tr>
        <w:trPr>
          <w:trHeight w:val="270"/>
        </w:trPr>
        <w:tc>
          <w:tcPr>
            <w:tcW w:w="2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2018 over 2017</w:t>
            </w: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43,775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10.2 %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84,245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80,561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28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Environmental Services selling, general and administrative expenses for the three months ended June 30, 2018 increased $4.1 million from the comparable period in 2017 due to increases in salary and benefit related costs of $2.4 million variable compensation of $1.2 million and increases across various other expense categories of $0.5 million. As a percentage of direct revenue, SG&amp;A costs decreased as the additional revenues outpace incremental SG&amp;A costs.</w:t>
      </w:r>
    </w:p>
    <w:p>
      <w:pPr>
        <w:spacing w:after="0" w:line="24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Environmental Services selling, general and administrative expenses for the six months ended June 30, 2018 increased $3.7 million from the comparable period in 2017 due primarily to increases in salary and benefit related costs of $4.4 million offset by a decrease across various expense categories of $0.7 million. As a percentage of direct revenue Environmental Services margins improved for the six months ended June 30, 2018 as compared to the same period in prior year, thereby leveraging increased revenues.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Six Months Ended</w:t>
            </w:r>
          </w:p>
        </w:tc>
        <w:tc>
          <w:tcPr>
            <w:tcW w:w="900" w:type="dxa"/>
            <w:vAlign w:val="bottom"/>
          </w:tcPr>
          <w:p>
            <w:pPr>
              <w:spacing w:after="0"/>
              <w:rPr>
                <w:sz w:val="18"/>
                <w:szCs w:val="18"/>
                <w:color w:val="auto"/>
              </w:rPr>
            </w:pPr>
          </w:p>
        </w:tc>
      </w:tr>
      <w:tr>
        <w:trPr>
          <w:trHeight w:val="270"/>
        </w:trPr>
        <w:tc>
          <w:tcPr>
            <w:tcW w:w="2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2018 over 2017</w:t>
            </w: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38,350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4.0 %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Safety-Kleen selling, general and administrative expenses for the three and six months ended June 30, 2018 increased $1.5 million and $3.1 million, respectively, from the comparable periods in 2017 primarily due to an increase in variable compensation consistent with the increase in revenues of the business. As a percentage of direct revenue Safety-Kleen costs remained consistent for the three and six months ended June 30, 2018 with the comparable periods in 2017.</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ind w:left="680"/>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2220" w:type="dxa"/>
            <w:vAlign w:val="bottom"/>
            <w:gridSpan w:val="5"/>
          </w:tcPr>
          <w:p>
            <w:pPr>
              <w:ind w:left="6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8,120</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23.7%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68,885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9,738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Corporate Items selling, general and administrative expenses for the three and six months ended June 30, 2018 increased $8.1 million and $9.7 million, respectively, from the comparable periods in 2017 primarily due to increases in salaries, benefits and variable compensation, including costs associated with the acquired Veolia Business and our commitment to investing in our employees.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 (“Adjusted EBITDA”)</w:t>
      </w:r>
    </w:p>
    <w:p>
      <w:pPr>
        <w:spacing w:after="0" w:line="14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(loss)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gridSpan w:val="6"/>
          </w:tcPr>
          <w:p>
            <w:pPr>
              <w:jc w:val="right"/>
              <w:ind w:right="234"/>
              <w:spacing w:after="0"/>
              <w:rPr>
                <w:sz w:val="20"/>
                <w:szCs w:val="20"/>
                <w:color w:val="auto"/>
              </w:rPr>
            </w:pPr>
            <w:r>
              <w:rPr>
                <w:rFonts w:ascii="Arial" w:cs="Arial" w:eastAsia="Arial" w:hAnsi="Arial"/>
                <w:sz w:val="16"/>
                <w:szCs w:val="16"/>
                <w:b w:val="1"/>
                <w:bCs w:val="1"/>
                <w:color w:val="auto"/>
                <w:w w:val="95"/>
              </w:rPr>
              <w:t>For the 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294"/>
              <w:spacing w:after="0"/>
              <w:rPr>
                <w:sz w:val="20"/>
                <w:szCs w:val="20"/>
                <w:color w:val="auto"/>
              </w:rPr>
            </w:pPr>
            <w:r>
              <w:rPr>
                <w:rFonts w:ascii="Arial" w:cs="Arial" w:eastAsia="Arial" w:hAnsi="Arial"/>
                <w:sz w:val="16"/>
                <w:szCs w:val="16"/>
                <w:b w:val="1"/>
                <w:bCs w:val="1"/>
                <w:color w:val="auto"/>
                <w:w w:val="95"/>
              </w:rPr>
              <w:t>For the Six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4"/>
          </w:tcPr>
          <w:p>
            <w:pPr>
              <w:ind w:left="280"/>
              <w:spacing w:after="0"/>
              <w:rPr>
                <w:sz w:val="20"/>
                <w:szCs w:val="20"/>
                <w:color w:val="auto"/>
              </w:rPr>
            </w:pPr>
            <w:r>
              <w:rPr>
                <w:rFonts w:ascii="Arial" w:cs="Arial" w:eastAsia="Arial" w:hAnsi="Arial"/>
                <w:sz w:val="16"/>
                <w:szCs w:val="16"/>
                <w:b w:val="1"/>
                <w:bCs w:val="1"/>
                <w:color w:val="auto"/>
              </w:rPr>
              <w:t>2018 over 2017</w:t>
            </w: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3"/>
          </w:tcPr>
          <w:p>
            <w:pPr>
              <w:ind w:left="28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109,199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94,832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14,367</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15.1%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170,616</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155,022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15,594</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10.1%</w:t>
            </w:r>
          </w:p>
        </w:tc>
      </w:tr>
      <w:tr>
        <w:trPr>
          <w:trHeight w:val="27"/>
        </w:trPr>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12,788</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22,304</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19.8</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(8,285)</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(10,898)</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(16.3)</w:t>
            </w:r>
          </w:p>
        </w:tc>
      </w:tr>
      <w:tr>
        <w:trPr>
          <w:trHeight w:val="27"/>
        </w:trPr>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139,561</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120,691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18,870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227,826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200,826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27,000</w:t>
            </w:r>
          </w:p>
        </w:tc>
        <w:tc>
          <w:tcPr>
            <w:tcW w:w="9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3"/>
              </w:rPr>
              <w:t>13.4%</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10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foregoing persons to obtain a better understanding of our core operating performance and evaluate the efficacy of the methodology and information used by management to evaluate and measure such performance on a standalone and a comparative basis.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c>
          <w:tcPr>
            <w:tcW w:w="26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For the Six Months Ended</w:t>
            </w:r>
          </w:p>
        </w:tc>
      </w:tr>
      <w:tr>
        <w:trPr>
          <w:trHeight w:val="270"/>
        </w:trPr>
        <w:tc>
          <w:tcPr>
            <w:tcW w:w="5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23"/>
                <w:szCs w:val="23"/>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30,747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4,487</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Accretion of environmental liabilities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4,878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4,706</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143,943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(31,722)</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13,683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23,216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16,736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25,917</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139,561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200,826</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gridSpan w:val="4"/>
          </w:tcPr>
          <w:p>
            <w:pPr>
              <w:ind w:left="340"/>
              <w:spacing w:after="0"/>
              <w:rPr>
                <w:sz w:val="20"/>
                <w:szCs w:val="20"/>
                <w:color w:val="auto"/>
              </w:rPr>
            </w:pPr>
            <w:r>
              <w:rPr>
                <w:rFonts w:ascii="Arial" w:cs="Arial" w:eastAsia="Arial" w:hAnsi="Arial"/>
                <w:sz w:val="16"/>
                <w:szCs w:val="16"/>
                <w:b w:val="1"/>
                <w:bCs w:val="1"/>
                <w:color w:val="auto"/>
              </w:rPr>
              <w:t>2018 over 2017</w:t>
            </w:r>
          </w:p>
        </w:tc>
        <w:tc>
          <w:tcPr>
            <w:tcW w:w="240" w:type="dxa"/>
            <w:vAlign w:val="bottom"/>
          </w:tcPr>
          <w:p>
            <w:pPr>
              <w:spacing w:after="0"/>
              <w:rPr>
                <w:sz w:val="23"/>
                <w:szCs w:val="23"/>
                <w:color w:val="auto"/>
              </w:rPr>
            </w:pPr>
          </w:p>
        </w:tc>
        <w:tc>
          <w:tcPr>
            <w:tcW w:w="2220" w:type="dxa"/>
            <w:vAlign w:val="bottom"/>
            <w:gridSpan w:val="5"/>
          </w:tcPr>
          <w:p>
            <w:pPr>
              <w:ind w:left="6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Depreciation of fixed assets and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landfill amortization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64,191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20"/>
        </w:trPr>
        <w:tc>
          <w:tcPr>
            <w:tcW w:w="2180" w:type="dxa"/>
            <w:vAlign w:val="bottom"/>
          </w:tcPr>
          <w:p>
            <w:pPr>
              <w:ind w:left="40"/>
              <w:spacing w:after="0"/>
              <w:rPr>
                <w:sz w:val="20"/>
                <w:szCs w:val="20"/>
                <w:color w:val="auto"/>
              </w:rPr>
            </w:pPr>
            <w:r>
              <w:rPr>
                <w:rFonts w:ascii="Arial" w:cs="Arial" w:eastAsia="Arial" w:hAnsi="Arial"/>
                <w:sz w:val="16"/>
                <w:szCs w:val="16"/>
                <w:color w:val="auto"/>
              </w:rPr>
              <w:t>Permits and other intangibles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9,692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17,813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depreciation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72,760</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71,531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147,604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143,943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3,661</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for the three months ended June 30, 2018 increased $1.2 million from the comparable period in 2017, primarily due to incremental depreciation from acquisitions.</w:t>
      </w:r>
    </w:p>
    <w:p>
      <w:pPr>
        <w:spacing w:after="0" w:line="2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Depreciation and amortization for the six months ended June 30, 2018 increased $3.7 million from the comparable period in 2017, primarily due to increased volumes at our landfills which drove increased landfill amortization and incremental depreciation from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Six Months Ended</w:t>
            </w:r>
          </w:p>
        </w:tc>
        <w:tc>
          <w:tcPr>
            <w:tcW w:w="900" w:type="dxa"/>
            <w:vAlign w:val="bottom"/>
          </w:tcPr>
          <w:p>
            <w:pPr>
              <w:spacing w:after="0"/>
              <w:rPr>
                <w:sz w:val="18"/>
                <w:szCs w:val="18"/>
                <w:color w:val="auto"/>
              </w:rPr>
            </w:pPr>
          </w:p>
        </w:tc>
      </w:tr>
      <w:tr>
        <w:trPr>
          <w:trHeight w:val="270"/>
        </w:trPr>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2018 over 2017</w:t>
            </w: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(41.1)%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33"/>
        </w:trPr>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income tax provision for the three and six months ended June 30, 2018 decreased $9.5 million and $9.2 million as compared to the comparable periods in 2017. The decrease in the three and six months ended June 30, 2018 was primarily due to the lower US federal statutory rate for 2018 which was enacted as part of the Tax Cuts and Jobs Act signed into law in December of 2017. Our effective tax rate for the three and six months ended June 30, 2018 was 30.8% and 48.0%, respectively, compared to 47.3% and 85.2% for the same periods in 2017. The variations in the effective income tax rates for the six months ended June 30, 2018 and the three and six months ended June 30, 2017 as compared to more customary relationships between pre-tax income and the provision for income taxes were primarily due to not recognizing income tax benefits from current operating losses related to certain Canadian entities during these periods.</w:t>
      </w:r>
    </w:p>
    <w:p>
      <w:pPr>
        <w:spacing w:after="0" w:line="24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For the six months ended June 30, 2018, we did not record $6.1 million of income tax benefits generated from losses at certain of our Canadian entities. For the three and six months ended June 30, 2017, we did not record $2.7 million and $13.2 million, respectively, of income tax benefits.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3"/>
                <w:szCs w:val="23"/>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23"/>
                <w:szCs w:val="23"/>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 2017</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cash from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129,670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116,931</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(50,370)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from financing activities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(33,928)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70,702</w:t>
            </w:r>
          </w:p>
        </w:tc>
      </w:tr>
    </w:tbl>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cash from operating activities for the six months ended June 30, 2018 was $129.7 million, an increase of $12.7 million from the comparable period in 2017. The increase in operating cash flows as compared to the comparable period of 2017 was most directly attributable to greater levels of operating income and lower interest payments offset by higher working capital levels due to growth in our business. Operating cash flows for the remainder of 2018 are expected to continue to be greater than prior year levels.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2018 was $216.1 million, an increase of $165.8 million from the comparable period in 2017. The change was primarily driven by the use of cash to fund the acquisition of the Veolia Business on February 23, 2018 and the proceeds from the Transformer Services divestiture in June 2017.</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from financing activities</w:t>
      </w:r>
    </w:p>
    <w:p>
      <w:pPr>
        <w:spacing w:after="0" w:line="27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Net cash used in financing activities for the six months ended June 30, 2018 was $33.9 million, compared with net cash from financing activities of $70.7 million in the comparable period in 2017. In the six months ended June 30, 2017, we had net proceeds from the issuance of debt as we entered into the $400.0 million Term Loan Agreement and used the proceeds to purchase approximately $296.2 million aggregate principal amount of our previously outstanding 2020 Notes. In the six months ended June 30, 2018, we had no net proceeds from the issuance of debt and had a net cash outflow due to an increase in repurchases of common stock, which were partially offset by a change in uncashed checks which resulted from the timing of payments made.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Management considers adjusted free cash flow to be a measurement of liquidity which provides useful information to both management and investors about our financial strength and our ability to generate cash. Additionally, adjusted free cash flow is a metric on which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 and disposal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cash from operating activities to adjusted free cash flow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129,670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116,931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(94,139)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(88,742)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Adjusted free cash flow</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38,172</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30,310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At June 30, 2018, cash and cash equivalents totaled $197.1 million, compared to $319.4 million at December 31, 2017. At June 30, 2018, cash and cash equivalents held by our foreign subsidiaries totaled $43.2 million and were readily convertible into other foreign currencies including U.S. dollars. At June 30, 2018, the cash and cash equivalent balance for our U.S. operations was $153.9 million, and our U.S. operations had net operating cash flow of $117.0 million for the six months ended June 30, 2018. Additionally, we have a $400.0 million revolving credit facility of which approximately $244.3 million was available to borrow at June 30, 2018. Based on the above and on our current plans, we believe that our U.S. operations have and will continue to have adequate financial resources to satisfy their liquidity needs without being required to repatriate earnings from foreign subsidiaries. We also believe that cash held by our foreign subsidiaries will be required to fund those foreign operations. Accordingly, although repatriation to the U.S. of foreign earnings would generally be subject to taxation, we have not recorded any deferred tax liability related to such repatriation since we intend to permanently reinvest foreign earnings outside the U.S.</w:t>
      </w:r>
    </w:p>
    <w:p>
      <w:pPr>
        <w:spacing w:after="0" w:line="236"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financing arrangements and principal terms of our $400.0 million principal amount of 5.25% senior unsecured notes due 2020, $845.0 million principal amount of 5.125% senior unsecured notes due 2021, and $396.0 million senior secured notes due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2024 which were outstanding at June 30, 2018, and our $400.0 million revolving credit facility, are discussed further in Note 12, “Financing Arrangements,” to our consolidated financial statements included herein. We continue to monitor our debt instruments and evaluate opportunities where it may be beneficial to refinance or reallocate the portfolio.</w:t>
      </w:r>
    </w:p>
    <w:p>
      <w:pPr>
        <w:spacing w:after="0" w:line="10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June 30, 2018, we were in compliance with the covenants of all of our debt agreements, and we believe it is reasonably likely that we will continue to meet such covenants.</w:t>
      </w:r>
    </w:p>
    <w:p>
      <w:pPr>
        <w:spacing w:after="0" w:line="2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Note 12, “Financing Arrangements,” to our consolidated financial statements, we have refinanced a portion of our debt portfolio whereby the $400 million of previously outstanding 5.25% senior unsecured notes due 2020 have been replaced by $350 million of incremental term loans under our variable rate Term Loan Agreement and $50 million of borrowings under our revolving credit facility. In connection with the addition of this variable rate debt, we intend to enter into an interest rate swap instrument in order to effectively hedge the future risk of rising interest rates and effectively fix the interest rate on $350 million of our variable rate debt.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3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18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Closure and post-closure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4,467</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Remedial liabilities</w:t>
            </w: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121,275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124,468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20"/>
                <w:szCs w:val="20"/>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(2.6)</w:t>
            </w:r>
          </w:p>
        </w:tc>
      </w:tr>
      <w:tr>
        <w:trPr>
          <w:trHeight w:val="33"/>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environmental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Total environmental liabilities as of June 30, 2018 were $186.8 million, an increase of $1.3 million, compared to December 31, 2017 primarily due to accretion of $4.9 million and new asset retirement obligations and liabilities assumed in acquisition of $2.1 million, partially offset by expenditures of $4.6 million and a benefit from changes in environmental liability estimates of $0.7 million.</w:t>
      </w:r>
    </w:p>
    <w:p>
      <w:pPr>
        <w:spacing w:after="0" w:line="23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anticipate that 2018 capital spending, net of disposals, will be in the range of $170.0 million to $190.0 million. However, changes in environmental regulations or unscheduled capital needs could require us to make significant capital expenditures for our facilities and adversely affect our results of operations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than described below, there were no material changes in the first six months of 2018 to the information provided under the heading “Critical Accounting Policies and Estimates” included in our Annual Report on Form 10-K for the year ended December 31, 2017.</w:t>
      </w:r>
    </w:p>
    <w:p>
      <w:pPr>
        <w:spacing w:after="0" w:line="2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not amortized but is reviewed for impairment annually as of December 31 or when events or changes in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24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conducted our annual impairment test of goodwill for all of our reporting units to which goodwill is allocated as of December 31, 2017 and determined that no adjustment to the carrying value of goodwill for any reporting unit was then necessary. As a result of changes in our organizational structure and resulting change in our operating segments discussed above, we concluded that, for purposes of reviewing for potential goodwill impairment, we had four reporting units, consisting of Environmental Sales and Service, Environmental Facilities, Kleen Performance Products and Safety-Kleen Environmental Services. The results of operations for our Environmental Sales and Service and Environmental Facilities reporting units are included in our Environmental Services segment, and the results of operations for our SK Environmental and Kleen Performance Products reporting units are included in our Safety-Kleen segment. We allocated goodwill to our new reporting units using a relative fair value approach. Due to the change in our reporting units, we completed an assessment of any potential goodwill impairment immediately prior to and subsequent to the reorganization, which was effective January 1, 2018, and determined that no impairment existed.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material changes in the first six months of 2018 to the information provided under Item 7A. “Quantitative and Qualitative Disclosures about Market Risk” in the Company's Annual Report on Form 10-K for the year ended December 31, 2017.</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21"/>
        <w:spacing w:after="0" w:line="293" w:lineRule="auto"/>
        <w:rPr>
          <w:sz w:val="20"/>
          <w:szCs w:val="20"/>
          <w:color w:val="auto"/>
        </w:rPr>
      </w:pPr>
      <w:r>
        <w:rPr>
          <w:rFonts w:ascii="Arial" w:cs="Arial" w:eastAsia="Arial" w:hAnsi="Arial"/>
          <w:sz w:val="16"/>
          <w:szCs w:val="16"/>
          <w:color w:val="auto"/>
        </w:rPr>
        <w:t>Based on an evaluation under the supervision and with the participation of our Chief Executive Officer and Chief Financial Officer, as of the end of the period covered by this Quarterly Report on 10-Q, our Chief Executive Officer and Chief Financial Officer have concluded that our disclosure controls and procedures (as defined under Rule 13a-15(e) and 15d-15(e) under the Securities Exchange Act of 1934, as amended (the “Exchange Act”)) were effective as of June 30, 2018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38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ending June 30, 2018 that have materially affected, or are reasonably likely to materially affect, the Company’s internal control over financial reporting.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16, “Commitments and Contingencies,” to the financial statements included in Item 1 of this report, which description is incorporated herein by reference.</w:t>
      </w:r>
    </w:p>
    <w:p>
      <w:pPr>
        <w:spacing w:after="0" w:line="1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2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During the six months ended June 30, 2018, there were no material changes from the risk factors as previously disclosed in Item 1A in the Company's Annual Report on Form 10-K for the year ended December 31, 2017.</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Total Number of Shares</w:t>
            </w:r>
          </w:p>
        </w:tc>
        <w:tc>
          <w:tcPr>
            <w:tcW w:w="12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82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Purchased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Share (2)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Programs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April 1, 2018 through April 30,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200,959</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47.38</w:t>
            </w:r>
          </w:p>
        </w:tc>
        <w:tc>
          <w:tcPr>
            <w:tcW w:w="1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180,694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328,357,065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 1, 2018 through May 31, 2018</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41,067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40,298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326,315,292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June 1, 2018 through June 30,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42,044</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53.46</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30,808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324,670,703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284,070</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251,800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324,670,703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059"/>
              <w:spacing w:after="0"/>
              <w:rPr>
                <w:sz w:val="20"/>
                <w:szCs w:val="20"/>
                <w:color w:val="auto"/>
              </w:rPr>
            </w:pPr>
            <w:r>
              <w:rPr>
                <w:rFonts w:ascii="Arial" w:cs="Arial" w:eastAsia="Arial" w:hAnsi="Arial"/>
                <w:sz w:val="18"/>
                <w:szCs w:val="18"/>
                <w:color w:val="auto"/>
                <w:w w:val="88"/>
              </w:rPr>
              <w:t>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32,270 shares withheld by us from employees to satisfy employee tax obligations upon vesting of restricted stock units granted to our employees under our long-term equity incentive programs.</w:t>
      </w: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right="120" w:hanging="328"/>
        <w:spacing w:after="0" w:line="28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October 31, 2017, the Company's board of directors increased the size of the Company’s current share repurchase program from $300 million to $600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During April 2018, the Company implemented a repurchase plan in accordance with Rule 10b5-1 promulgated under the Securities Exchange Act of 1934, as amended. Going forward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4"/>
                <w:szCs w:val="24"/>
                <w:color w:val="auto"/>
              </w:rPr>
            </w:pPr>
          </w:p>
        </w:tc>
      </w:tr>
      <w:tr>
        <w:trPr>
          <w:trHeight w:val="37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02"/>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2"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Rule 13a-14a/15d-14(a) Certification of the CEO Alan S. McKim</w:t>
              </w:r>
            </w:hyperlink>
          </w:p>
        </w:tc>
        <w:tc>
          <w:tcPr>
            <w:tcW w:w="4020" w:type="dxa"/>
            <w:vAlign w:val="bottom"/>
            <w:gridSpan w:val="3"/>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Rule 13a-14a/15d-14(a) Certification of the CFO Michael L. Battles</w:t>
              </w:r>
            </w:hyperlink>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Section 1350 Certifications</w:t>
              </w:r>
            </w:hyperlink>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46"/>
        </w:trPr>
        <w:tc>
          <w:tcPr>
            <w:tcW w:w="9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8"/>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4"/>
              </w:rPr>
              <w:t>Form 10-Q of Clean Harbors, Inc. for the quarter ended June 30, 2018, formatted in XBRL: (i) Consolidated Balance</w:t>
            </w:r>
          </w:p>
        </w:tc>
        <w:tc>
          <w:tcPr>
            <w:tcW w:w="14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rPr>
              <w:t>Sheets, (ii) Unaudited Consolidated Statements of Operations, (iii) Unaudited Consolidated Statements of</w:t>
            </w:r>
          </w:p>
        </w:tc>
        <w:tc>
          <w:tcPr>
            <w:tcW w:w="1480" w:type="dxa"/>
            <w:vAlign w:val="bottom"/>
          </w:tcPr>
          <w:p>
            <w:pPr>
              <w:spacing w:after="0"/>
              <w:rPr>
                <w:sz w:val="20"/>
                <w:szCs w:val="20"/>
                <w:color w:val="auto"/>
              </w:rPr>
            </w:pPr>
          </w:p>
        </w:tc>
      </w:tr>
    </w:tbl>
    <w:p>
      <w:pPr>
        <w:ind w:left="1180" w:right="1860"/>
        <w:spacing w:after="0" w:line="290" w:lineRule="auto"/>
        <w:rPr>
          <w:sz w:val="20"/>
          <w:szCs w:val="20"/>
          <w:color w:val="auto"/>
        </w:rPr>
      </w:pPr>
      <w:r>
        <w:rPr>
          <w:rFonts w:ascii="Arial" w:cs="Arial" w:eastAsia="Arial" w:hAnsi="Arial"/>
          <w:sz w:val="16"/>
          <w:szCs w:val="16"/>
          <w:color w:val="auto"/>
        </w:rPr>
        <w:t>Comprehensive Income (Loss), (iv) Unaudited Consolidated Statements of Cash Flows, (v) Unaudited Consolidated Statements of Stockholders’ Equity, and (vi) Notes to Unaudited Consolidated Financial Statements.</w:t>
      </w: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60" w:right="400" w:hanging="490"/>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2018</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2018</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240" w:top="125" w:right="7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June 30, 2018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60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August 1, 2018</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August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Letter"/>
      <w:start w:val="4"/>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3"/>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2019-12-28T20:32:20Z</dcterms:created>
  <dcterms:modified xsi:type="dcterms:W3CDTF">2019-12-28T20:32:20Z</dcterms:modified>
</cp:coreProperties>
</file>