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8"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w:t>
      </w:r>
    </w:p>
    <w:p>
      <w:pPr>
        <w:ind w:left="1560" w:hanging="528"/>
        <w:spacing w:after="0"/>
        <w:tabs>
          <w:tab w:leader="none" w:pos="15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EXCHANGE ACT OF 1934</w:t>
      </w:r>
    </w:p>
    <w:p>
      <w:pPr>
        <w:spacing w:after="0" w:line="87"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31"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3"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w:t>
      </w:r>
    </w:p>
    <w:p>
      <w:pPr>
        <w:ind w:left="1560" w:hanging="528"/>
        <w:spacing w:after="0"/>
        <w:tabs>
          <w:tab w:leader="none" w:pos="15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EXCHANGE ACT OF 1934</w:t>
      </w:r>
    </w:p>
    <w:p>
      <w:pPr>
        <w:sectPr>
          <w:pgSz w:w="11900" w:h="16838" w:orient="portrait"/>
          <w:cols w:equalWidth="0" w:num="1">
            <w:col w:w="11200"/>
          </w:cols>
          <w:pgMar w:left="320" w:top="229" w:right="379" w:bottom="1440" w:gutter="0" w:footer="0" w:header="0"/>
        </w:sectPr>
      </w:pPr>
    </w:p>
    <w:p>
      <w:pPr>
        <w:spacing w:after="0" w:line="330"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200" w:lineRule="exact"/>
        <w:rPr>
          <w:sz w:val="24"/>
          <w:szCs w:val="24"/>
          <w:color w:val="auto"/>
        </w:rPr>
      </w:pPr>
    </w:p>
    <w:p>
      <w:pPr>
        <w:sectPr>
          <w:pgSz w:w="11900" w:h="16838" w:orient="portrait"/>
          <w:cols w:equalWidth="0" w:num="2">
            <w:col w:w="6800" w:space="400"/>
            <w:col w:w="4000"/>
          </w:cols>
          <w:pgMar w:left="320" w:top="229" w:right="379" w:bottom="1440" w:gutter="0" w:footer="0" w:header="0"/>
          <w:type w:val="continuous"/>
        </w:sectPr>
      </w:pPr>
    </w:p>
    <w:p>
      <w:pPr>
        <w:spacing w:after="0" w:line="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001-34223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_______________________</w:t>
      </w:r>
    </w:p>
    <w:p>
      <w:pPr>
        <w:sectPr>
          <w:pgSz w:w="11900" w:h="16838" w:orient="portrait"/>
          <w:cols w:equalWidth="0" w:num="1">
            <w:col w:w="11200"/>
          </w:cols>
          <w:pgMar w:left="320" w:top="229" w:right="379" w:bottom="1440" w:gutter="0" w:footer="0" w:header="0"/>
          <w:type w:val="continuous"/>
        </w:sectPr>
      </w:pPr>
    </w:p>
    <w:p>
      <w:pPr>
        <w:spacing w:after="0" w:line="1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CLEAN HARBORS, INC.</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548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04-2997780</w:t>
            </w:r>
          </w:p>
        </w:tc>
      </w:tr>
      <w:tr>
        <w:trPr>
          <w:trHeight w:val="225"/>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54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42 Longwater Drive Norwell  MA</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02061-9149</w:t>
            </w:r>
          </w:p>
        </w:tc>
      </w:tr>
      <w:tr>
        <w:trPr>
          <w:trHeight w:val="234"/>
        </w:trPr>
        <w:tc>
          <w:tcPr>
            <w:tcW w:w="5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792-5000</w:t>
      </w:r>
    </w:p>
    <w:p>
      <w:pPr>
        <w:spacing w:after="0" w:line="1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6"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3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3220" w:type="dxa"/>
            <w:vAlign w:val="bottom"/>
            <w:gridSpan w:val="2"/>
            <w:vMerge w:val="continue"/>
          </w:tcPr>
          <w:p>
            <w:pPr>
              <w:spacing w:after="0"/>
              <w:rPr>
                <w:sz w:val="20"/>
                <w:szCs w:val="20"/>
                <w:color w:val="auto"/>
              </w:rPr>
            </w:pPr>
          </w:p>
        </w:tc>
        <w:tc>
          <w:tcPr>
            <w:tcW w:w="3240" w:type="dxa"/>
            <w:vAlign w:val="bottom"/>
            <w:gridSpan w:val="2"/>
            <w:vMerge w:val="continue"/>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CLH</w:t>
            </w:r>
          </w:p>
        </w:tc>
        <w:tc>
          <w:tcPr>
            <w:tcW w:w="1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80" w:firstLine="1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00"/>
          </w:cols>
          <w:pgMar w:left="320" w:top="229" w:right="379" w:bottom="1440" w:gutter="0" w:footer="0" w:header="0"/>
          <w:type w:val="continuous"/>
        </w:sectPr>
      </w:pPr>
    </w:p>
    <w:p>
      <w:pPr>
        <w:spacing w:after="0" w:line="10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ind w:left="76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3">
            <w:col w:w="3540" w:space="100"/>
            <w:col w:w="3300" w:space="720"/>
            <w:col w:w="3540"/>
          </w:cols>
          <w:pgMar w:left="320" w:top="229" w:right="379" w:bottom="1440" w:gutter="0" w:footer="0" w:header="0"/>
          <w:type w:val="continuous"/>
        </w:sectPr>
      </w:pPr>
    </w:p>
    <w:p>
      <w:pPr>
        <w:spacing w:after="0" w:line="3" w:lineRule="exact"/>
        <w:rPr>
          <w:sz w:val="24"/>
          <w:szCs w:val="24"/>
          <w:color w:val="auto"/>
        </w:rPr>
      </w:pPr>
    </w:p>
    <w:p>
      <w:pPr>
        <w:ind w:right="14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340" w:right="164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$0.01 par value, of the registrant outstanding at July 29, 2022 was 54,103,226.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0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CLEAN HARBORS, INC.</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60" w:type="dxa"/>
            <w:vAlign w:val="bottom"/>
            <w:gridSpan w:val="11"/>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0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vMerge w:val="restart"/>
          </w:tcPr>
          <w:p>
            <w:pPr>
              <w:spacing w:after="0"/>
              <w:rPr>
                <w:sz w:val="2"/>
                <w:szCs w:val="2"/>
                <w:color w:val="auto"/>
              </w:rPr>
            </w:pPr>
          </w:p>
        </w:tc>
        <w:tc>
          <w:tcPr>
            <w:tcW w:w="6300" w:type="dxa"/>
            <w:vAlign w:val="bottom"/>
            <w:gridSpan w:val="10"/>
            <w:vMerge w:val="restart"/>
          </w:tcPr>
          <w:p>
            <w:pPr>
              <w:jc w:val="center"/>
              <w:ind w:right="3220"/>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6300" w:type="dxa"/>
            <w:vAlign w:val="bottom"/>
            <w:gridSpan w:val="10"/>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ITEM 1: Unaudited Financial Statements</w:t>
            </w:r>
          </w:p>
        </w:tc>
        <w:tc>
          <w:tcPr>
            <w:tcW w:w="3080" w:type="dxa"/>
            <w:vAlign w:val="bottom"/>
            <w:tcBorders>
              <w:top w:val="single" w:sz="8" w:color="0000FF"/>
            </w:tcBorders>
            <w:gridSpan w:val="8"/>
          </w:tcPr>
          <w:p>
            <w:pPr>
              <w:spacing w:after="0"/>
              <w:rPr>
                <w:sz w:val="22"/>
                <w:szCs w:val="22"/>
                <w:color w:val="auto"/>
              </w:rPr>
            </w:pPr>
          </w:p>
        </w:tc>
        <w:tc>
          <w:tcPr>
            <w:tcW w:w="32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Consolidated Balance Sheets</w:t>
            </w:r>
          </w:p>
        </w:tc>
        <w:tc>
          <w:tcPr>
            <w:tcW w:w="1020" w:type="dxa"/>
            <w:vAlign w:val="bottom"/>
            <w:tcBorders>
              <w:top w:val="single" w:sz="8" w:color="0000FF"/>
            </w:tcBorders>
            <w:gridSpan w:val="4"/>
          </w:tcPr>
          <w:p>
            <w:pPr>
              <w:spacing w:after="0"/>
              <w:rPr>
                <w:sz w:val="18"/>
                <w:szCs w:val="18"/>
                <w:color w:val="auto"/>
              </w:rPr>
            </w:pPr>
          </w:p>
        </w:tc>
        <w:tc>
          <w:tcPr>
            <w:tcW w:w="7160" w:type="dxa"/>
            <w:vAlign w:val="bottom"/>
            <w:gridSpan w:val="13"/>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w:t>
            </w:r>
          </w:p>
        </w:tc>
        <w:tc>
          <w:tcPr>
            <w:tcW w:w="6620" w:type="dxa"/>
            <w:vAlign w:val="bottom"/>
            <w:gridSpan w:val="12"/>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Comprehensive Income</w:t>
            </w:r>
          </w:p>
        </w:tc>
        <w:tc>
          <w:tcPr>
            <w:tcW w:w="5700" w:type="dxa"/>
            <w:vAlign w:val="bottom"/>
            <w:gridSpan w:val="6"/>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8"/>
                <w:szCs w:val="18"/>
                <w:color w:val="auto"/>
              </w:rPr>
            </w:pPr>
          </w:p>
        </w:tc>
        <w:tc>
          <w:tcPr>
            <w:tcW w:w="5700" w:type="dxa"/>
            <w:vAlign w:val="bottom"/>
            <w:gridSpan w:val="6"/>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Statements of Stockholders’ Equity</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Consolidated Financial Statements</w:t>
            </w:r>
          </w:p>
        </w:tc>
        <w:tc>
          <w:tcPr>
            <w:tcW w:w="380" w:type="dxa"/>
            <w:vAlign w:val="bottom"/>
            <w:gridSpan w:val="2"/>
          </w:tcPr>
          <w:p>
            <w:pPr>
              <w:spacing w:after="0"/>
              <w:rPr>
                <w:sz w:val="18"/>
                <w:szCs w:val="18"/>
                <w:color w:val="auto"/>
              </w:rPr>
            </w:pPr>
          </w:p>
        </w:tc>
        <w:tc>
          <w:tcPr>
            <w:tcW w:w="5900" w:type="dxa"/>
            <w:vAlign w:val="bottom"/>
            <w:gridSpan w:val="7"/>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75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w w:val="99"/>
              </w:rPr>
              <w:t>ITEM 2: Management’s Discussion and Analysis of Financial Condition and Results of Operations</w:t>
            </w:r>
          </w:p>
        </w:tc>
        <w:tc>
          <w:tcPr>
            <w:tcW w:w="2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75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3: Quantitative and Qualitative Disclosures About Market Risk</w:t>
            </w:r>
          </w:p>
        </w:tc>
        <w:tc>
          <w:tcPr>
            <w:tcW w:w="2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4960" w:type="dxa"/>
            <w:vAlign w:val="bottom"/>
            <w:gridSpan w:val="4"/>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360" w:type="dxa"/>
            <w:vAlign w:val="bottom"/>
            <w:gridSpan w:val="3"/>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ITEM 1: Legal Proceedings</w:t>
            </w:r>
          </w:p>
        </w:tc>
        <w:tc>
          <w:tcPr>
            <w:tcW w:w="8220" w:type="dxa"/>
            <w:vAlign w:val="bottom"/>
            <w:gridSpan w:val="18"/>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1A: Risk Factors</w:t>
            </w:r>
          </w:p>
        </w:tc>
        <w:tc>
          <w:tcPr>
            <w:tcW w:w="8220" w:type="dxa"/>
            <w:vAlign w:val="bottom"/>
            <w:gridSpan w:val="18"/>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3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120" w:type="dxa"/>
            <w:vAlign w:val="bottom"/>
            <w:gridSpan w:val="9"/>
            <w:shd w:val="clear" w:color="auto" w:fill="0000FF"/>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2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3: Defaults Upon Senior Securities</w:t>
            </w:r>
          </w:p>
        </w:tc>
        <w:tc>
          <w:tcPr>
            <w:tcW w:w="5060" w:type="dxa"/>
            <w:vAlign w:val="bottom"/>
            <w:gridSpan w:val="5"/>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ITEM 4: Mine Safety Disclosures</w:t>
            </w:r>
          </w:p>
        </w:tc>
        <w:tc>
          <w:tcPr>
            <w:tcW w:w="600" w:type="dxa"/>
            <w:vAlign w:val="bottom"/>
            <w:gridSpan w:val="2"/>
          </w:tcPr>
          <w:p>
            <w:pPr>
              <w:spacing w:after="0"/>
              <w:rPr>
                <w:sz w:val="18"/>
                <w:szCs w:val="18"/>
                <w:color w:val="auto"/>
              </w:rPr>
            </w:pPr>
          </w:p>
        </w:tc>
        <w:tc>
          <w:tcPr>
            <w:tcW w:w="7180" w:type="dxa"/>
            <w:vAlign w:val="bottom"/>
            <w:gridSpan w:val="14"/>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5: Other Information</w:t>
            </w:r>
          </w:p>
        </w:tc>
        <w:tc>
          <w:tcPr>
            <w:tcW w:w="7780" w:type="dxa"/>
            <w:vAlign w:val="bottom"/>
            <w:gridSpan w:val="16"/>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180" w:type="dxa"/>
            <w:vAlign w:val="bottom"/>
            <w:gridSpan w:val="1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6: Exhibits</w:t>
            </w:r>
          </w:p>
        </w:tc>
        <w:tc>
          <w:tcPr>
            <w:tcW w:w="800" w:type="dxa"/>
            <w:vAlign w:val="bottom"/>
            <w:gridSpan w:val="3"/>
          </w:tcPr>
          <w:p>
            <w:pPr>
              <w:spacing w:after="0"/>
              <w:rPr>
                <w:sz w:val="18"/>
                <w:szCs w:val="18"/>
                <w:color w:val="auto"/>
              </w:rPr>
            </w:pPr>
          </w:p>
        </w:tc>
        <w:tc>
          <w:tcPr>
            <w:tcW w:w="8180" w:type="dxa"/>
            <w:vAlign w:val="bottom"/>
            <w:gridSpan w:val="17"/>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980" w:type="dxa"/>
            <w:vAlign w:val="bottom"/>
            <w:gridSpan w:val="2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980" w:type="dxa"/>
            <w:vAlign w:val="bottom"/>
            <w:gridSpan w:val="20"/>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8"/>
        </w:trPr>
        <w:tc>
          <w:tcPr>
            <w:tcW w:w="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452,575</w:t>
            </w:r>
          </w:p>
        </w:tc>
      </w:tr>
      <w:tr>
        <w:trPr>
          <w:trHeight w:val="23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81,724</w:t>
            </w:r>
          </w:p>
        </w:tc>
      </w:tr>
      <w:tr>
        <w:trPr>
          <w:trHeight w:val="229"/>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allowances aggregating $49,817 and $40,140, respectively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792,734</w:t>
            </w:r>
          </w:p>
        </w:tc>
      </w:tr>
      <w:tr>
        <w:trPr>
          <w:trHeight w:val="23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94,963</w:t>
            </w:r>
          </w:p>
        </w:tc>
      </w:tr>
      <w:tr>
        <w:trPr>
          <w:trHeight w:val="229"/>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and supplies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250,692</w:t>
            </w:r>
          </w:p>
        </w:tc>
      </w:tr>
      <w:tr>
        <w:trPr>
          <w:trHeight w:val="229"/>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68,483</w:t>
            </w:r>
          </w:p>
        </w:tc>
      </w:tr>
      <w:tr>
        <w:trPr>
          <w:trHeight w:val="223"/>
        </w:trPr>
        <w:tc>
          <w:tcPr>
            <w:tcW w:w="8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1,924,105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1,741,171</w:t>
            </w:r>
          </w:p>
        </w:tc>
      </w:tr>
      <w:tr>
        <w:trPr>
          <w:trHeight w:val="223"/>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1,913,145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1,863,175</w:t>
            </w:r>
          </w:p>
        </w:tc>
      </w:tr>
      <w:tr>
        <w:trPr>
          <w:trHeight w:val="21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161,797</w:t>
            </w:r>
          </w:p>
        </w:tc>
      </w:tr>
      <w:tr>
        <w:trPr>
          <w:trHeight w:val="23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1,244,655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1,227,042</w:t>
            </w:r>
          </w:p>
        </w:tc>
      </w:tr>
      <w:tr>
        <w:trPr>
          <w:trHeight w:val="229"/>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644,912</w:t>
            </w:r>
          </w:p>
        </w:tc>
      </w:tr>
      <w:tr>
        <w:trPr>
          <w:trHeight w:val="229"/>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15,602</w:t>
            </w:r>
          </w:p>
        </w:tc>
      </w:tr>
      <w:tr>
        <w:trPr>
          <w:trHeight w:val="223"/>
        </w:trPr>
        <w:tc>
          <w:tcPr>
            <w:tcW w:w="81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other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2,087,406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2,049,353</w:t>
            </w:r>
          </w:p>
        </w:tc>
      </w:tr>
      <w:tr>
        <w:trPr>
          <w:trHeight w:val="248"/>
        </w:trPr>
        <w:tc>
          <w:tcPr>
            <w:tcW w:w="8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5,653,699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w:t>
            </w:r>
          </w:p>
        </w:tc>
      </w:tr>
      <w:tr>
        <w:trPr>
          <w:trHeight w:val="23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359,866</w:t>
            </w:r>
          </w:p>
        </w:tc>
      </w:tr>
      <w:tr>
        <w:trPr>
          <w:trHeight w:val="23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83,749</w:t>
            </w:r>
          </w:p>
        </w:tc>
      </w:tr>
      <w:tr>
        <w:trPr>
          <w:trHeight w:val="23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391,414</w:t>
            </w:r>
          </w:p>
        </w:tc>
      </w:tr>
      <w:tr>
        <w:trPr>
          <w:trHeight w:val="229"/>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closure, post-closure and remedial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25,136</w:t>
            </w:r>
          </w:p>
        </w:tc>
      </w:tr>
      <w:tr>
        <w:trPr>
          <w:trHeight w:val="23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47,614</w:t>
            </w:r>
          </w:p>
        </w:tc>
      </w:tr>
      <w:tr>
        <w:trPr>
          <w:trHeight w:val="223"/>
        </w:trPr>
        <w:tc>
          <w:tcPr>
            <w:tcW w:w="8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925,314</w:t>
            </w:r>
          </w:p>
        </w:tc>
      </w:tr>
      <w:tr>
        <w:trPr>
          <w:trHeight w:val="21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Closure and post-closure liabilities, less current portion of $12,379 and $12,015, respectively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87,088</w:t>
            </w:r>
          </w:p>
        </w:tc>
      </w:tr>
      <w:tr>
        <w:trPr>
          <w:trHeight w:val="23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Remedial liabilities, less current portion of $22,172 and $13,121, respectively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98,752</w:t>
            </w:r>
          </w:p>
        </w:tc>
      </w:tr>
      <w:tr>
        <w:trPr>
          <w:trHeight w:val="229"/>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2,510,963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2,517,024</w:t>
            </w:r>
          </w:p>
        </w:tc>
      </w:tr>
      <w:tr>
        <w:trPr>
          <w:trHeight w:val="23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117,991</w:t>
            </w:r>
          </w:p>
        </w:tc>
      </w:tr>
      <w:tr>
        <w:trPr>
          <w:trHeight w:val="23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314,853</w:t>
            </w:r>
          </w:p>
        </w:tc>
      </w:tr>
      <w:tr>
        <w:trPr>
          <w:trHeight w:val="23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78,790</w:t>
            </w:r>
          </w:p>
        </w:tc>
      </w:tr>
      <w:tr>
        <w:trPr>
          <w:trHeight w:val="223"/>
        </w:trPr>
        <w:tc>
          <w:tcPr>
            <w:tcW w:w="8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3,217,648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3,214,498</w:t>
            </w:r>
          </w:p>
        </w:tc>
      </w:tr>
      <w:tr>
        <w:trPr>
          <w:trHeight w:val="21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Commitments and contingent liabilities (See Note 17)</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80,000,000 shares; issued and outstanding 54,110,459 and 54,419,321 shares, respectively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536,377</w:t>
            </w:r>
          </w:p>
        </w:tc>
      </w:tr>
      <w:tr>
        <w:trPr>
          <w:trHeight w:val="229"/>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(196,012)</w:t>
            </w:r>
          </w:p>
        </w:tc>
      </w:tr>
      <w:tr>
        <w:trPr>
          <w:trHeight w:val="23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earnings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1,366,449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1,172,978</w:t>
            </w:r>
          </w:p>
        </w:tc>
      </w:tr>
      <w:tr>
        <w:trPr>
          <w:trHeight w:val="223"/>
        </w:trPr>
        <w:tc>
          <w:tcPr>
            <w:tcW w:w="8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1,716,950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1,513,887</w:t>
            </w:r>
          </w:p>
        </w:tc>
      </w:tr>
      <w:tr>
        <w:trPr>
          <w:trHeight w:val="223"/>
        </w:trPr>
        <w:tc>
          <w:tcPr>
            <w:tcW w:w="8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5,924,656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5,653,699</w:t>
            </w: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18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6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7"/>
                <w:szCs w:val="17"/>
                <w:color w:val="auto"/>
              </w:rPr>
            </w:pPr>
          </w:p>
        </w:tc>
      </w:tr>
      <w:tr>
        <w:trPr>
          <w:trHeight w:val="23"/>
        </w:trPr>
        <w:tc>
          <w:tcPr>
            <w:tcW w:w="6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6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6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Service 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1,085,043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734,563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2,027,104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1,397,271</w:t>
            </w:r>
          </w:p>
        </w:tc>
      </w:tr>
      <w:tr>
        <w:trPr>
          <w:trHeight w:val="230"/>
        </w:trPr>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Product revenues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191,895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337,335</w:t>
            </w:r>
          </w:p>
        </w:tc>
      </w:tr>
      <w:tr>
        <w:trPr>
          <w:trHeight w:val="223"/>
        </w:trPr>
        <w:tc>
          <w:tcPr>
            <w:tcW w:w="6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1,356,312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926,458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2,525,421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1,734,606</w:t>
            </w:r>
          </w:p>
        </w:tc>
      </w:tr>
      <w:tr>
        <w:trPr>
          <w:trHeight w:val="21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Cost of revenues: (exclusive of items shown separately below)</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6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Service revenues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1,429,984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943,000</w:t>
            </w:r>
          </w:p>
        </w:tc>
      </w:tr>
      <w:tr>
        <w:trPr>
          <w:trHeight w:val="229"/>
        </w:trPr>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Product revenues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125,224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235,422</w:t>
            </w:r>
          </w:p>
        </w:tc>
      </w:tr>
      <w:tr>
        <w:trPr>
          <w:trHeight w:val="223"/>
        </w:trPr>
        <w:tc>
          <w:tcPr>
            <w:tcW w:w="6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898,469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617,886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1,741,858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1,178,422</w:t>
            </w:r>
          </w:p>
        </w:tc>
      </w:tr>
      <w:tr>
        <w:trPr>
          <w:trHeight w:val="223"/>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245,747</w:t>
            </w:r>
          </w:p>
        </w:tc>
      </w:tr>
      <w:tr>
        <w:trPr>
          <w:trHeight w:val="229"/>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w:t>
            </w: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143,755</w:t>
            </w:r>
          </w:p>
        </w:tc>
      </w:tr>
      <w:tr>
        <w:trPr>
          <w:trHeight w:val="223"/>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160,856</w:t>
            </w: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3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Interest expense, net of interest income of $563, $580, $1,056 and $1,060,</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(35,969)</w:t>
            </w:r>
          </w:p>
        </w:tc>
      </w:tr>
      <w:tr>
        <w:trPr>
          <w:trHeight w:val="223"/>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122,179</w:t>
            </w: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33,368</w:t>
            </w:r>
          </w:p>
        </w:tc>
      </w:tr>
      <w:tr>
        <w:trPr>
          <w:trHeight w:val="223"/>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67,075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193,471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88,811</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632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8"/>
        </w:trPr>
        <w:tc>
          <w:tcPr>
            <w:tcW w:w="6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32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54,318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54,529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54,362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54,625</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8"/>
        </w:trPr>
        <w:tc>
          <w:tcPr>
            <w:tcW w:w="6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30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5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r>
      <w:tr>
        <w:trPr>
          <w:trHeight w:val="23"/>
        </w:trPr>
        <w:tc>
          <w:tcPr>
            <w:tcW w:w="5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88,811</w:t>
            </w:r>
          </w:p>
        </w:tc>
      </w:tr>
      <w:tr>
        <w:trPr>
          <w:trHeight w:val="229"/>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(loss) on fair value of interest rate hedge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r>
      <w:tr>
        <w:trPr>
          <w:trHeight w:val="175"/>
        </w:trPr>
        <w:tc>
          <w:tcPr>
            <w:tcW w:w="59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interest rate hedge amounts realized in net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r>
      <w:tr>
        <w:trPr>
          <w:trHeight w:val="229"/>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Unfunded pension liability</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15,009</w:t>
            </w:r>
          </w:p>
        </w:tc>
      </w:tr>
      <w:tr>
        <w:trPr>
          <w:trHeight w:val="223"/>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22,588</w:t>
            </w:r>
          </w:p>
        </w:tc>
      </w:tr>
      <w:tr>
        <w:trPr>
          <w:trHeight w:val="248"/>
        </w:trPr>
        <w:tc>
          <w:tcPr>
            <w:tcW w:w="5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193,471</w:t>
            </w:r>
          </w:p>
        </w:tc>
        <w:tc>
          <w:tcPr>
            <w:tcW w:w="120" w:type="dxa"/>
            <w:vAlign w:val="bottom"/>
          </w:tcPr>
          <w:p>
            <w:pPr>
              <w:spacing w:after="0"/>
              <w:rPr>
                <w:sz w:val="18"/>
                <w:szCs w:val="18"/>
                <w:color w:val="auto"/>
              </w:rPr>
            </w:pPr>
          </w:p>
        </w:tc>
        <w:tc>
          <w:tcPr>
            <w:tcW w:w="5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88,811</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172,166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143,755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Accretion of environmental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5,826</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environmental liability estimates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6,785</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sale of business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Environmental expenditures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(6,594)</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 and unbilled accounts receivable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(263,584)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(51,285)</w:t>
            </w:r>
          </w:p>
        </w:tc>
        <w:tc>
          <w:tcPr>
            <w:tcW w:w="0" w:type="dxa"/>
            <w:vAlign w:val="bottom"/>
          </w:tcPr>
          <w:p>
            <w:pPr>
              <w:spacing w:after="0"/>
              <w:rPr>
                <w:sz w:val="1"/>
                <w:szCs w:val="1"/>
                <w:color w:val="auto"/>
              </w:rPr>
            </w:pPr>
          </w:p>
        </w:tc>
      </w:tr>
      <w:tr>
        <w:trPr>
          <w:trHeight w:val="213"/>
        </w:trPr>
        <w:tc>
          <w:tcPr>
            <w:tcW w:w="80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Inventories and supplies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(12,043)</w:t>
            </w:r>
          </w:p>
        </w:tc>
        <w:tc>
          <w:tcPr>
            <w:tcW w:w="0" w:type="dxa"/>
            <w:vAlign w:val="bottom"/>
          </w:tcPr>
          <w:p>
            <w:pPr>
              <w:spacing w:after="0"/>
              <w:rPr>
                <w:sz w:val="1"/>
                <w:szCs w:val="1"/>
                <w:color w:val="auto"/>
              </w:rPr>
            </w:pPr>
          </w:p>
        </w:tc>
      </w:tr>
      <w:tr>
        <w:trPr>
          <w:trHeight w:val="213"/>
        </w:trPr>
        <w:tc>
          <w:tcPr>
            <w:tcW w:w="80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45,748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49,880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and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30,552</w:t>
            </w: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131,970</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265,432</w:t>
            </w:r>
          </w:p>
        </w:tc>
        <w:tc>
          <w:tcPr>
            <w:tcW w:w="0" w:type="dxa"/>
            <w:vAlign w:val="bottom"/>
          </w:tcPr>
          <w:p>
            <w:pPr>
              <w:spacing w:after="0"/>
              <w:rPr>
                <w:sz w:val="1"/>
                <w:szCs w:val="1"/>
                <w:color w:val="auto"/>
              </w:rPr>
            </w:pPr>
          </w:p>
        </w:tc>
      </w:tr>
      <w:tr>
        <w:trPr>
          <w:trHeight w:val="19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(148,042)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(91,988)</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and disposal of fixed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(68,766)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(22,918)</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business, net of transaction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Additions to intangible assets including costs to obtain or renew permits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available-for-sale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70,526</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(23,182)</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(89,689)</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(187,482)</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(132,340)</w:t>
            </w:r>
          </w:p>
        </w:tc>
        <w:tc>
          <w:tcPr>
            <w:tcW w:w="0" w:type="dxa"/>
            <w:vAlign w:val="bottom"/>
          </w:tcPr>
          <w:p>
            <w:pPr>
              <w:spacing w:after="0"/>
              <w:rPr>
                <w:sz w:val="1"/>
                <w:szCs w:val="1"/>
                <w:color w:val="auto"/>
              </w:rPr>
            </w:pPr>
          </w:p>
        </w:tc>
      </w:tr>
      <w:tr>
        <w:trPr>
          <w:trHeight w:val="193"/>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uncashed checks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 payments related to withholdings on vested restricted stock</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(45,409)</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financing costs paid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(8,768)</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(51,431)</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(60,534)</w:t>
            </w: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Effect of exchange rate change on cash</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3,915</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(Decrease) increase in cash and cash equivalents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(107,944)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76,473</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452,575</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519,101</w:t>
            </w:r>
          </w:p>
        </w:tc>
        <w:tc>
          <w:tcPr>
            <w:tcW w:w="0" w:type="dxa"/>
            <w:vAlign w:val="bottom"/>
          </w:tcPr>
          <w:p>
            <w:pPr>
              <w:spacing w:after="0"/>
              <w:rPr>
                <w:sz w:val="1"/>
                <w:szCs w:val="1"/>
                <w:color w:val="auto"/>
              </w:rPr>
            </w:pPr>
          </w:p>
        </w:tc>
      </w:tr>
      <w:tr>
        <w:trPr>
          <w:trHeight w:val="237"/>
        </w:trPr>
        <w:tc>
          <w:tcPr>
            <w:tcW w:w="8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344,631</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595,574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payments for interest and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paid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48,104</w:t>
            </w:r>
          </w:p>
        </w:tc>
        <w:tc>
          <w:tcPr>
            <w:tcW w:w="120" w:type="dxa"/>
            <w:vAlign w:val="bottom"/>
          </w:tcPr>
          <w:p>
            <w:pPr>
              <w:spacing w:after="0"/>
              <w:rPr>
                <w:sz w:val="18"/>
                <w:szCs w:val="18"/>
                <w:color w:val="auto"/>
              </w:rPr>
            </w:pPr>
          </w:p>
        </w:tc>
        <w:tc>
          <w:tcPr>
            <w:tcW w:w="5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34,164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32,519</w:t>
            </w:r>
          </w:p>
        </w:tc>
        <w:tc>
          <w:tcPr>
            <w:tcW w:w="0" w:type="dxa"/>
            <w:vAlign w:val="bottom"/>
          </w:tcPr>
          <w:p>
            <w:pPr>
              <w:spacing w:after="0"/>
              <w:rPr>
                <w:sz w:val="1"/>
                <w:szCs w:val="1"/>
                <w:color w:val="auto"/>
              </w:rPr>
            </w:pPr>
          </w:p>
        </w:tc>
      </w:tr>
      <w:tr>
        <w:trPr>
          <w:trHeight w:val="213"/>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Property, plant and equipment accrued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8,807</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Remedial liability assumed in acquisition of property, plant and equipment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ROU assets obtained in exchange for operating lease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5,774</w:t>
            </w:r>
          </w:p>
        </w:tc>
        <w:tc>
          <w:tcPr>
            <w:tcW w:w="0" w:type="dxa"/>
            <w:vAlign w:val="bottom"/>
          </w:tcPr>
          <w:p>
            <w:pPr>
              <w:spacing w:after="0"/>
              <w:rPr>
                <w:sz w:val="1"/>
                <w:szCs w:val="1"/>
                <w:color w:val="auto"/>
              </w:rPr>
            </w:pPr>
          </w:p>
        </w:tc>
      </w:tr>
      <w:tr>
        <w:trPr>
          <w:trHeight w:val="210"/>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ROU assets obtained in exchange for finance lease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18,704</w:t>
            </w:r>
          </w:p>
        </w:tc>
        <w:tc>
          <w:tcPr>
            <w:tcW w:w="0" w:type="dxa"/>
            <w:vAlign w:val="bottom"/>
          </w:tcPr>
          <w:p>
            <w:pPr>
              <w:spacing w:after="0"/>
              <w:rPr>
                <w:sz w:val="1"/>
                <w:szCs w:val="1"/>
                <w:color w:val="auto"/>
              </w:rPr>
            </w:pPr>
          </w:p>
        </w:tc>
      </w:tr>
    </w:tbl>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020" w:type="dxa"/>
            <w:vAlign w:val="bottom"/>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vMerge w:val="restart"/>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$0.01</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35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80" w:type="dxa"/>
            <w:vAlign w:val="bottom"/>
          </w:tcPr>
          <w:p>
            <w:pPr>
              <w:jc w:val="center"/>
              <w:ind w:left="281"/>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54,419</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1,172,978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1,513,887</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45,314</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33,849</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54,414</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1,218,292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1,593,237</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148,157</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1,716,950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3580" w:type="dxa"/>
            <w:vAlign w:val="bottom"/>
          </w:tcPr>
          <w:p>
            <w:pPr>
              <w:spacing w:after="0"/>
              <w:rPr>
                <w:sz w:val="24"/>
                <w:szCs w:val="24"/>
                <w:color w:val="auto"/>
              </w:rPr>
            </w:pPr>
          </w:p>
        </w:tc>
        <w:tc>
          <w:tcPr>
            <w:tcW w:w="2020" w:type="dxa"/>
            <w:vAlign w:val="bottom"/>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line="20" w:lineRule="exact"/>
              <w:rPr>
                <w:sz w:val="1"/>
                <w:szCs w:val="1"/>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vMerge w:val="restart"/>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$0.01</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9"/>
        </w:trPr>
        <w:tc>
          <w:tcPr>
            <w:tcW w:w="35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2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780" w:type="dxa"/>
            <w:vAlign w:val="bottom"/>
          </w:tcPr>
          <w:p>
            <w:pPr>
              <w:jc w:val="center"/>
              <w:ind w:left="281"/>
              <w:spacing w:after="0" w:line="146" w:lineRule="exact"/>
              <w:rPr>
                <w:sz w:val="20"/>
                <w:szCs w:val="20"/>
                <w:color w:val="auto"/>
              </w:rPr>
            </w:pPr>
            <w:r>
              <w:rPr>
                <w:rFonts w:ascii="Times New Roman" w:cs="Times New Roman" w:eastAsia="Times New Roman" w:hAnsi="Times New Roman"/>
                <w:sz w:val="14"/>
                <w:szCs w:val="14"/>
                <w:b w:val="1"/>
                <w:bCs w:val="1"/>
                <w:color w:val="auto"/>
              </w:rPr>
              <w:t>Par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73"/>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58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54,773</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1,341,551</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0" w:type="dxa"/>
            <w:vAlign w:val="bottom"/>
          </w:tcPr>
          <w:p>
            <w:pPr>
              <w:spacing w:after="0"/>
              <w:rPr>
                <w:sz w:val="1"/>
                <w:szCs w:val="1"/>
                <w:color w:val="auto"/>
              </w:rPr>
            </w:pPr>
          </w:p>
        </w:tc>
      </w:tr>
      <w:tr>
        <w:trPr>
          <w:trHeight w:val="184"/>
        </w:trPr>
        <w:tc>
          <w:tcPr>
            <w:tcW w:w="358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(26,546)</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54,551</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991,467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1,348,450</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67,075</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r>
        <w:trPr>
          <w:trHeight w:val="184"/>
        </w:trPr>
        <w:tc>
          <w:tcPr>
            <w:tcW w:w="358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1,409,587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consolidated interim financial statements are unaudited and include the accounts of Clean Harbors, Inc. and its subsidiaries (collectively, “Clean Harbors” or the “Company”) and have been prepared pursuant to the rules and regulations of the Securities and Exchange Commission (the “SEC”) and, in the opinion of management, include all adjustments which are of a normal recurring nature and are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conjunction with the financial statements included in the Company’s Annual Report on Form 10-K for the year ended December 31, 2021.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4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"Significant Accounting Policies," in the Company's Annual Report on Form 10-K for the year ended December 31, 2021. There have been no material changes in these policies or their application during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Company’s third-party revenues are disaggregated by geographic location and source of revenue as management believes these categories depict how revenue and cash flows are affected by economic factors. The Company's significant sources of revenue include:</w:t>
      </w:r>
    </w:p>
    <w:p>
      <w:pPr>
        <w:spacing w:after="0" w:line="92"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Technical Services</w:t>
      </w:r>
      <w:r>
        <w:rPr>
          <w:rFonts w:ascii="Times New Roman" w:cs="Times New Roman" w:eastAsia="Times New Roman" w:hAnsi="Times New Roman"/>
          <w:sz w:val="18"/>
          <w:szCs w:val="18"/>
          <w:color w:val="auto"/>
        </w:rPr>
        <w:t>—Technical Services contribute to the revenues of the Environmental Services operating segment. Revenues for these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generated from fees charged for waste material management and disposal services including onsite environmental management services, large remediation projects, collection and transportation, packaging, recycling, treatment and disposal of waste.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and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as a basis for measuring the satisfaction of the performance obligation. Revenues for treatment and disposal of waste are recognized upon completion of treatment, final disposition in a landfill or incineration, or when the waste is shipped to a third-party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ranges depending on the location of the customer, but generally is measured in days.</w:t>
      </w:r>
    </w:p>
    <w:p>
      <w:pPr>
        <w:spacing w:after="0" w:line="11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Field and Emergency Response Services</w:t>
      </w:r>
      <w:r>
        <w:rPr>
          <w:rFonts w:ascii="Times New Roman" w:cs="Times New Roman" w:eastAsia="Times New Roman" w:hAnsi="Times New Roman"/>
          <w:sz w:val="18"/>
          <w:szCs w:val="18"/>
          <w:color w:val="auto"/>
        </w:rPr>
        <w:t>—Field and Emergency Response Services contribute to the revenues of the Environmental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segment. Field Services revenues are generated from cleanup services at customer sites, including those managed by municipalities and utility providers, or other locations on a scheduled or emergency response basis. Services include confined space entry for tank cleaning, site decontamination, remediation, railcar cleaning, manhole/vault clean outs, product recovery and transfer and vacuum services. Additional services include filtration and water treatment services. Response services for environmental emergencies of any scale range from man-made disasters such as oil spills to natural disasters such as hurricanes. Emergency response services also include spill cleanup on land and water, contagion disinfection, decontamination and disposal services most recently in response to the COVID-19 pandemic.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Company uses the input method to recognize revenue over time, based on time and materials incurred. The duration of such services can be over a number of hours, several days or even months for larger scale projects.</w:t>
      </w:r>
    </w:p>
    <w:p>
      <w:pPr>
        <w:spacing w:after="0" w:line="9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Industrial Services and Other</w:t>
      </w:r>
      <w:r>
        <w:rPr>
          <w:rFonts w:ascii="Times New Roman" w:cs="Times New Roman" w:eastAsia="Times New Roman" w:hAnsi="Times New Roman"/>
          <w:sz w:val="18"/>
          <w:szCs w:val="18"/>
          <w:color w:val="auto"/>
        </w:rPr>
        <w:t>—Industrial Services contribute to the revenues of the Environmental Services operating segment. These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primarily generated from industrial and specialty services provided to refineries, mines, upgraders, chemical plants, pulp and paper mills, manufacturing facilities, power generation facilities and other industrial customers throughout North America. Services include in-plant cleaning and maintenance services, plant outage and turnaround services, specialty cleaning services including chemical cleaning, pigging and high and ultra-high pressure water cleaning, leak detection and repair,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1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Safety-Kleen Environmental Services</w:t>
      </w:r>
      <w:r>
        <w:rPr>
          <w:rFonts w:ascii="Times New Roman" w:cs="Times New Roman" w:eastAsia="Times New Roman" w:hAnsi="Times New Roman"/>
          <w:sz w:val="18"/>
          <w:szCs w:val="18"/>
          <w:color w:val="auto"/>
        </w:rPr>
        <w:t>—Safety-Kleen Environmental Services revenues contribute both to the Environmental Services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and the Safety-Kleen Sustainability Solutions operating segment depending upon the nature of such revenues and operating responsibilities relative to executing the revenue contracts. Revenues from providing containerized waste handling and disposal services, parts washer services and vacuum services, referred to collectively as the Safety-Kleen branches'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bulk automotive fluids contribute to the Safety-Kleen Sustainability Solutions operating segment.</w:t>
      </w:r>
    </w:p>
    <w:p>
      <w:pPr>
        <w:spacing w:after="0" w:line="11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Generally, the revenue from services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our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w:t>
      </w:r>
    </w:p>
    <w:p>
      <w:pPr>
        <w:spacing w:after="0" w:line="1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Safety-Kleen Oil</w:t>
      </w:r>
      <w:r>
        <w:rPr>
          <w:rFonts w:ascii="Times New Roman" w:cs="Times New Roman" w:eastAsia="Times New Roman" w:hAnsi="Times New Roman"/>
          <w:sz w:val="18"/>
          <w:szCs w:val="18"/>
          <w:color w:val="auto"/>
        </w:rPr>
        <w:t>—Safety-Kleen Oil related sales contribute to the revenues of the Safety-Kleen Sustainability Solutions segment. These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generated from sales of high-quality base and blended lubricating oils to third-party distributors, government agencies, fleets, railroads and industrial customers. The business also sells recycled fuel oil to asphalt plants, industrial plants and pulp and paper companies. The used oil is also processed into vacuum gas oil which can be further re-refined into lubricant base oils or sold directly into the marine diesel oil fuel market. Revenue for oil products is recognized at a point in time, upon the transfer of control. Control transfers when the products are delivered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Company's third-party revenue disaggregated by source of revenue and geography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2022</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20" w:type="dxa"/>
            <w:vAlign w:val="bottom"/>
          </w:tcPr>
          <w:p>
            <w:pPr>
              <w:spacing w:after="0"/>
              <w:rPr>
                <w:sz w:val="13"/>
                <w:szCs w:val="13"/>
                <w:color w:val="auto"/>
              </w:rPr>
            </w:pPr>
          </w:p>
        </w:tc>
        <w:tc>
          <w:tcPr>
            <w:tcW w:w="15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260" w:type="dxa"/>
            <w:vAlign w:val="bottom"/>
          </w:tcPr>
          <w:p>
            <w:pPr>
              <w:spacing w:after="0"/>
              <w:rPr>
                <w:sz w:val="14"/>
                <w:szCs w:val="14"/>
                <w:color w:val="auto"/>
              </w:rPr>
            </w:pP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2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945,579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236,879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1,182,537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1,084,506</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271,727</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1,356,312</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Field and Emergency Response Services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144,860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Industrial Services and Other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241,138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1,084,506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271,727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1,356,312</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ind w:left="920" w:hanging="26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$34.2 million of third-party revenues from the operations of the HydroChemPSC business</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$173.7 million of third-party revenues from the operations of the HydroChemPSC business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3"/>
                <w:szCs w:val="13"/>
                <w:color w:val="auto"/>
              </w:rPr>
            </w:pPr>
          </w:p>
        </w:tc>
        <w:tc>
          <w:tcPr>
            <w:tcW w:w="15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Safety-Kleen</w:t>
            </w: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280" w:type="dxa"/>
            <w:vAlign w:val="bottom"/>
          </w:tcPr>
          <w:p>
            <w:pPr>
              <w:spacing w:after="0"/>
              <w:rPr>
                <w:sz w:val="14"/>
                <w:szCs w:val="14"/>
                <w:color w:val="auto"/>
              </w:rPr>
            </w:pPr>
          </w:p>
        </w:tc>
        <w:tc>
          <w:tcPr>
            <w:tcW w:w="1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8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180,216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723,147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203,232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926,458</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723,147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203,232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926,458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2022</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60" w:type="dxa"/>
            <w:vAlign w:val="bottom"/>
          </w:tcPr>
          <w:p>
            <w:pPr>
              <w:spacing w:after="0"/>
              <w:rPr>
                <w:sz w:val="13"/>
                <w:szCs w:val="13"/>
                <w:color w:val="auto"/>
              </w:rPr>
            </w:pPr>
          </w:p>
        </w:tc>
        <w:tc>
          <w:tcPr>
            <w:tcW w:w="15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260" w:type="dxa"/>
            <w:vAlign w:val="bottom"/>
          </w:tcPr>
          <w:p>
            <w:pPr>
              <w:spacing w:after="0"/>
              <w:rPr>
                <w:sz w:val="14"/>
                <w:szCs w:val="14"/>
                <w:color w:val="auto"/>
              </w:rPr>
            </w:pP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6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1,780,257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439,409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2,219,817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305,604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2,025,304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499,966</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2,525,421</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Field and Emergency Response Services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Industrial Services and Other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2,025,304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499,966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2,525,421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$62.2 million of third-party revenues from the operations of the HydroChemPSC business</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$329.8 million of third-party revenues from the operations of the HydroChemPSC business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Safety-Kleen</w:t>
            </w: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280" w:type="dxa"/>
            <w:vAlign w:val="bottom"/>
          </w:tcPr>
          <w:p>
            <w:pPr>
              <w:spacing w:after="0"/>
              <w:rPr>
                <w:sz w:val="14"/>
                <w:szCs w:val="14"/>
                <w:color w:val="auto"/>
              </w:rPr>
            </w:pPr>
          </w:p>
        </w:tc>
        <w:tc>
          <w:tcPr>
            <w:tcW w:w="1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8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1,511,457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223,149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1,376,025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1,734,606</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394,220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1,376,025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358,423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1,734,606</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792,734</w:t>
            </w: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 (unbilled receivables)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94,963</w:t>
            </w: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(deferred revenue)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83,749</w:t>
            </w:r>
          </w:p>
        </w:tc>
      </w:tr>
    </w:tbl>
    <w:p>
      <w:pPr>
        <w:spacing w:after="0" w:line="21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Contract assets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were generally fully recognized in the subsequent three-month period.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w:t>
      </w:r>
    </w:p>
    <w:p>
      <w:pPr>
        <w:spacing w:after="0" w:line="14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On June 17, 2022, the Company acquired a privately-owned company for an all-cash purchase price of approximately $73.8 million, net of cash acquired and subject to working capital adjustments. The operations of the newly acquired company expand the Safety-Kleen Sustainability Solutions segment's waste oil collection capabilities and re-refining business throughout the southeast region of the United States, including the addition of a re-refinery in Georgia.</w:t>
      </w:r>
    </w:p>
    <w:p>
      <w:pPr>
        <w:spacing w:after="0" w:line="11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preliminary allocation of the purchase price is provisional and was based on estimates of the fair value of assets acquired and liabilities assumed as of June 17, 2022. The Company continues to obtain information to complete the valuation of these balances and the associated income tax accounting. Measurement period adjustments will reflect new information obtained about facts and circumstances that existed as of the acquisition date. The following table summarizes the preliminary determination and recognition of assets acquired and liabilities assumed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At June 17, 2022</w:t>
            </w:r>
          </w:p>
        </w:tc>
      </w:tr>
      <w:tr>
        <w:trPr>
          <w:trHeight w:val="37"/>
        </w:trPr>
        <w:tc>
          <w:tcPr>
            <w:tcW w:w="95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57"/>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r>
      <w:tr>
        <w:trPr>
          <w:trHeight w:val="257"/>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57"/>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23,270</w:t>
            </w:r>
          </w:p>
        </w:tc>
      </w:tr>
      <w:tr>
        <w:trPr>
          <w:trHeight w:val="257"/>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16,750</w:t>
            </w:r>
          </w:p>
        </w:tc>
      </w:tr>
      <w:tr>
        <w:trPr>
          <w:trHeight w:val="256"/>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57"/>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7"/>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57"/>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56"/>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44,391</w:t>
            </w:r>
          </w:p>
        </w:tc>
      </w:tr>
      <w:tr>
        <w:trPr>
          <w:trHeight w:val="234"/>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29,375</w:t>
            </w:r>
          </w:p>
        </w:tc>
      </w:tr>
      <w:tr>
        <w:trPr>
          <w:trHeight w:val="22"/>
        </w:trPr>
        <w:tc>
          <w:tcPr>
            <w:tcW w:w="9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75"/>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73,766</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20" w:firstLine="648"/>
        <w:spacing w:after="0" w:line="272" w:lineRule="auto"/>
        <w:rPr>
          <w:sz w:val="20"/>
          <w:szCs w:val="20"/>
          <w:color w:val="auto"/>
        </w:rPr>
      </w:pPr>
      <w:r>
        <w:rPr>
          <w:rFonts w:ascii="Times New Roman" w:cs="Times New Roman" w:eastAsia="Times New Roman" w:hAnsi="Times New Roman"/>
          <w:sz w:val="17"/>
          <w:szCs w:val="17"/>
          <w:color w:val="auto"/>
        </w:rPr>
        <w:t>Intangible assets acquired include supplier relationships, permits, customer relationships and trademarks/tradenames and are anticipated to have estimated useful lives of between five and 20 years with a weighted average useful life of approximately 17 years. The excess of the total purchase price, which includes the aggregate cash consideration paid in excess of the fair value of the tangible and intangible assets acquired, was recorded as goodwill.</w:t>
      </w:r>
    </w:p>
    <w:p>
      <w:pPr>
        <w:spacing w:after="0" w:line="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goodwill recognized is attributable to the expected operating synergies, assembled workforce and growth potential that the Company expects to realize from the acquisition. Goodwill generated from the acquisition is deductible for tax purposes.</w:t>
      </w:r>
    </w:p>
    <w:p>
      <w:pPr>
        <w:spacing w:after="0" w:line="11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operations included in the Company's financial statements for the period ended June 30, 2022 and pro forma revenue and earnings amounts on a combined basis as if this acquisition had been completed on January 1, 2021 are immaterial to the consolidated financial statements of the Company.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Acquisitions</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October 8, 2021, the Company completed the acquisition of LJ Energy Services Intermediate Holding Corp. and its subsidiaries (collectively, “HydroChemPSC”), a privately-owned company, for an all-cash purchase price of approximately $1.23 billion. HydroChemPSC is a leading U.S. provider of industrial cleaning, specialty maintenance and utilities services. These operations enhance and have been integrated into the Company's Environmental Services segment. In the first quarter of 2022, the Company received $5.0 million after finalizing the acquisition date working capital balances, which decreased the overall purchase price.</w:t>
      </w:r>
    </w:p>
    <w:p>
      <w:pPr>
        <w:spacing w:after="0" w:line="11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allocation of the purchase price was based on estimates of the fair value of assets acquired and liabilities assumed as of October 8, 2021. The Company continues to obtain information to complete the valuation of these balances and the associated income tax accounting. Measurement period adjustments reflect new information obtained about facts and circumstances that existed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the acquisition date, including the adjustment for the monies received for the working capital finalization noted above. The components and allocation of the purchase price consist of the following amounts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At Acquisition Date As</w:t>
            </w: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At Acquisition Date</w:t>
            </w:r>
          </w:p>
        </w:tc>
      </w:tr>
      <w:tr>
        <w:trPr>
          <w:trHeight w:val="162"/>
        </w:trPr>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Reported December 31,</w:t>
            </w:r>
          </w:p>
        </w:tc>
        <w:tc>
          <w:tcPr>
            <w:tcW w:w="16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80" w:type="dxa"/>
            <w:vAlign w:val="bottom"/>
          </w:tcPr>
          <w:p>
            <w:pPr>
              <w:spacing w:after="0"/>
              <w:rPr>
                <w:sz w:val="14"/>
                <w:szCs w:val="14"/>
                <w:color w:val="auto"/>
              </w:rPr>
            </w:pPr>
          </w:p>
        </w:tc>
        <w:tc>
          <w:tcPr>
            <w:tcW w:w="15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As Reported</w:t>
            </w:r>
          </w:p>
        </w:tc>
      </w:tr>
      <w:tr>
        <w:trPr>
          <w:trHeight w:val="204"/>
        </w:trPr>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7"/>
                <w:szCs w:val="17"/>
                <w:color w:val="auto"/>
              </w:rPr>
            </w:pPr>
          </w:p>
        </w:tc>
        <w:tc>
          <w:tcPr>
            <w:tcW w:w="15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37"/>
        </w:trPr>
        <w:tc>
          <w:tcPr>
            <w:tcW w:w="59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131,529</w:t>
            </w:r>
          </w:p>
        </w:tc>
      </w:tr>
      <w:tr>
        <w:trPr>
          <w:trHeight w:val="25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16,379</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313,540</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289,000</w:t>
            </w:r>
          </w:p>
        </w:tc>
      </w:tr>
      <w:tr>
        <w:trPr>
          <w:trHeight w:val="25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34,415</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(116,587)</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(26,344)</w:t>
            </w:r>
          </w:p>
        </w:tc>
      </w:tr>
      <w:tr>
        <w:trPr>
          <w:trHeight w:val="25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(83,472)</w:t>
            </w:r>
          </w:p>
        </w:tc>
      </w:tr>
      <w:tr>
        <w:trPr>
          <w:trHeight w:val="257"/>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w:t>
            </w:r>
          </w:p>
        </w:tc>
      </w:tr>
      <w:tr>
        <w:trPr>
          <w:trHeight w:val="23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548,403</w:t>
            </w:r>
          </w:p>
        </w:tc>
      </w:tr>
      <w:tr>
        <w:trPr>
          <w:trHeight w:val="257"/>
        </w:trPr>
        <w:tc>
          <w:tcPr>
            <w:tcW w:w="5920" w:type="dxa"/>
            <w:vAlign w:val="bottom"/>
            <w:tcBorders>
              <w:bottom w:val="single" w:sz="8" w:color="CCEEFF"/>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3"/>
                <w:szCs w:val="23"/>
                <w:color w:val="auto"/>
                <w:vertAlign w:val="superscript"/>
              </w:rPr>
              <w:t>(i)</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683,463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677,010</w:t>
            </w:r>
          </w:p>
        </w:tc>
      </w:tr>
      <w:tr>
        <w:trPr>
          <w:trHeight w:val="275"/>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1,225,413</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ind w:right="60" w:firstLine="656"/>
        <w:spacing w:after="0" w:line="255" w:lineRule="auto"/>
        <w:tabs>
          <w:tab w:leader="none" w:pos="8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represents the excess of the fair value of the net assets acquired over the purchase price. Goodwill of $677.0 million was assigned to the Environmental Sales &amp; Service reporting unit and is attributable to the future economic benefits arising from the acquired operations, synergies and the acquired workforce of HydroChemPSC. None of the goodwill related to this acquisition will be deductible for tax purposes.</w:t>
      </w:r>
    </w:p>
    <w:p>
      <w:pPr>
        <w:spacing w:after="0" w:line="11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HydroChemPSC's results of operations have been included in the Company's financial statements for the period subsequent to the completion of the acquisition on October 8, 2021. The following unaudited supplemental pro-forma data presents consolidated information as if the acquisition had occurred on January 1, 2021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40" w:type="dxa"/>
            <w:vAlign w:val="bottom"/>
          </w:tcPr>
          <w:p>
            <w:pPr>
              <w:spacing w:after="0"/>
              <w:rPr>
                <w:sz w:val="16"/>
                <w:szCs w:val="16"/>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37"/>
        </w:trPr>
        <w:tc>
          <w:tcPr>
            <w:tcW w:w="80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combined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2,107,309</w:t>
            </w: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combined net income</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102,078</w:t>
            </w:r>
          </w:p>
        </w:tc>
      </w:tr>
    </w:tbl>
    <w:p>
      <w:pPr>
        <w:spacing w:after="0" w:line="23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pro forma results do not include any costs incurred directly attributable to the acquisition of HydroChemPSC. The pro forma results do reflect impacts resulting from the issuance of $1.0 billion senior secured term loans issued in connection with the acquisition assuming interest rates in effect at the time of the acquisition.</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pro forma financial information is not necessarily indicative of the Company's consolidated operating results that would have been reported had the transactions been completed as described herein, nor is such information necessarily indicative of the Company's consolidated results for any future period. Interest expense used in calculating the pro forma net income did not contemplate the interest rate swaps that the Company put in place in early 2022.</w:t>
      </w:r>
    </w:p>
    <w:p>
      <w:pPr>
        <w:spacing w:after="0" w:line="11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March 27, 2021, the Company also acquired a privately-owned business for $22.8 million cash consideration. The acquired company increases the Safety-Kleen Sustainability Solutions segment's network within the south central United States. In connection with this acquisition, a final goodwill amount of $16.3 million was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DISPOSITION OF BUSINESS</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June 30, 2022, the Company completed the sale of a line of business as part of its continuous focus on divesting certain non-core operations. The divested line of business was previously included within the Sales &amp; Services reporting unit of the Environmental Services segment. The Company determined that the disposition did not constitute a strategic shift and that the impact on the Company's overall operations and financial results will not be material. Accordingly, the operations associated with the disposal are not reported in discontinued operations. The line of business was sold for $19.5 million and is subject to customary post-closing conditions. The gain on sale of $8.9 million, after accounting for the assets sold, liabilities transferred upon sale and transaction costs, is included in gain on sale of business in the Company’s consolidated statement of operations for the three and six months ended June 30,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 AND SUPPLIES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and supplies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oil related products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101,965</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126,602</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Solvent and solutions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14,026</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 and supplies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250,692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Supplies inventories consist primarily of critical spare parts to support the Company's incinerator and re-refinery operations and other general supplies used in our normal day-to-day operations. Other inventories consist primarily of parts washer components, cleaning fluids, absorbents and automotive fluids, such as windshield washer fluid and antifreeze.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Pr>
          <w:p>
            <w:pPr>
              <w:spacing w:after="0"/>
              <w:rPr>
                <w:sz w:val="18"/>
                <w:szCs w:val="18"/>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165,010</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costs (non-landfill)</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19,105</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assets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205,873</w:t>
            </w:r>
          </w:p>
        </w:tc>
      </w:tr>
      <w:tr>
        <w:trPr>
          <w:trHeight w:val="229"/>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Buildings and improvements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551,795</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 equipment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127,680</w:t>
            </w:r>
          </w:p>
        </w:tc>
      </w:tr>
      <w:tr>
        <w:trPr>
          <w:trHeight w:val="230"/>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Vehicles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912,836</w:t>
            </w:r>
          </w:p>
        </w:tc>
      </w:tr>
      <w:tr>
        <w:trPr>
          <w:trHeight w:val="230"/>
        </w:trPr>
        <w:tc>
          <w:tcPr>
            <w:tcW w:w="7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Equipment </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2,136,376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2,092,395</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60,447</w:t>
            </w:r>
          </w:p>
        </w:tc>
      </w:tr>
      <w:tr>
        <w:trPr>
          <w:trHeight w:val="223"/>
        </w:trPr>
        <w:tc>
          <w:tcPr>
            <w:tcW w:w="7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4,296,543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4,141,585</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2,383,398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2,278,410</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1,913,145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1,863,175</w:t>
            </w: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right-of-use ("ROU") assets classified as finance leases of $8.0 million and $8.9 million respectively.</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$85.3 million and $77.7 million, respectively.</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$9.3 million in both periods.</w:t>
      </w:r>
    </w:p>
    <w:p>
      <w:pPr>
        <w:spacing w:after="0" w:line="12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inclusive of landfill and finance lease amortization, was $75.6 million and $147.7 million for the three and six months ended June 30, 2022, respectively. Depreciation expense, inclusive of landfill and finance lease amortization, was $63.8 million and $128.4 million for the three and six months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goodwill by segment for the six months ended June 30, 2022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Safety-Kleen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260" w:type="dxa"/>
            <w:vAlign w:val="bottom"/>
          </w:tcPr>
          <w:p>
            <w:pPr>
              <w:spacing w:after="0"/>
              <w:rPr>
                <w:sz w:val="14"/>
                <w:szCs w:val="14"/>
                <w:color w:val="auto"/>
              </w:rPr>
            </w:pPr>
          </w:p>
        </w:tc>
        <w:tc>
          <w:tcPr>
            <w:tcW w:w="98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214"/>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141,508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1,227,042</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from current period acquisition</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29,375</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from disposition of business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1,074,010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170,645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1,244,655</w:t>
            </w: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decrease from disposition of business relates to the divestiture discussed in Note 5, "Disposition of Business." The Company assesses goodwill on an annual basis as of December 31 or at an interim date when events or changes in the business environment (“triggering events”) would more likely than not reduce the fair value of a reporting unit below its carrying value. During the period ended June 30, 2022, no such triggering events were identified.</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2022 and December 31, 2021, the Company's intangible assets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3"/>
                <w:szCs w:val="13"/>
                <w:color w:val="auto"/>
              </w:rPr>
            </w:pPr>
          </w:p>
        </w:tc>
        <w:tc>
          <w:tcPr>
            <w:tcW w:w="12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3"/>
                <w:szCs w:val="13"/>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Net</w:t>
            </w:r>
          </w:p>
        </w:tc>
        <w:tc>
          <w:tcPr>
            <w:tcW w:w="220" w:type="dxa"/>
            <w:vAlign w:val="bottom"/>
          </w:tcPr>
          <w:p>
            <w:pPr>
              <w:spacing w:after="0"/>
              <w:rPr>
                <w:sz w:val="13"/>
                <w:szCs w:val="13"/>
                <w:color w:val="auto"/>
              </w:rPr>
            </w:pPr>
          </w:p>
        </w:tc>
        <w:tc>
          <w:tcPr>
            <w:tcW w:w="74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3"/>
                <w:szCs w:val="13"/>
                <w:color w:val="auto"/>
              </w:rPr>
            </w:pPr>
          </w:p>
        </w:tc>
        <w:tc>
          <w:tcPr>
            <w:tcW w:w="76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189,675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187,519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85,111</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361,698</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95,688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74,912</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amortizable permits and other intangible assets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521,721</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123,191</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permits and other intangible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997,588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360,334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637,254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981,455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336,543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644,912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of permits, customer and supplier relationships and other intangible assets was $12.3 million and $24.5 million in the three and six months ended June 30, 2022, respectively. Amortization expense of permits, customer and supplier relationships and other intangible assets was $7.8 million and $15.4 million in the three and six months ended June 30, 2021, respectively.</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amortization of the net carrying amount of finite-lived intangible assets at June 30, 2022 was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Amortization</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20" w:type="dxa"/>
            <w:vAlign w:val="bottom"/>
            <w:tcBorders>
              <w:top w:val="single" w:sz="8" w:color="auto"/>
              <w:bottom w:val="single" w:sz="8" w:color="CCEEFF"/>
            </w:tcBorders>
          </w:tcPr>
          <w:p>
            <w:pPr>
              <w:spacing w:after="0" w:line="20" w:lineRule="exact"/>
              <w:rPr>
                <w:sz w:val="1"/>
                <w:szCs w:val="1"/>
                <w:color w:val="auto"/>
              </w:rPr>
            </w:pPr>
          </w:p>
        </w:tc>
        <w:tc>
          <w:tcPr>
            <w:tcW w:w="76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(six months)</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24,966</w:t>
            </w:r>
          </w:p>
        </w:tc>
      </w:tr>
      <w:tr>
        <w:trPr>
          <w:trHeight w:val="22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45,728</w:t>
            </w: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40,256</w:t>
            </w: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39,051</w:t>
            </w: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37,167</w:t>
            </w:r>
          </w:p>
        </w:tc>
      </w:tr>
      <w:tr>
        <w:trPr>
          <w:trHeight w:val="229"/>
        </w:trPr>
        <w:tc>
          <w:tcPr>
            <w:tcW w:w="20" w:type="dxa"/>
            <w:vAlign w:val="bottom"/>
            <w:tcBorders>
              <w:bottom w:val="single" w:sz="8" w:color="CCEEFF"/>
            </w:tcBorders>
          </w:tcPr>
          <w:p>
            <w:pPr>
              <w:spacing w:after="0"/>
              <w:rPr>
                <w:sz w:val="19"/>
                <w:szCs w:val="19"/>
                <w:color w:val="auto"/>
              </w:rPr>
            </w:pPr>
          </w:p>
        </w:tc>
        <w:tc>
          <w:tcPr>
            <w:tcW w:w="9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327,053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Pr>
          <w:p>
            <w:pPr>
              <w:spacing w:after="0"/>
              <w:rPr>
                <w:sz w:val="18"/>
                <w:szCs w:val="18"/>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insurance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102,853</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19,785</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133,604</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real estate, sales and other taxes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17,383</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90,996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87,835</w:t>
            </w: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391,414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decrease in the interest rate swap liability balance from December 31, 2021 is due to changes in future interest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expectations. As of June 30, 2022, the interest rate swap derivatives are in an asset position and therefore are included within Other Assets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 For additional information relating to the interest rate swaps, see Note 12, "Financing Arrangements."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CLOSURE AND POST-CLOSURE LIABILITIES</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changes to closure and post-closure liabilities (also referred to as “asset retirement obligations”) from January 1, 2022 through June 30, 2022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Landfill</w:t>
            </w: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Non-Landfill</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Retirement</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Retirement</w:t>
            </w:r>
          </w:p>
        </w:tc>
        <w:tc>
          <w:tcPr>
            <w:tcW w:w="340" w:type="dxa"/>
            <w:vAlign w:val="bottom"/>
          </w:tcPr>
          <w:p>
            <w:pPr>
              <w:spacing w:after="0"/>
              <w:rPr>
                <w:sz w:val="14"/>
                <w:szCs w:val="14"/>
                <w:color w:val="auto"/>
              </w:rPr>
            </w:pPr>
          </w:p>
        </w:tc>
        <w:tc>
          <w:tcPr>
            <w:tcW w:w="1140" w:type="dxa"/>
            <w:vAlign w:val="bottom"/>
            <w:vMerge w:val="restart"/>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99,103</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asset retirement obligations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balance sheet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102,997</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2022, there were no significant charges or benefits resulting from changes in estimates for closure and post-closure liabilities.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asset retirement obligations incurred during the first six months of 2022 were discounted at the credit-adjusted risk-free rate of 5.37%.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REMEDIAL LIABILITIES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remedial liabilities from January 1, 2022 through June 30, 2022 were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Liabilities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(Including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Superfund) for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for</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for</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Non-Landfill</w:t>
            </w:r>
          </w:p>
        </w:tc>
        <w:tc>
          <w:tcPr>
            <w:tcW w:w="240" w:type="dxa"/>
            <w:vAlign w:val="bottom"/>
          </w:tcPr>
          <w:p>
            <w:pPr>
              <w:spacing w:after="0"/>
              <w:rPr>
                <w:sz w:val="14"/>
                <w:szCs w:val="14"/>
                <w:color w:val="auto"/>
              </w:rPr>
            </w:pPr>
          </w:p>
        </w:tc>
        <w:tc>
          <w:tcPr>
            <w:tcW w:w="90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Landfill Sites</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Inactive Sites</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111,873</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assumed in acquisition of real estate</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 from a prior period acquisition</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123,656</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In the six months ended June 30, 2022, there were no significant benefits or charges resulting from changes in estimates for remedial liabilities. The $13.1 million liability assumed in acquisition relates to real estate that the Company acquired in the first quarter of 2022. In purchasing the property, the Company assumed a known associated remedial liability, which was contemplated in the purchase price.</w:t>
      </w:r>
    </w:p>
    <w:p>
      <w:pPr>
        <w:spacing w:after="0" w:line="199" w:lineRule="exact"/>
        <w:rPr>
          <w:sz w:val="20"/>
          <w:szCs w:val="20"/>
          <w:color w:val="auto"/>
        </w:rPr>
      </w:pPr>
    </w:p>
    <w:p>
      <w:pPr>
        <w:ind w:right="8260" w:firstLine="8"/>
        <w:spacing w:after="0" w:line="417" w:lineRule="auto"/>
        <w:tabs>
          <w:tab w:leader="none" w:pos="34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 Long-term Debt</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a summary of the Company’s long-term debt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Portion of Long-Term Debt:</w:t>
            </w:r>
          </w:p>
        </w:tc>
        <w:tc>
          <w:tcPr>
            <w:tcW w:w="24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Pr>
          <w:p>
            <w:pPr>
              <w:spacing w:after="0"/>
              <w:rPr>
                <w:sz w:val="18"/>
                <w:szCs w:val="18"/>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senior term loans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Long-Term Debt:</w:t>
            </w:r>
          </w:p>
        </w:tc>
        <w:tc>
          <w:tcPr>
            <w:tcW w:w="64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Secured senior term loans due June 30, 2024 ("2024 Term Loans")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708,323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712,091</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senior term loans due October 8, 2028 ("2028 Term Loans")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990,000</w:t>
            </w:r>
          </w:p>
        </w:tc>
      </w:tr>
      <w:tr>
        <w:trPr>
          <w:trHeight w:val="230"/>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Unsecured senior notes, at 4.875%, due July 15, 2027 ("2027 Notes")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 at 5.125%, due July 15, 2029 ("2029 Notes")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3"/>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Long-term debt, at par</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2,538,323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2,547,091</w:t>
            </w: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costs and discount, net</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(30,067)</w:t>
            </w:r>
          </w:p>
        </w:tc>
      </w:tr>
      <w:tr>
        <w:trPr>
          <w:trHeight w:val="223"/>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at carrying value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2,510,963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2,517,024</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4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of June 30, 2022 and December 31, 2021, the estimated fair value of the Company’s outstanding long-term debt, including the current portion, was $2.5 billion and $2.6 billion, respectively. The Company’s estimates of fair value of its long-term debt, including the current portion, are based on quoted market prices or other available market data which are considered Level 2 measures according to the fair value hierarchy. Level 2 utilizes quoted market prices in markets that are not active, broker or dealer quotations or alternative pricing sources with reasonable levels of price transparency for similar assets and liabilities.</w:t>
      </w:r>
    </w:p>
    <w:p>
      <w:pPr>
        <w:spacing w:after="0" w:line="11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$400.0 million revolving credit facility under which the Company had no outstanding loan balances as of June 30, 2022 and December 31, 2021. As of June 30, 2022, the Company had $290.6 million available to borrow under the revolving credit facility and outstanding letters of credit were $109.4 million. Subject to certain conditions, this credit facility will expire in October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strategy to hedge against fluctuations in variable interest rates involves entering into interest rate derivative agreements.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Although the interest rates on the Term Loans are variable, the Company has effectively fixed the interest rate on $350.0 million principal of the outstanding 2024 Term Loans by entering into interest rate swap agreements in 2018 with a notional amount of $350.0 million ("2018 Swaps"). Under the terms of the 2018 Swaps, the Company receives interest based on the one-month LIBOR index and pays interest at a weighted average rate of approximately 2.92%, resulting in a fixed effective annual interest rate of approximately 4.67%.</w:t>
      </w:r>
    </w:p>
    <w:p>
      <w:pPr>
        <w:spacing w:after="0" w:line="11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January 2022, the Company entered into interest rate swap agreements ("2022 Swaps") with a notional amount of $600.0 million to effectively fix the interest rate on $600.0 million principal of the outstanding 2028 Term Loans. Under the terms of the 2022 Swaps' agreements, the Company will receive interest based upon the variable rates on the 2028 Term Loans and pay a fixed amount of interest. The fixed rate on these instruments is 0.931% through June 30, 2023 and then increases to 1.9645% from July 1, 2023 through September 30, 2027. The variable rate on these instruments is designed to both mirror the current 2028 Term Loan interest payments and the successor rate upon the eventual sunsetting of the LIBOR rate. Under the terms of the 2022 Swaps, the Company currently receives interest based on the one-month LIBOR index and pays interest at a weighted average rate of 0.931%, resulting in a fixed effective annual interest rate of approximately 2.931%.</w:t>
      </w:r>
    </w:p>
    <w:p>
      <w:pPr>
        <w:spacing w:after="0" w:line="10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has designated both the 2018 Swaps and the 2022 Swaps (collectively referred to as the “Swaps”) as cash flow hedges. The Company recognizes the fair value of the derivative instruments by counterparty as either a net asset, included in Other Assets, or net liability, included in Accrued expenses and other current liabilities, on the consolidated balance sheets. As of June 30, 2022, the Company recorded a related derivative asset with a fair value of $33.7 million. As of December 31, 2021, the derivative liability totaled $17.4 million. The change in the fair value of the interest rate swap liability is mainly due to the passage of time and changes in future interest rate expectations.</w:t>
      </w:r>
    </w:p>
    <w:p>
      <w:pPr>
        <w:spacing w:after="0" w:line="1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Swaps are measured using discounted cash flow valuation methodologies based upon the yield curves of the relevant variable rate indexes that are observable at commonly quoted intervals for the term of the Swaps and as such is considered a Level 2 measure according to the fair value hierarchy.</w:t>
      </w:r>
    </w:p>
    <w:p>
      <w:pPr>
        <w:spacing w:after="0" w:line="10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No ineffectiveness has been identified on the Swaps and, therefore the change in fair value is recorded in stockholders' equity as a component of accumulated other comprehensive loss. Amounts are reclassified from accumulated other comprehensive loss into interest expense on the consolidated statement of operations in the same period or periods during which the hedged transactions affect earnings.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4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records a tax provision or benefit on an interim basis using an estimated annual effective tax rate. This rate is applied to the current period ordinary income or loss to determine the income tax provision or benefit allocated to the interim period. Losses from jurisdictions for which no benefit can be recognized and the income tax effects of unusual or infrequent items are excluded from the estimated annual effective tax rate and are recognized in the impacted interim period. The estimated annual effective tax rate may be significantly impacted by projected earnings mix by tax jurisdiction. Adjustments to the estimated annual effective income tax rate are recognized in the period when such estimates are revised. The Company’s effective tax rate for the three and six months ended June 30, 2022 was 24.0% and 25.0%, compared to 25.9% and 27.3%, respectively, for the comparable periods in 2021.</w:t>
      </w:r>
    </w:p>
    <w:p>
      <w:pPr>
        <w:spacing w:after="0" w:line="121"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had recorded $3.6 million and $5.5 million, respectively, of gross liabilities for unrecognized tax benefits and $1.9 million and $2.3 million, respectively, of accrued interest.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computations of basic and diluted earnings per share (in thousands,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2700" w:type="dxa"/>
            <w:vAlign w:val="bottom"/>
            <w:gridSpan w:val="4"/>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tcBorders>
              <w:bottom w:val="single" w:sz="8" w:color="auto"/>
            </w:tcBorders>
          </w:tcPr>
          <w:p>
            <w:pPr>
              <w:spacing w:after="0"/>
              <w:rPr>
                <w:sz w:val="19"/>
                <w:szCs w:val="19"/>
                <w:color w:val="auto"/>
              </w:rPr>
            </w:pPr>
          </w:p>
        </w:tc>
      </w:tr>
      <w:tr>
        <w:trPr>
          <w:trHeight w:val="211"/>
        </w:trPr>
        <w:tc>
          <w:tcPr>
            <w:tcW w:w="50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148,157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88,811</w:t>
            </w:r>
          </w:p>
        </w:tc>
      </w:tr>
      <w:tr>
        <w:trPr>
          <w:trHeight w:val="21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54,625</w:t>
            </w: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outstanding stock awards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3"/>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shares outstanding</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54,597</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54,945</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3"/>
        </w:trPr>
        <w:tc>
          <w:tcPr>
            <w:tcW w:w="508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Basic earnings per share:</w:t>
            </w:r>
          </w:p>
        </w:tc>
        <w:tc>
          <w:tcPr>
            <w:tcW w:w="32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1.63</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8"/>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2022 and 2021, all then outstanding performance awards and restricted stock awards were included in the calculation of diluted earnings per share except for 104,700 and 33,708, respectively, of performance stock awards for which the performance criteria were not attained at the reporting dates and 8,376 and 500, respectively, of restricted stock awards which were excluded as their inclusion would have an antidilutive effect.</w:t>
      </w:r>
    </w:p>
    <w:p>
      <w:pPr>
        <w:spacing w:after="0" w:line="11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2022 and 2021, all then outstanding performance awards and restricted stock awards were included in the calculation of diluted earnings per share except for 104,700 and 33,708, respectively, of performance stock awards for which the performance criteria were not attained at the reporting dates and 25,876 and 12,604, respectively, of restricted stock awards which were excluded as their inclusion would have an antidilutive effect.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LOSS</w:t>
      </w:r>
    </w:p>
    <w:p>
      <w:pPr>
        <w:spacing w:after="0" w:line="162" w:lineRule="exact"/>
        <w:rPr>
          <w:sz w:val="20"/>
          <w:szCs w:val="20"/>
          <w:color w:val="auto"/>
        </w:rPr>
      </w:pPr>
    </w:p>
    <w:p>
      <w:pPr>
        <w:ind w:right="420" w:firstLine="648"/>
        <w:spacing w:after="0" w:line="275" w:lineRule="auto"/>
        <w:rPr>
          <w:sz w:val="20"/>
          <w:szCs w:val="20"/>
          <w:color w:val="auto"/>
        </w:rPr>
      </w:pPr>
      <w:r>
        <w:rPr>
          <w:rFonts w:ascii="Times New Roman" w:cs="Times New Roman" w:eastAsia="Times New Roman" w:hAnsi="Times New Roman"/>
          <w:sz w:val="18"/>
          <w:szCs w:val="18"/>
          <w:color w:val="auto"/>
        </w:rPr>
        <w:t>The changes in accumulated other comprehensive loss by component and related tax impacts for the six months ended June 30, 2022 were as follows (in thousands):</w:t>
      </w:r>
    </w:p>
    <w:tbl>
      <w:tblPr>
        <w:tblLayout w:type="fixed"/>
        <w:tblInd w:w="0" w:type="dxa"/>
        <w:tblCellMar>
          <w:top w:w="0" w:type="dxa"/>
          <w:left w:w="0" w:type="dxa"/>
          <w:bottom w:w="0" w:type="dxa"/>
          <w:right w:w="0" w:type="dxa"/>
        </w:tblCellMar>
      </w:tblPr>
      <w:tr>
        <w:trPr>
          <w:trHeight w:val="165"/>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line="16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3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(Loss) Gain on</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(Loss) Gain on</w:t>
            </w:r>
          </w:p>
        </w:tc>
        <w:tc>
          <w:tcPr>
            <w:tcW w:w="13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140" w:type="dxa"/>
            <w:vAlign w:val="bottom"/>
          </w:tcPr>
          <w:p>
            <w:pPr>
              <w:spacing w:after="0"/>
              <w:rPr>
                <w:sz w:val="14"/>
                <w:szCs w:val="14"/>
                <w:color w:val="auto"/>
              </w:rPr>
            </w:pPr>
          </w:p>
        </w:tc>
        <w:tc>
          <w:tcPr>
            <w:tcW w:w="12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on Unfunded</w:t>
            </w: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Sale Securities</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Hedge</w:t>
            </w: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Pension Liability</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(196,012)</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37,539</w:t>
            </w:r>
          </w:p>
        </w:tc>
        <w:tc>
          <w:tcPr>
            <w:tcW w:w="0" w:type="dxa"/>
            <w:vAlign w:val="bottom"/>
          </w:tcPr>
          <w:p>
            <w:pPr>
              <w:spacing w:after="0"/>
              <w:rPr>
                <w:sz w:val="1"/>
                <w:szCs w:val="1"/>
                <w:color w:val="auto"/>
              </w:rPr>
            </w:pPr>
          </w:p>
        </w:tc>
      </w:tr>
      <w:tr>
        <w:trPr>
          <w:trHeight w:val="175"/>
        </w:trPr>
        <w:tc>
          <w:tcPr>
            <w:tcW w:w="4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out of accumulated other comprehensive</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(provision)</w:t>
            </w:r>
          </w:p>
        </w:tc>
        <w:tc>
          <w:tcPr>
            <w:tcW w:w="16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33,310</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(185,150)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(162,702)</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amount realized in the consolidated statement of operations during the three and six months ended June 30, 2022 which was reclassified out of accumulated other comprehensive loss was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Other Comprehensive (Loss) Income Component</w:t>
            </w:r>
          </w:p>
        </w:tc>
        <w:tc>
          <w:tcPr>
            <w:tcW w:w="160" w:type="dxa"/>
            <w:vAlign w:val="bottom"/>
          </w:tcPr>
          <w:p>
            <w:pPr>
              <w:spacing w:after="0"/>
              <w:rPr>
                <w:sz w:val="16"/>
                <w:szCs w:val="16"/>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160" w:type="dxa"/>
            <w:vAlign w:val="bottom"/>
          </w:tcPr>
          <w:p>
            <w:pPr>
              <w:spacing w:after="0"/>
              <w:rPr>
                <w:sz w:val="16"/>
                <w:szCs w:val="16"/>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 the Six Months</w:t>
            </w:r>
          </w:p>
        </w:tc>
        <w:tc>
          <w:tcPr>
            <w:tcW w:w="3600" w:type="dxa"/>
            <w:vAlign w:val="bottom"/>
            <w:vMerge w:val="restart"/>
          </w:tcPr>
          <w:p>
            <w:pPr>
              <w:ind w:left="15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0" w:type="dxa"/>
            <w:vAlign w:val="bottom"/>
          </w:tcPr>
          <w:p>
            <w:pPr>
              <w:spacing w:after="0"/>
              <w:rPr>
                <w:sz w:val="1"/>
                <w:szCs w:val="1"/>
                <w:color w:val="auto"/>
              </w:rPr>
            </w:pPr>
          </w:p>
        </w:tc>
      </w:tr>
      <w:tr>
        <w:trPr>
          <w:trHeight w:val="214"/>
        </w:trPr>
        <w:tc>
          <w:tcPr>
            <w:tcW w:w="3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Ended June 30, 2022</w:t>
            </w:r>
          </w:p>
        </w:tc>
        <w:tc>
          <w:tcPr>
            <w:tcW w:w="16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Ended June 30, 2022</w:t>
            </w:r>
          </w:p>
        </w:tc>
        <w:tc>
          <w:tcPr>
            <w:tcW w:w="3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interest rate hedge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1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Total stock-based compensation cost charged to selling, general and administrative expenses for the three and six months ended June 30, 2022 was $6.8 million and $12.5 million, respectively. Total stock-based compensation cost charged to selling, general and administrative expenses for the three and six months ended June 30, 2021 was $3.3 million and $6.8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respectively. The total income tax benefit recognized in the consolidated statements of operations from stock-based compensation expense for the three and six months ended June 30, 2022 was $1.2 million and $2.3 million, respectively. The total income tax benefit recognized in the consolidated statements of operations from stock-based compensation expense for the three and six months ended June 30, 2021 was $0.8 million and $1.5 million,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awards for the six months ended June 30,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5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452,197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137,697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(56,068)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(15,487)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5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518,339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of June 30, 2022, there was $30.4 million of total unrecognized compensation cost arising from restricted stock awards. This cost is expected to be recognized over a weighted average period of 2.8 years. The total fair value of restricted stock vested during the three and six months ended June 30, 2022 was $3.9 million and $5.6 million, respectively. The total fair value of restricted stock vested during the three and six months ended June 30, 2021 was $4.9 million and $8.9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Awards</w:t>
      </w:r>
    </w:p>
    <w:p>
      <w:pPr>
        <w:spacing w:after="0" w:line="14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Performance stock awards are subject to performance criteria established by the Compensation Committee of the Company's Board of Directors prior to or at the date of grant. The vesting of the performance stock awards is based on achieving targets currently based on revenue, Adjusted EBITDA, Adjusted EBITDA Margin, Return on Invested Capital and Total Recordable Incident Rate. In addition, performance stock awards include continued service conditions.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stock awards for the six months ended June 30,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Stock</w:t>
            </w: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there was $13.1 million of total unrecognized compensation cost arising from unvested performance stock awards deemed probable of vesting. No performance awards vested during the three months ended June 30, 2022 and June 30, 2021. The total fair value of performance awards vested during the six months ended June 30, 2022 and June 30, 2021 was $3.8 million and $6.4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Administrative Proceedings</w:t>
      </w:r>
    </w:p>
    <w:p>
      <w:pPr>
        <w:spacing w:after="0" w:line="148"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governmental authorities and other interested parties. The issues involved in such proceedings generally relate to alleged violations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7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At June 30, 2022 and December 31, 2021, the Company had recorded reserves of $36.8 million and $36.1 million, respectively, in the Company's financial statements for actual or probable liabilities related to the legal and administrative proceedings in which the Company was then involved, the principal of which are described below. In management's opinion, it is not reasonably possible that the potential liability beyond what has been recorded, if any, that may result from these actions, either individually or collectively, will have a material effect on our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 As of June 30, 2022 and December 31, 2021, the $36.8 million and $36.1 million, respectively, of reserves consisted of (i) $24.1 million for both periods, related to pending legal or administrative proceedings, including Superfund liabilities, which were included in remedial liabilities on the consolidated balance sheets, and (ii) $12.7 million and $12.0 million, respectively, primarily related to federal, state and provincial enforcement actions, which were included in accrued expenses and other current liabilities on the consolidated balance sheets.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2022, the Company's principal legal and administrative proceedings were as follows:</w:t>
      </w:r>
    </w:p>
    <w:p>
      <w:pPr>
        <w:spacing w:after="0" w:line="15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Ville Mercier. </w:t>
      </w:r>
      <w:r>
        <w:rPr>
          <w:rFonts w:ascii="Times New Roman" w:cs="Times New Roman" w:eastAsia="Times New Roman" w:hAnsi="Times New Roman"/>
          <w:sz w:val="18"/>
          <w:szCs w:val="18"/>
          <w:color w:val="auto"/>
        </w:rPr>
        <w:t>In September 2002, the Company acquired the stock of a subsidiary (the "Mercier Subsidiary") which owns a hazardous waste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incinerator in Ville Mercier, Quebec (the "Mercier Facility"). The property adjacent to the Mercier Facility, which is also owned by the Mercier Subsidiary, is now contaminated as a result of actions dating back to 1968, when the Government of Quebec issued two permits to dump organic liquids into lagoons on the property to a company unrelated to the Mercier Subsidiary. In 1999, Ville Mercier and three neighboring municipalities filed separate legal proceedings against the Mercier Subsidiary and the Government of Quebec. In 2012, the municipalities amended their existing statement of claim to seek $2.9 million (CAD) in general damages and $10.0 million (CAD) in punitive damages, plus interest and costs, as well as injunctive relief. Both the Government of Quebec and the Company have filed summary judgment motions against the municipalities. The parties are attempting to negotiate a resolution and hearings on the motions have been delayed. In 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 indirect costs related to such measures. The Company has accrued for costs expected to be incurred relative to the resolution of this matter and believes this matter will not have future material effect on its financial position, results of operations or cash flows.</w:t>
      </w:r>
    </w:p>
    <w:p>
      <w:pPr>
        <w:spacing w:after="0" w:line="12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Product Liability Cases. </w:t>
      </w:r>
      <w:r>
        <w:rPr>
          <w:rFonts w:ascii="Times New Roman" w:cs="Times New Roman" w:eastAsia="Times New Roman" w:hAnsi="Times New Roman"/>
          <w:sz w:val="18"/>
          <w:szCs w:val="18"/>
          <w:color w:val="auto"/>
        </w:rPr>
        <w:t>On December 28, 2012, the Company acquired Safety-Kleen, Inc. ("Safety-Kleen") and thereby became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proceedings in which Safety-Kleen was a party on that date. In addition to certain Superfund proceedings in which Safety-Kleen has been named as a potentially responsible party as described below under “Superfund Proceedings,” Safety-Kleen has been named as a defendant in various product liability lawsuits that are currently pending in various courts and jurisdictions throughout the United States. As of June 30, 2022, Safety-Kleen has been named in approximately 60 outstanding proceedings (excluding cases which have been settled but not formally dismissed), wherein persons claim personal injury resulting from the use of Safety-Kleen's parts washer equipment or cleaning products. These proceedings typically involve allegations that the solvent used in Safety-Kleen's parts washer equipment contains contaminants and/or that Safety-Kleen's recycling process does not effectively remove the contaminants that become entrained in the solvent during their use. In addition, certain claimants assert that Safety-Kleen failed to adequately warn the product user of potential risks, including a historic failure to warn that solvent contains trace amounts of toxic or hazardous substances such as benzene.</w:t>
      </w:r>
    </w:p>
    <w:p>
      <w:pPr>
        <w:spacing w:after="0" w:line="10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also believes that these claims lack merit and has historically vigorously defended, and intends to continue to vigorously defend, itself and the safety of its products against all these claims. Such matters are subject to many uncertainties and outcomes are not predictable with assurance. Consequently, the Company is unable to ascertain the ultimate aggregate amount of monetary liability or financial impact with respect to these matters as of June 30, 2022. From January 1, 2022 to June 30, 2022, eight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Superfund Proceedings</w:t>
      </w:r>
    </w:p>
    <w:p>
      <w:pPr>
        <w:spacing w:after="0" w:line="148"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The Company has been notified that either the Company or the prior owners of certain of the Company's facilities for which the Company may have certain indemnification obligations have been identified as potentially responsible parties ("PRPs") or potential PRPs in connection with 131 sites which are subject to or are proposed to become subject to proceedings under federal or state Superfund laws. Of the 131 Superfund related sites, six (including the BR Facility described below) involve facilities that are now owned or leased by the Company and 125 involve third-party sites to which either the Company or the prior owners of certain of the Company’s facilities shipped wastes. Of the 125 third-party sites, 30 are now settled, 15 are currently requiring expenditures on remediation and 80 are not currently requiring expenditures on remediation.</w:t>
      </w:r>
    </w:p>
    <w:p>
      <w:pPr>
        <w:spacing w:after="0" w:line="12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liability could exceed $1.0 million at three of the 131 Superfund related sites.</w:t>
      </w:r>
    </w:p>
    <w:p>
      <w:pPr>
        <w:spacing w:after="0" w:line="12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BR Facility. </w:t>
      </w:r>
      <w:r>
        <w:rPr>
          <w:rFonts w:ascii="Times New Roman" w:cs="Times New Roman" w:eastAsia="Times New Roman" w:hAnsi="Times New Roman"/>
          <w:sz w:val="18"/>
          <w:szCs w:val="18"/>
          <w:color w:val="auto"/>
        </w:rPr>
        <w:t>The Company acquired in 2002 a former hazardous waste incinerator and landfill in Baton Rouge (the "BR Facility"), for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had been previously discontinued by the prior owner. In September 2007, the U.S. Environmental Protection Agency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In 2018, the Company completed performing corrective actions at the BR Facility under an order issued by the Louisiana Department of Environmental Quality and has also completed conducting the remedial investigation feasibility study for Devil's Swamp under the order issued by the EPA at which point the feasibility study, with several remedial alternatives, was submitted to the EPA for review. During 2020, the EPA signed a Record of Decision which defined the remediation alternative selected and approved by the EPA and in return, the Company increased the estimated remedial liability for this inactive site by $3.3 million. Changes in the natural landscape and/or new information identified during the remediation could impact this estimate; however, any such changes are not expected to have a future material effect on the Company's financial position, liquidity or results of operation.</w:t>
      </w:r>
    </w:p>
    <w:p>
      <w:pPr>
        <w:spacing w:after="0" w:line="10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Third-Party Sites. </w:t>
      </w:r>
      <w:r>
        <w:rPr>
          <w:rFonts w:ascii="Times New Roman" w:cs="Times New Roman" w:eastAsia="Times New Roman" w:hAnsi="Times New Roman"/>
          <w:sz w:val="18"/>
          <w:szCs w:val="18"/>
          <w:color w:val="auto"/>
        </w:rPr>
        <w:t>Of the 125 third-party Superfund sites at which the Company has been notified it is a PRP or potential PRP or may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obligations, the Company has an indemnification agreement at a total of 17 sites. These agreements indemnify the Company (which now includes Safety-Kleen) with respect to any liability at the 17 sites for waste disposed prior to the Company's (or Safety-Kleen's) acquisition of the former subsidiaries of Waste Management and McKesson. Accordingly, the indemnifying parties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 Company holds from ChemWaste and McKesson, the Company does not have an indemnity agreement with respect to any of the 125 third-party sites discussed above.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Provincial Enforcement Actions</w:t>
      </w:r>
    </w:p>
    <w:p>
      <w:pPr>
        <w:spacing w:after="0" w:line="16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pays fines or penalties in regulatory proceedings relating primarily to waste treatment, storage or disposal facilities. As of June 30, 2022 and December 31, 2021, there were two proceedings for which the Company reasonably believes that the sanctions could equal or exceed $1.0 million. The Company believes that the fines or other penalties in these or any of the other regulatory proceedings will not, individually or in the aggregate, have a material effect on its financial condition, results of operations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14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executive officer, who is the Company's chief operating decision maker, manages the business, makes operating decisions and assesses performance. The Company is managed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reports as two operating segments; (i) the Environmental Services segment and (ii) the Safety-Kleen Sustainability Solutions segment.</w:t>
      </w:r>
    </w:p>
    <w:p>
      <w:pPr>
        <w:spacing w:after="0" w:line="15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Third-party revenue is revenue billed to outside customers by a particular segment. Direct revenues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Transactions between the segments are accounted for at the Company’s best estimate based on similar transactions with outside customers. The intersegment revenues are shown net. The operations not managed through the Company’s operating segments described above are recorded as “Corporate Items.”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third-party revenues to direct revenues for the three and six months ended June 30, 2022 and 2021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7"/>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7"/>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2021</w:t>
            </w: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Third-party</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Intersegment</w:t>
            </w:r>
          </w:p>
        </w:tc>
        <w:tc>
          <w:tcPr>
            <w:tcW w:w="12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Direct revenues</w:t>
            </w:r>
          </w:p>
        </w:tc>
        <w:tc>
          <w:tcPr>
            <w:tcW w:w="200" w:type="dxa"/>
            <w:vAlign w:val="bottom"/>
          </w:tcPr>
          <w:p>
            <w:pPr>
              <w:spacing w:after="0"/>
              <w:rPr>
                <w:sz w:val="13"/>
                <w:szCs w:val="13"/>
                <w:color w:val="auto"/>
              </w:rPr>
            </w:pPr>
          </w:p>
        </w:tc>
        <w:tc>
          <w:tcPr>
            <w:tcW w:w="132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Third-party</w:t>
            </w:r>
          </w:p>
        </w:tc>
        <w:tc>
          <w:tcPr>
            <w:tcW w:w="120" w:type="dxa"/>
            <w:vAlign w:val="bottom"/>
          </w:tcPr>
          <w:p>
            <w:pPr>
              <w:spacing w:after="0"/>
              <w:rPr>
                <w:sz w:val="13"/>
                <w:szCs w:val="13"/>
                <w:color w:val="auto"/>
              </w:rPr>
            </w:pPr>
          </w:p>
        </w:tc>
        <w:tc>
          <w:tcPr>
            <w:tcW w:w="12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Intersegment</w:t>
            </w:r>
          </w:p>
        </w:tc>
        <w:tc>
          <w:tcPr>
            <w:tcW w:w="120" w:type="dxa"/>
            <w:vAlign w:val="bottom"/>
          </w:tcPr>
          <w:p>
            <w:pPr>
              <w:spacing w:after="0"/>
              <w:rPr>
                <w:sz w:val="13"/>
                <w:szCs w:val="13"/>
                <w:color w:val="auto"/>
              </w:rPr>
            </w:pPr>
          </w:p>
        </w:tc>
        <w:tc>
          <w:tcPr>
            <w:tcW w:w="1180" w:type="dxa"/>
            <w:vAlign w:val="bottom"/>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w w:val="98"/>
              </w:rPr>
              <w:t>Direct revenues</w:t>
            </w:r>
          </w:p>
        </w:tc>
        <w:tc>
          <w:tcPr>
            <w:tcW w:w="0" w:type="dxa"/>
            <w:vAlign w:val="bottom"/>
          </w:tcPr>
          <w:p>
            <w:pPr>
              <w:spacing w:after="0"/>
              <w:rPr>
                <w:sz w:val="1"/>
                <w:szCs w:val="1"/>
                <w:color w:val="auto"/>
              </w:rPr>
            </w:pPr>
          </w:p>
        </w:tc>
      </w:tr>
      <w:tr>
        <w:trPr>
          <w:trHeight w:val="214"/>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revenues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revenues</w:t>
            </w: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1,090,743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723,147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724,097</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202,282</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Items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1,356,312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1,356,312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926,458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926,458</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3"/>
        </w:trPr>
        <w:tc>
          <w:tcPr>
            <w:tcW w:w="2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7"/>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7"/>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2021</w:t>
            </w: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Third-party</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Intersegment</w:t>
            </w:r>
          </w:p>
        </w:tc>
        <w:tc>
          <w:tcPr>
            <w:tcW w:w="12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Direct revenues</w:t>
            </w:r>
          </w:p>
        </w:tc>
        <w:tc>
          <w:tcPr>
            <w:tcW w:w="200" w:type="dxa"/>
            <w:vAlign w:val="bottom"/>
          </w:tcPr>
          <w:p>
            <w:pPr>
              <w:spacing w:after="0"/>
              <w:rPr>
                <w:sz w:val="13"/>
                <w:szCs w:val="13"/>
                <w:color w:val="auto"/>
              </w:rPr>
            </w:pPr>
          </w:p>
        </w:tc>
        <w:tc>
          <w:tcPr>
            <w:tcW w:w="132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Third-party</w:t>
            </w:r>
          </w:p>
        </w:tc>
        <w:tc>
          <w:tcPr>
            <w:tcW w:w="120" w:type="dxa"/>
            <w:vAlign w:val="bottom"/>
          </w:tcPr>
          <w:p>
            <w:pPr>
              <w:spacing w:after="0"/>
              <w:rPr>
                <w:sz w:val="13"/>
                <w:szCs w:val="13"/>
                <w:color w:val="auto"/>
              </w:rPr>
            </w:pPr>
          </w:p>
        </w:tc>
        <w:tc>
          <w:tcPr>
            <w:tcW w:w="12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Intersegment</w:t>
            </w:r>
          </w:p>
        </w:tc>
        <w:tc>
          <w:tcPr>
            <w:tcW w:w="120" w:type="dxa"/>
            <w:vAlign w:val="bottom"/>
          </w:tcPr>
          <w:p>
            <w:pPr>
              <w:spacing w:after="0"/>
              <w:rPr>
                <w:sz w:val="13"/>
                <w:szCs w:val="13"/>
                <w:color w:val="auto"/>
              </w:rPr>
            </w:pPr>
          </w:p>
        </w:tc>
        <w:tc>
          <w:tcPr>
            <w:tcW w:w="1180" w:type="dxa"/>
            <w:vAlign w:val="bottom"/>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w w:val="98"/>
              </w:rPr>
              <w:t>Direct revenues</w:t>
            </w:r>
          </w:p>
        </w:tc>
        <w:tc>
          <w:tcPr>
            <w:tcW w:w="0" w:type="dxa"/>
            <w:vAlign w:val="bottom"/>
          </w:tcPr>
          <w:p>
            <w:pPr>
              <w:spacing w:after="0"/>
              <w:rPr>
                <w:sz w:val="1"/>
                <w:szCs w:val="1"/>
                <w:color w:val="auto"/>
              </w:rPr>
            </w:pPr>
          </w:p>
        </w:tc>
      </w:tr>
      <w:tr>
        <w:trPr>
          <w:trHeight w:val="214"/>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revenues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revenues</w:t>
            </w: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2,025,304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2,038,188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1,376,025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1,378,699</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355,749</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Items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2,525,421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2,525,421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1,734,606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1,734,606</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primary financial measure by which the Company evaluates the performance of its segments is "Adjusted EBITDA," which consists of net income plus accretion of environmental liabilities, stock-based compensation, depreciation and amortization, net interest expense, loss on early extinguishment of debt, provision for income taxes and excludes other gains, losses or non-cash charges not deemed representative of fundamental segment results and other (income) expense, net.</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EBITDA information used by management by reported segment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300" w:type="dxa"/>
            <w:vAlign w:val="bottom"/>
          </w:tcPr>
          <w:p>
            <w:pPr>
              <w:spacing w:after="0"/>
              <w:rPr>
                <w:sz w:val="18"/>
                <w:szCs w:val="18"/>
                <w:color w:val="auto"/>
              </w:rPr>
            </w:pPr>
          </w:p>
        </w:tc>
        <w:tc>
          <w:tcPr>
            <w:tcW w:w="2480" w:type="dxa"/>
            <w:vAlign w:val="bottom"/>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9"/>
        </w:trPr>
        <w:tc>
          <w:tcPr>
            <w:tcW w:w="5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9"/>
                <w:szCs w:val="19"/>
                <w:color w:val="auto"/>
              </w:rPr>
            </w:pPr>
          </w:p>
        </w:tc>
      </w:tr>
      <w:tr>
        <w:trPr>
          <w:trHeight w:val="211"/>
        </w:trPr>
        <w:tc>
          <w:tcPr>
            <w:tcW w:w="55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269,341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176,041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452,943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316,295</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94,946</w:t>
            </w:r>
          </w:p>
        </w:tc>
      </w:tr>
      <w:tr>
        <w:trPr>
          <w:trHeight w:val="230"/>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(57,281)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(94,019)</w:t>
            </w:r>
          </w:p>
        </w:tc>
      </w:tr>
      <w:tr>
        <w:trPr>
          <w:trHeight w:val="223"/>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317,222</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to Consolidated Statements of Operations: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143,755</w:t>
            </w:r>
          </w:p>
        </w:tc>
      </w:tr>
      <w:tr>
        <w:trPr>
          <w:trHeight w:val="22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160,856</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35,969</w:t>
            </w:r>
          </w:p>
        </w:tc>
      </w:tr>
      <w:tr>
        <w:trPr>
          <w:trHeight w:val="223"/>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195,043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90,470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257,823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122,179</w:t>
            </w:r>
          </w:p>
        </w:tc>
      </w:tr>
      <w:tr>
        <w:trPr>
          <w:trHeight w:val="20"/>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8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Forward-Looking Statements</w:t>
      </w: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forward-looking statements, which are generally identifiable by use of the words "believes," "expects," "intends," "anticipates," "plans to," "seeks," "should," "estimates," "projects," "may," "likely" or similar expressions. Such statements may include, but are not limited to, statements about future financial and operating results, the Company's plans, objectives, expectations and intentions and other statements that are not historical facts. Forward-looking statements are neither historical facts nor assurances of future performance. Such statements are based upon the beliefs and expectations of Clean Harbors' management as of this date only and are subject to certain risks and uncertainties that could cause actual results to differ materially, including, without limitation, those items identified as "Risk Factors,” in this report under Item 1A and in our Annual Report on Form 10-K filed with the Securities and Exchange Commission ("SEC") on February 23, 2022, and in other documents we file from time to time with the SEC. Therefore, readers are cautioned not to place undue reliance on these forward-looking statements, which reflect management’s opinions only as of the date hereof. Our actual results and financial condition may differ materially from those indicated in the forward-looking statements. Clean Harbors undertakes no obligation to revise or publicly release the results of any revision to these forward-looking statements other than through its filings with the SEC, which may be viewed in the "Investors" section of the Clean Harbors website.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environmental and industrial services supporting our customers in finding environmentally responsible solutions to further their sustainability goals in today's world. Everywhere industry meets the environment, we strive to provide eco-friendly products and services that protect and restore North America's natural environment. We believe we operate, in the aggregate, the largest number of hazardous waste incinerators, landfills and treatment, storage and disposal facilities ("TSDFs") in North America. We serve over 300,000 customers, including the majority of Fortune 500 companies. This diverse customer base includes the chemical, energy, manufacturing and additional markets, as well as numerous government agencies. These customers rely on us to deliver a broad range of services including but not limited to end-to-end hazardous waste management, emergency response, industrial cleaning and maintenance and recycling services. We are the largest re-refiner and recycler of used oil in North America and the largest provider of parts washer and related environmental services to commercial, industrial and automotive customers in North America.</w:t>
      </w:r>
    </w:p>
    <w:p>
      <w:pPr>
        <w:spacing w:after="0" w:line="1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Performance of our segments is evaluated on several factors of which the primary financial measure is Adjusted EBITDA, as reconciled to our net income and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108" w:lineRule="exact"/>
        <w:rPr>
          <w:sz w:val="20"/>
          <w:szCs w:val="20"/>
          <w:color w:val="auto"/>
        </w:rPr>
      </w:pPr>
    </w:p>
    <w:p>
      <w:pPr>
        <w:ind w:left="980" w:right="80" w:hanging="324"/>
        <w:spacing w:after="0" w:line="253"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Services - </w:t>
      </w:r>
      <w:r>
        <w:rPr>
          <w:rFonts w:ascii="Times New Roman" w:cs="Times New Roman" w:eastAsia="Times New Roman" w:hAnsi="Times New Roman"/>
          <w:sz w:val="18"/>
          <w:szCs w:val="18"/>
          <w:color w:val="auto"/>
        </w:rPr>
        <w:t>Environmental Services segment results are predicated upon customer demand for waste services, waste volumes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generated by such services and project work for which waste handling and/or disposal is required. Environmental Services results are also impacted by the demand for planned and unplanned industrial related cleaning and maintenance services at customer sites and environmental cleanup services on a scheduled or emergency basis, including response to national events such as major chemical spills, natural disasters, or other events where immediate and specialized services are required, including our contagion disinfection, decontamination and disposal services. With the addition of the Safety-Kleen core service offerings, (e.g. containerized waste disposal, parts washer and vacuum services), the Environmental Services results are further impacted by the volumes of waste collected from these customers, the overall number of parts washers placed at customer sites and the demand for and frequency of other offered services. In managing the business and evaluating performance, management tracks the volumes and mix of waste handled and disposed of or recycled, generally through our incinerators, TSDFs and landfills, the utilization rates of our incinerators, equipment and workforce, including billable hours, and number of parts washer services performed, among other key metrics. Levels of activity and ultimate performance associated with this segment can be impacted by several factors including overall U.S. GDP, U.S. industrial production, economic conditions in the automotive, manufacturing and other industrial markets, weather conditions, efficiency of our operations, technology, changing regulations, competition, market pricing of our services, costs incurred to deliver our services and the management of our related operating costs.</w:t>
      </w:r>
    </w:p>
    <w:p>
      <w:pPr>
        <w:spacing w:after="0" w:line="117" w:lineRule="exact"/>
        <w:rPr>
          <w:rFonts w:ascii="Times New Roman" w:cs="Times New Roman" w:eastAsia="Times New Roman" w:hAnsi="Times New Roman"/>
          <w:sz w:val="18"/>
          <w:szCs w:val="18"/>
          <w:color w:val="auto"/>
        </w:rPr>
      </w:pPr>
    </w:p>
    <w:p>
      <w:pPr>
        <w:ind w:left="980" w:right="60" w:hanging="324"/>
        <w:spacing w:after="0" w:line="26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Safety-Kleen Sustainability Solutions - </w:t>
      </w:r>
      <w:r>
        <w:rPr>
          <w:rFonts w:ascii="Times New Roman" w:cs="Times New Roman" w:eastAsia="Times New Roman" w:hAnsi="Times New Roman"/>
          <w:sz w:val="18"/>
          <w:szCs w:val="18"/>
          <w:color w:val="auto"/>
        </w:rPr>
        <w:t>Safety-Kleen Sustainability Solutions segment results are impacted by our customers' demand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high-quality, environmentally responsible recycled oil products and their demand for our related service offerings and products. Safety-Kleen Sustainability Solutions offers high quality recycled KLEEN+ base oils and various blended oil products to end users including fleet customers, distributors and manufacturers of oil products.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8"/>
          <w:szCs w:val="18"/>
          <w:color w:val="auto"/>
        </w:rPr>
        <w:t>Segment results are impacted by overall demand as well as product mix as it relates to these oil products. Segment results are also predicated on the demand for the Safety-Kleen Sustainability Solutions other product and service offerings including collection services for used oil, used oil filters and other automotive fluids. These fluid collections are used as feedstock in our oil re-refining to make our base and blended oil products and our recycled automotive related fluid products or are integrated into the Clean Harbors' recycling and disposal network. In operating the business and evaluating performance, management tracks the volumes and relative percentages of base and blended oil sales along with various pricing metrics associated with the commodity driven margin. Management also tracks the volumes and pricing of used oil and automotive fluid collections. Levels of activity and ultimate performance associated with this segment can be impacted by economic conditions in the automotive services and manufacturing markets, efficiency of our operations, technology, weather conditions, changing regulations, competition, the management of our related operating costs and the availability of raw materials including used oil and additives. Costs incurred in connection with the collection of used oil and other raw materials associated with the segment’s oil related products can also be volatile. The overall market price of oil and regulations that change the possible usage of used oil, including the International Maritime Organization's 2020 regulation ("IMO 2020") and other regulations related to the burning of used motor oil as a fuel, both impact the premium the segment can charge for used oil collections.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revenues for the three and six months ended June 30, 2022 were $1,356.3 million and $2,525.4 million, compared with $926.5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$1,734.6 million for the three and six months ended June 30, 2021. Our Environmental Services segment direct revenues increased $366.6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$659.5 million or 50.6% and 47.8% from the comparable periods in 2021. Our acquisition of HydroChemPSC on October 8, 2021, contributed to increases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both our industrial services and field and emergency response service offerings within the Environmental Services segment. The sales and operations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HydroChemPSC have been fully integrated into the Environmental Services segment and we estimate that for the three and six months ended June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total revenues from the HydroChemPSC business were approximately $207.9 million and $392.0 million, respectively. Core organic growth within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Environmental Services segment also contributed to the overall increases in direct revenues for the segment in 2022 as compared to the comparable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in 2021. In the three and six months ended June 30, 2022, our Safety-Kleen Sustainability Solutions segment direct revenues increased $63.2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$131.3 million or 31.2% and 36.9% from the comparable periods in 2021 predominately due to higher pricing of our base and blended oil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Foreign currency translation of our Canadian operations negatively impacted our consolidated direct revenues by $7.3 million in the three and six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June 30, 2022.</w:t>
      </w:r>
    </w:p>
    <w:p>
      <w:pPr>
        <w:spacing w:after="0" w:line="13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the three and six months ended June 30, 2022, costs have increased in both the Environmental Services and Safety-Kleen Sustainability Solutions segments when comparing to the prior year given the increase in business levels, revenue mix, inflationary pressures seen across several cost categories and supply chain constraints. Our business began seeing the impact of macroeconomic factors including inflationary pressures and supply chain constraints in 2021 and these factors continue to impact the business operations. Supply chain challenges for additives and other materials used in the oil re-refining process have delayed production, added costs and shifted the product mix within our Safety-Kleen Sustainability Solutions segment. Similarly within the Environmental Services segment, supply chain challenges have delayed fleet and equipment delivery, increasing rental and external transportation costs.</w:t>
      </w:r>
    </w:p>
    <w:p>
      <w:pPr>
        <w:spacing w:after="0" w:line="12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Both segments have seen the impact of inflationary pressures, most notably in labor and the cost of certain supplies used in the operations of our businesses, including fuel related costs. In recent quarters, we have executed upon pricing strategies, including fuel surcharges, and cost control initiatives to mitigate, to the greatest extent possible, the impact of these inflationary pressures. As a result of these focused efforts, costs as a percentage of direct revenues for the three months ended June 30, 2022 improved when compared to previous quarters also impacted by these inflationary pressures.</w:t>
      </w:r>
    </w:p>
    <w:p>
      <w:pPr>
        <w:spacing w:after="0" w:line="9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We reported income from operations for the three and six months ended June 30, 2022 of $211.2 million and $298.3 million, compared with $110.0 million and $160.9 million in the three and six months ended June 30, 2021, representing increases of $101.2 million and $137.4 million. Net income for the three and six months ended June 30, 2022 was $148.2 million and $193.5 million, compared with net income of $67.1 million and $88.8 million in the three and six months ended June 30, 2021, representing increases of $81.1 million and $104.7 million.</w:t>
      </w:r>
    </w:p>
    <w:p>
      <w:pPr>
        <w:spacing w:after="0" w:line="112" w:lineRule="exact"/>
        <w:rPr>
          <w:sz w:val="20"/>
          <w:szCs w:val="20"/>
          <w:color w:val="auto"/>
        </w:rPr>
      </w:pPr>
    </w:p>
    <w:p>
      <w:pPr>
        <w:jc w:val="both"/>
        <w:ind w:right="100" w:firstLine="648"/>
        <w:spacing w:after="0" w:line="256" w:lineRule="auto"/>
        <w:rPr>
          <w:sz w:val="20"/>
          <w:szCs w:val="20"/>
          <w:color w:val="auto"/>
        </w:rPr>
      </w:pPr>
      <w:r>
        <w:rPr>
          <w:rFonts w:ascii="Times New Roman" w:cs="Times New Roman" w:eastAsia="Times New Roman" w:hAnsi="Times New Roman"/>
          <w:sz w:val="18"/>
          <w:szCs w:val="18"/>
          <w:color w:val="auto"/>
        </w:rPr>
        <w:t>Adjusted EBITDA, which is the primary financial measure by which our segments are evaluated, increased 64.6% to $309.1 million in the three months ended June 30, 2022 from $187.8 million in the three months ended June 30, 2021 and increased 54.3% to $489.3 million in the six months ended June 30, 2022 from $317.2 million in the six months ended June 30, 2021. This improved performance was driven by the increased revenue levels in both segments noted above, focused pricing initiatives in the Environmental Services segment's disposal network, strong spread management as it relates to the pricing of base oil products and used motor oil collection services in the Safety-Kleen Sustainability Solutions segment and cost control initiatives across the entire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business. Additional information, including a reconciliation of Adjusted EBITDA to net income, appears below under </w:t>
      </w:r>
      <w:r>
        <w:rPr>
          <w:rFonts w:ascii="Times New Roman" w:cs="Times New Roman" w:eastAsia="Times New Roman" w:hAnsi="Times New Roman"/>
          <w:sz w:val="18"/>
          <w:szCs w:val="18"/>
          <w:i w:val="1"/>
          <w:iCs w:val="1"/>
          <w:color w:val="auto"/>
        </w:rPr>
        <w:t>"Adjusted EBITDA."</w:t>
      </w:r>
    </w:p>
    <w:p>
      <w:pPr>
        <w:spacing w:after="0" w:line="16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Net cash from operating activities for the six months ended June 30, 2022 was $132.0 million, as compared to net cash from operating activities of $265.4 million in the comparable period of 2021. Adjusted free cash flow, which management uses to measure our financial strength and ability to generate cash, was an outflow of $13.0 million in the six months ended June 30, 2022 as compared to positive adjusted free cash flow of $176.9 million in the comparable period of 2021. These expected decreases in our cash flows were the result of an increase in working capital arising from our significant growth in the business, comparatively higher incentive compensation and interest payments and higher levels of cash spending on the acquisition of property, plant and equipment, partially offset by higher operating income. Additional information, including a reconciliation of adjusted free cash flow to net cash from operating activities, appears below under </w:t>
      </w:r>
      <w:r>
        <w:rPr>
          <w:rFonts w:ascii="Times New Roman" w:cs="Times New Roman" w:eastAsia="Times New Roman" w:hAnsi="Times New Roman"/>
          <w:sz w:val="18"/>
          <w:szCs w:val="18"/>
          <w:i w:val="1"/>
          <w:iCs w:val="1"/>
          <w:color w:val="auto"/>
        </w:rPr>
        <w:t>"Adjusted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Performance</w:t>
      </w:r>
    </w:p>
    <w:p>
      <w:pPr>
        <w:spacing w:after="0" w:line="146" w:lineRule="exact"/>
        <w:rPr>
          <w:sz w:val="20"/>
          <w:szCs w:val="20"/>
          <w:color w:val="auto"/>
        </w:rPr>
      </w:pPr>
    </w:p>
    <w:p>
      <w:pPr>
        <w:jc w:val="both"/>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primary financial measure by which we evaluate the performance of our segments is Adjusted EBITDA, as described below under </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EBITDA"</w:t>
      </w:r>
      <w:r>
        <w:rPr>
          <w:rFonts w:ascii="Times New Roman" w:cs="Times New Roman" w:eastAsia="Times New Roman" w:hAnsi="Times New Roman"/>
          <w:sz w:val="18"/>
          <w:szCs w:val="18"/>
          <w:color w:val="auto"/>
        </w:rPr>
        <w:t>. The following table sets forth certain financial information associated with our results of operations for the three and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and June 30, 2021 (in thousands, except percentages):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Summary of Operations</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7"/>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40" w:type="dxa"/>
            <w:vAlign w:val="bottom"/>
          </w:tcPr>
          <w:p>
            <w:pPr>
              <w:spacing w:after="0"/>
              <w:rPr>
                <w:sz w:val="13"/>
                <w:szCs w:val="13"/>
                <w:color w:val="auto"/>
              </w:rPr>
            </w:pPr>
          </w:p>
        </w:tc>
        <w:tc>
          <w:tcPr>
            <w:tcW w:w="8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60" w:type="dxa"/>
            <w:vAlign w:val="bottom"/>
          </w:tcPr>
          <w:p>
            <w:pPr>
              <w:spacing w:after="0"/>
              <w:rPr>
                <w:sz w:val="13"/>
                <w:szCs w:val="13"/>
                <w:color w:val="auto"/>
              </w:rPr>
            </w:pPr>
          </w:p>
        </w:tc>
        <w:tc>
          <w:tcPr>
            <w:tcW w:w="7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gridSpan w:val="2"/>
          </w:tcPr>
          <w:p>
            <w:pPr>
              <w:jc w:val="center"/>
              <w:ind w:left="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14"/>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1"/>
        </w:trPr>
        <w:tc>
          <w:tcPr>
            <w:tcW w:w="254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b w:val="1"/>
                <w:bCs w:val="1"/>
                <w:color w:val="auto"/>
              </w:rPr>
              <w:t>Direct Revenues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1,090,743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724,097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366,646</w:t>
            </w:r>
          </w:p>
        </w:tc>
        <w:tc>
          <w:tcPr>
            <w:tcW w:w="8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50.6%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2,038,188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1,378,699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659,489</w:t>
            </w:r>
          </w:p>
        </w:tc>
        <w:tc>
          <w:tcPr>
            <w:tcW w:w="8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Safety-Kleen Sustainability</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265,490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202,282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63,208</w:t>
            </w:r>
          </w:p>
        </w:tc>
        <w:tc>
          <w:tcPr>
            <w:tcW w:w="820" w:type="dxa"/>
            <w:vAlign w:val="bottom"/>
            <w:gridSpan w:val="2"/>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31.2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487,082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355,749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131,333</w:t>
            </w:r>
          </w:p>
        </w:tc>
        <w:tc>
          <w:tcPr>
            <w:tcW w:w="820" w:type="dxa"/>
            <w:vAlign w:val="bottom"/>
            <w:gridSpan w:val="2"/>
            <w:vMerge w:val="restart"/>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N/M</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N/M</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1,356,312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926,458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429,854</w:t>
            </w:r>
          </w:p>
        </w:tc>
        <w:tc>
          <w:tcPr>
            <w:tcW w:w="8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2,525,421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1,734,606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790,815</w:t>
            </w:r>
          </w:p>
        </w:tc>
        <w:tc>
          <w:tcPr>
            <w:tcW w:w="8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Cost of Revenues</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743,659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487,257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256,402</w:t>
            </w:r>
          </w:p>
        </w:tc>
        <w:tc>
          <w:tcPr>
            <w:tcW w:w="8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1,428,995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938,512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490,483</w:t>
            </w:r>
          </w:p>
        </w:tc>
        <w:tc>
          <w:tcPr>
            <w:tcW w:w="8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162"/>
        </w:trPr>
        <w:tc>
          <w:tcPr>
            <w:tcW w:w="25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Safety-Kleen Sustainability</w:t>
            </w:r>
          </w:p>
        </w:tc>
        <w:tc>
          <w:tcPr>
            <w:tcW w:w="100" w:type="dxa"/>
            <w:vAlign w:val="bottom"/>
          </w:tcPr>
          <w:p>
            <w:pPr>
              <w:spacing w:after="0"/>
              <w:rPr>
                <w:sz w:val="14"/>
                <w:szCs w:val="14"/>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151,020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123,025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27,995</w:t>
            </w:r>
          </w:p>
        </w:tc>
        <w:tc>
          <w:tcPr>
            <w:tcW w:w="82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22.8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303,037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231,401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71,636</w:t>
            </w:r>
          </w:p>
        </w:tc>
        <w:tc>
          <w:tcPr>
            <w:tcW w:w="82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7,604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(3,814)</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N/M</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9,826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8,509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N/M</w:t>
            </w:r>
          </w:p>
        </w:tc>
        <w:tc>
          <w:tcPr>
            <w:tcW w:w="0" w:type="dxa"/>
            <w:vAlign w:val="bottom"/>
          </w:tcPr>
          <w:p>
            <w:pPr>
              <w:spacing w:after="0"/>
              <w:rPr>
                <w:sz w:val="1"/>
                <w:szCs w:val="1"/>
                <w:color w:val="auto"/>
              </w:rPr>
            </w:pPr>
          </w:p>
        </w:tc>
      </w:tr>
      <w:tr>
        <w:trPr>
          <w:trHeight w:val="207"/>
        </w:trPr>
        <w:tc>
          <w:tcPr>
            <w:tcW w:w="25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898,469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617,886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280,583</w:t>
            </w:r>
          </w:p>
        </w:tc>
        <w:tc>
          <w:tcPr>
            <w:tcW w:w="8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45.4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1,741,858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1,178,422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563,436</w:t>
            </w:r>
          </w:p>
        </w:tc>
        <w:tc>
          <w:tcPr>
            <w:tcW w:w="8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Selling, General &amp; Administrative</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1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77,743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60,799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16,944</w:t>
            </w:r>
          </w:p>
        </w:tc>
        <w:tc>
          <w:tcPr>
            <w:tcW w:w="8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156,250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123,892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32,358</w:t>
            </w:r>
          </w:p>
        </w:tc>
        <w:tc>
          <w:tcPr>
            <w:tcW w:w="8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Safety-Kleen Sustainability</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17,460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15,943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1,517</w:t>
            </w:r>
          </w:p>
        </w:tc>
        <w:tc>
          <w:tcPr>
            <w:tcW w:w="820" w:type="dxa"/>
            <w:vAlign w:val="bottom"/>
            <w:gridSpan w:val="2"/>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9.5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35,158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29,402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5,756</w:t>
            </w:r>
          </w:p>
        </w:tc>
        <w:tc>
          <w:tcPr>
            <w:tcW w:w="820" w:type="dxa"/>
            <w:vAlign w:val="bottom"/>
            <w:gridSpan w:val="2"/>
            <w:vMerge w:val="restart"/>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60,405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47,364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13,041</w:t>
            </w:r>
          </w:p>
        </w:tc>
        <w:tc>
          <w:tcPr>
            <w:tcW w:w="82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27.5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115,373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92,453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22,920</w:t>
            </w:r>
          </w:p>
        </w:tc>
        <w:tc>
          <w:tcPr>
            <w:tcW w:w="82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155,608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124,106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31,502</w:t>
            </w:r>
          </w:p>
        </w:tc>
        <w:tc>
          <w:tcPr>
            <w:tcW w:w="8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306,781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245,747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61,034</w:t>
            </w:r>
          </w:p>
        </w:tc>
        <w:tc>
          <w:tcPr>
            <w:tcW w:w="8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4"/>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269,341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176,041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93,300</w:t>
            </w:r>
          </w:p>
        </w:tc>
        <w:tc>
          <w:tcPr>
            <w:tcW w:w="8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452,943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316,295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136,648</w:t>
            </w:r>
          </w:p>
        </w:tc>
        <w:tc>
          <w:tcPr>
            <w:tcW w:w="8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162"/>
        </w:trPr>
        <w:tc>
          <w:tcPr>
            <w:tcW w:w="25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Safety-Kleen Sustainability</w:t>
            </w:r>
          </w:p>
        </w:tc>
        <w:tc>
          <w:tcPr>
            <w:tcW w:w="100" w:type="dxa"/>
            <w:vAlign w:val="bottom"/>
          </w:tcPr>
          <w:p>
            <w:pPr>
              <w:spacing w:after="0"/>
              <w:rPr>
                <w:sz w:val="14"/>
                <w:szCs w:val="14"/>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97,010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63,314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33,696</w:t>
            </w:r>
          </w:p>
        </w:tc>
        <w:tc>
          <w:tcPr>
            <w:tcW w:w="82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53.2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148,887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94,946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53,941</w:t>
            </w:r>
          </w:p>
        </w:tc>
        <w:tc>
          <w:tcPr>
            <w:tcW w:w="82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56.8</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(57,281)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(51,584)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(5,697)</w:t>
            </w:r>
          </w:p>
        </w:tc>
        <w:tc>
          <w:tcPr>
            <w:tcW w:w="8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8"/>
              </w:rPr>
              <w:t>(11.0)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(112,501)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(94,019)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(18,482)</w:t>
            </w:r>
          </w:p>
        </w:tc>
        <w:tc>
          <w:tcPr>
            <w:tcW w:w="8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8"/>
              </w:rPr>
              <w:t>(19.7)</w:t>
            </w:r>
          </w:p>
        </w:tc>
        <w:tc>
          <w:tcPr>
            <w:tcW w:w="0" w:type="dxa"/>
            <w:vAlign w:val="bottom"/>
          </w:tcPr>
          <w:p>
            <w:pPr>
              <w:spacing w:after="0"/>
              <w:rPr>
                <w:sz w:val="1"/>
                <w:szCs w:val="1"/>
                <w:color w:val="auto"/>
              </w:rPr>
            </w:pPr>
          </w:p>
        </w:tc>
      </w:tr>
      <w:tr>
        <w:trPr>
          <w:trHeight w:val="207"/>
        </w:trPr>
        <w:tc>
          <w:tcPr>
            <w:tcW w:w="25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309,070</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187,771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121,299</w:t>
            </w:r>
          </w:p>
        </w:tc>
        <w:tc>
          <w:tcPr>
            <w:tcW w:w="8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489,329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317,222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172,107</w:t>
            </w:r>
          </w:p>
        </w:tc>
        <w:tc>
          <w:tcPr>
            <w:tcW w:w="8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54.3%</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Adjusted EBITDA as a % of Direct</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Safety-Kleen Sustainability</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10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N/M</w:t>
            </w:r>
          </w:p>
        </w:tc>
        <w:tc>
          <w:tcPr>
            <w:tcW w:w="260" w:type="dxa"/>
            <w:vAlign w:val="bottom"/>
          </w:tcPr>
          <w:p>
            <w:pPr>
              <w:spacing w:after="0"/>
              <w:rPr>
                <w:sz w:val="18"/>
                <w:szCs w:val="18"/>
                <w:color w:val="auto"/>
              </w:rPr>
            </w:pP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9"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revenue is revenue allocated to the segment performing the provided service.</w:t>
      </w:r>
    </w:p>
    <w:p>
      <w:pPr>
        <w:spacing w:after="0" w:line="9" w:lineRule="exact"/>
        <w:rPr>
          <w:rFonts w:ascii="Times New Roman" w:cs="Times New Roman" w:eastAsia="Times New Roman" w:hAnsi="Times New Roman"/>
          <w:sz w:val="18"/>
          <w:szCs w:val="18"/>
          <w:color w:val="auto"/>
        </w:rPr>
      </w:pPr>
    </w:p>
    <w:p>
      <w:pPr>
        <w:ind w:left="660" w:right="280" w:hanging="328"/>
        <w:spacing w:after="0" w:line="260"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 is shown exclusive of items presented separately on the consolidated statements of operations which consist of (i) accretion of environmental liabilities and (ii)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Revenues</w:t>
      </w:r>
    </w:p>
    <w:p>
      <w:pPr>
        <w:spacing w:after="0" w:line="14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There are many factors which have impacted and continue to impact our revenues including, but not limited to: overall levels of industrial activity and economic growth in North America, existence or non-existence of large scale environmental waste and remediation projects, competitive industry pricing, miles driven and related lubricant demand, impacts of acquisitions and divestitures, the level of emergency response services, weather related events, base and blended oil pricing, market changes relative to the collection of used oil, our ability to manage the spread between oil product prices and prices for the collection of used oil, the number of parts washers placed at customer sites and foreign currency translation. In addition, customer efforts to minimize hazardous waste and changes in regulation can also impact our revenues.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tcPr>
          <w:p>
            <w:pPr>
              <w:spacing w:after="0"/>
              <w:rPr>
                <w:sz w:val="19"/>
                <w:szCs w:val="19"/>
                <w:color w:val="auto"/>
              </w:rPr>
            </w:pPr>
          </w:p>
        </w:tc>
        <w:tc>
          <w:tcPr>
            <w:tcW w:w="1400" w:type="dxa"/>
            <w:vAlign w:val="bottom"/>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3"/>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9"/>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2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3"/>
                <w:szCs w:val="13"/>
                <w:color w:val="auto"/>
              </w:rPr>
            </w:pPr>
          </w:p>
        </w:tc>
        <w:tc>
          <w:tcPr>
            <w:tcW w:w="102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Borders>
              <w:top w:val="single" w:sz="8" w:color="auto"/>
            </w:tcBorders>
          </w:tcPr>
          <w:p>
            <w:pPr>
              <w:jc w:val="right"/>
              <w:ind w:right="39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102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104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4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1,090,743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724,097</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366,646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2,038,188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1,378,699</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659,489</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Environmental Services direct revenues for the three months ended June 30, 2022 increased $366.6 million from the comparable period in 2021 driven primarily by the incremental business from the HydroChemPSC operations within industrial service and field and emergency response service revenues coupled with organic growth across our other waste disposal service offerings. Direct revenues of our industrial service offerings increased $203.8 million, of which approximately $173.7 million was generated by HydroChemPSC, while the remainder was primarily due to increased demand and pricing for our core industrial services. Technical services revenues increased $91.6 million largely due to higher throughput at our facilities and higher value waste streams coupled with pricing initiatives across the business. Higher volumes at our incinerators drove an increase in utilization from 87% in the second quarter of 2021 to 90% in the second quarter of 2022. We also saw an increase in landfill volumes in the second quarter of 2022 as compared to the second quarter of 2021. Field and emergency response services revenues increased approximately $40.1 million despite a $6.3 million decrease in COVID-19 decontamination service revenues. This overall increase was both related to contributions from the HydroChemPSC business of $34.2 million as well as organic growth from the legacy field services operations. Direct revenues for the Safety-Kleen core service offerings increased $31.1 million from the comparable period in 2021 due to improved pricing and greater demand for our containerized waste and vacuum services. The Canadian operations of the Environmental Services segment were negatively impacted by $5.8 million due to foreign currency translation.</w:t>
      </w:r>
    </w:p>
    <w:p>
      <w:pPr>
        <w:spacing w:after="0" w:line="12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Environmental Services direct revenues for the six months ended June 30, 2022 increased $659.5 million from the comparable period in 2021. Consistent with the discussion above, a significant portion of this increase is due to the incremental business from the HydroChemPSC operations within industrial service and field and emergency response service revenues and organic growth across our service offerings. Direct revenues of our industrial service offerings increased $388.2 million of which approximately $329.8 million was generated by HydroChemPSC while the remainder was primarily due to increased demand and pricing for our core industrial services. Technical services revenues increased $155.4 million largely due to higher throughput at our facilities and higher value waste streams coupled with pricing initiatives. Utilization at our incinerators increased to 88% in the six months of 2022 largely driven by increased volume and fewer down days as compared to utilization of 83% in the six months ended June 30, 2021 which was impacted by significant weather events in the first quarter of 2021. We also saw an increase in landfill volumes in the six months of 2022 as compared to the first six months of 2021. Field and emergency response services revenues increased approximately $67.4 million despite a $25.8 million decrease in COVID-19 decontamination service revenues. This overall increase was both related to contributions from the HydroChemPSC business of $62.2 million as well as organic growth from increased demand in the legacy field services operations. Direct revenues for the Safety-Kleen core service offerings increased $48.0 million from the comparable period in 2021 due to improved pricing and greater demand for our containerized waste and vacuum services. The Canadian operations of the Environmental Services segment were negatively impacted by $5.8 million due to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tcPr>
          <w:p>
            <w:pPr>
              <w:spacing w:after="0"/>
              <w:rPr>
                <w:sz w:val="19"/>
                <w:szCs w:val="19"/>
                <w:color w:val="auto"/>
              </w:rPr>
            </w:pPr>
          </w:p>
        </w:tc>
        <w:tc>
          <w:tcPr>
            <w:tcW w:w="140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5"/>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118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gridSpan w:val="3"/>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8"/>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0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104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Borders>
              <w:top w:val="single" w:sz="8" w:color="auto"/>
            </w:tcBorders>
          </w:tcPr>
          <w:p>
            <w:pPr>
              <w:jc w:val="right"/>
              <w:ind w:right="37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3"/>
                <w:szCs w:val="13"/>
                <w:color w:val="auto"/>
              </w:rPr>
            </w:pPr>
          </w:p>
        </w:tc>
        <w:tc>
          <w:tcPr>
            <w:tcW w:w="104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4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80" w:type="dxa"/>
            <w:vAlign w:val="bottom"/>
            <w:gridSpan w:val="3"/>
          </w:tcPr>
          <w:p>
            <w:pPr>
              <w:jc w:val="center"/>
              <w:ind w:right="25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265,490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202,282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63,208</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487,082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355,749</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131,333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Safety-Kleen Sustainability Solutions direct revenues for the three and six months ended June 30, 2022 increased $63.2 million and $131.3 million respectively from the comparable periods in 2021 predominately due to higher pricing of our base and blended oil products. For the three months ended June 30, 2022, base oil sales revenues increased $47.8 million and blended oil sales revenues increased $6.7 million from the comparable period in 2021 both due to pricing increases which more than offset lower volumes sold. Pricing increases also drove increases in base oil sales revenues of $98.2 million and blended oil sales revenue of $17.7 million for the six months ended June 30, 2022 when compared with the six months ended June 30, 2021. The Canadian operations of the Safety-Kleen Sustainability Solutions segment were negatively impacted by $1.5 million in both the three and six months ended June 30, 2022 due to foreign currency translation.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ability to manage operating costs is important to our ability to remain price competitive. We continue to experience the current macroeconomic inflationary pressures across several cost categories, but most notably related to internal and external labor, transportation, general supplies and energy related costs. We continue to manage these increases through constant cost monitoring as well as our overall customer pricing strategies designed to offset the negative inflationary impacts on our margins.</w:t>
      </w:r>
    </w:p>
    <w:p>
      <w:pPr>
        <w:spacing w:after="0" w:line="99" w:lineRule="exact"/>
        <w:rPr>
          <w:sz w:val="20"/>
          <w:szCs w:val="20"/>
          <w:color w:val="auto"/>
        </w:rPr>
      </w:pPr>
    </w:p>
    <w:p>
      <w:pPr>
        <w:ind w:right="240" w:firstLine="648"/>
        <w:spacing w:after="0" w:line="289" w:lineRule="auto"/>
        <w:rPr>
          <w:sz w:val="20"/>
          <w:szCs w:val="20"/>
          <w:color w:val="auto"/>
        </w:rPr>
      </w:pPr>
      <w:r>
        <w:rPr>
          <w:rFonts w:ascii="Times New Roman" w:cs="Times New Roman" w:eastAsia="Times New Roman" w:hAnsi="Times New Roman"/>
          <w:sz w:val="17"/>
          <w:szCs w:val="17"/>
          <w:color w:val="auto"/>
        </w:rPr>
        <w:t>We also continue to upgrade the quality and efficiency of our services through the development of new technology and continued modifications and expansion at our facilities, invest in new business opportunities and aggressively implement strategic sourcing and logistics solutions in the face of these inflationary pressures, while also continuing to optimize our management and operating structure in an effort to manage our operating margins.</w:t>
      </w:r>
    </w:p>
    <w:p>
      <w:pPr>
        <w:spacing w:after="0" w:line="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400" w:type="dxa"/>
            <w:vAlign w:val="bottom"/>
            <w:gridSpan w:val="4"/>
          </w:tcPr>
          <w:p>
            <w:pPr>
              <w:ind w:left="8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20" w:type="dxa"/>
            <w:vAlign w:val="bottom"/>
            <w:gridSpan w:val="5"/>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1380" w:type="dxa"/>
            <w:vAlign w:val="bottom"/>
            <w:gridSpan w:val="3"/>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3"/>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61"/>
        </w:trPr>
        <w:tc>
          <w:tcPr>
            <w:tcW w:w="200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108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114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Borders>
              <w:top w:val="single" w:sz="8" w:color="auto"/>
            </w:tcBorders>
          </w:tcPr>
          <w:p>
            <w:pPr>
              <w:jc w:val="right"/>
              <w:ind w:right="33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4"/>
                <w:szCs w:val="14"/>
                <w:color w:val="auto"/>
              </w:rPr>
            </w:pPr>
          </w:p>
        </w:tc>
        <w:tc>
          <w:tcPr>
            <w:tcW w:w="114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8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743,659</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487,257</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256,402</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1,428,995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938,512</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490,483</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0" w:type="dxa"/>
            <w:vAlign w:val="bottom"/>
          </w:tcPr>
          <w:p>
            <w:pPr>
              <w:spacing w:after="0"/>
              <w:rPr>
                <w:sz w:val="1"/>
                <w:szCs w:val="1"/>
                <w:color w:val="auto"/>
              </w:rPr>
            </w:pPr>
          </w:p>
        </w:tc>
      </w:tr>
      <w:tr>
        <w:trPr>
          <w:trHeight w:val="23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Environmental Services cost of revenues for the three months ended June 30, 2022 increased $256.4 million from the comparable period in 2021, primarily due to the increase in direct revenues noted above, including additional costs from the HydroChemPSC operations. Cost of revenues as a percentage of direct revenues for the three months ended June 30, 2022 remained relatively consistent with the three months ended June 30, 2021 despite lower COVID-19 decontamination services and higher industrial services which typically operate at a lower margin than our waste disposal focused offerings. Overall, labor and benefit related costs increased $124.8 million, equipment and supply costs increased $61.2 million and external transportation, vehicle and fuel costs increased $51.1 million.</w:t>
      </w:r>
    </w:p>
    <w:p>
      <w:pPr>
        <w:spacing w:after="0" w:line="120"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Environmental Services cost of revenues for the six months ended June 30, 2022 increased $490.5 million from the comparable period in 2021, primarily due to the increase in direct revenues noted above, including additional costs from the HydroChemPSC operations. Cost of revenues as a percentage of direct revenues increased 2.0% from the comparable period in the prior year mainly due to the mix of services, including lower COVID-19 decontamination services and the growth of our industrial services offerings which typically operate at margins lower than our waste disposal focused offerings. Inflationary pressures across several cost categories including labor, transportation, equipment and supply costs have also contributed to the increase of these costs as a percentage of revenues. Overall, labor and benefit related costs increased $234.9 million, equipment and supply costs increased $128.5 million and external transportation, vehicle and fuel related costs increased $91.5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80" w:type="dxa"/>
            <w:vAlign w:val="bottom"/>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5"/>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130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3"/>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61"/>
        </w:trPr>
        <w:tc>
          <w:tcPr>
            <w:tcW w:w="2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110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4"/>
                <w:szCs w:val="14"/>
                <w:color w:val="auto"/>
              </w:rPr>
            </w:pPr>
          </w:p>
        </w:tc>
        <w:tc>
          <w:tcPr>
            <w:tcW w:w="112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Borders>
              <w:top w:val="single" w:sz="8" w:color="auto"/>
            </w:tcBorders>
          </w:tcPr>
          <w:p>
            <w:pPr>
              <w:jc w:val="right"/>
              <w:ind w:right="33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4"/>
                <w:szCs w:val="14"/>
                <w:color w:val="auto"/>
              </w:rPr>
            </w:pPr>
          </w:p>
        </w:tc>
        <w:tc>
          <w:tcPr>
            <w:tcW w:w="112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20" w:type="dxa"/>
            <w:vAlign w:val="bottom"/>
            <w:gridSpan w:val="3"/>
          </w:tcPr>
          <w:p>
            <w:pPr>
              <w:jc w:val="center"/>
              <w:ind w:right="27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1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151,020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123,025</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27,995</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303,037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231,401</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71,636</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r>
        <w:trPr>
          <w:trHeight w:val="234"/>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Safety-Kleen Sustainability Solutions cost of revenues for the three months ended June 30, 2022 increased $28.0 million from the comparable period in 2021. The cost of raw materials used in production of our oil products increased $17.8 million, driven mainly by increased costs to obtain used oil through our used oil collection services. The increase in base oil pricing in the second quarter of 2022 as compared to the same period in 2021 has resulted in a correlating increase in the cost we now pay for used oil feedstock. Increased external transportation, vehicle and fuel costs of $5.1 million also contributed to the overall increase in cost of revenues, with fuel being the largest component of this increase.</w:t>
      </w:r>
    </w:p>
    <w:p>
      <w:pPr>
        <w:spacing w:after="0" w:line="11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Safety-Kleen Sustainability Solutions cost of revenues for the six months ended June 30, 2022 increased $71.6 million from the comparable period in 2021. The cost of raw materials used in production of our oil products increased $49.5 million, more than half of which was due to increased costs to obtain used oil through our used oil collection services. As noted above, the increase in base oil pricing has resulted in a correlating increase in the cost we now pay for used oil feedstock. Other costs that contributed to the overall increase include the cost of external transportation, vehicle and fuel costs which increased $9.6 million and labor and benefit related costs which increased $2.8 million.</w:t>
      </w:r>
    </w:p>
    <w:p>
      <w:pPr>
        <w:spacing w:after="0" w:line="102"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As a percentage of revenues, Safety-Kleen Sustainability Solutions costs of revenues decreased by 3.9% and 2.8% in the three and six months ended June 30, 2022 as compared to the comparable periods in 2021. This margin improvement was largely driven by the increased pricing of our products which outpaced the increase in cost of revenues as the business continued to capitalize on the favorable market conditions and efficient management of the spread between the pricing of products and the rising costs to obtain oil feedstock, including labor and fuel costs, in this inflationary environment.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strive to manage our selling, general and administrative ("SG&amp;A") expenses commensurate with the overall performance of our segments and corresponding revenue levels. We believe our ability to properly align these costs with business performance is reflective of our strong management of the businesses and further promotes our ability to remain competitive in the marketplace.</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500" w:type="dxa"/>
            <w:vAlign w:val="bottom"/>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130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3"/>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62"/>
        </w:trPr>
        <w:tc>
          <w:tcPr>
            <w:tcW w:w="20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108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4"/>
                <w:szCs w:val="14"/>
                <w:color w:val="auto"/>
              </w:rPr>
            </w:pPr>
          </w:p>
        </w:tc>
        <w:tc>
          <w:tcPr>
            <w:tcW w:w="110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top w:val="single" w:sz="8" w:color="auto"/>
            </w:tcBorders>
          </w:tcPr>
          <w:p>
            <w:pPr>
              <w:jc w:val="right"/>
              <w:ind w:right="35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4"/>
                <w:szCs w:val="14"/>
                <w:color w:val="auto"/>
              </w:rPr>
            </w:pPr>
          </w:p>
        </w:tc>
        <w:tc>
          <w:tcPr>
            <w:tcW w:w="112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360" w:type="dxa"/>
            <w:vAlign w:val="bottom"/>
            <w:gridSpan w:val="3"/>
          </w:tcPr>
          <w:p>
            <w:pPr>
              <w:jc w:val="center"/>
              <w:ind w:right="27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77,743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60,799</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16,944</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156,250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123,892</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32,358</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Environmental Services SG&amp;A expenses for the three months ended June 30, 2022 increased $16.9 million from the comparable period in 2021, most predominately due to a $12.9 million increase in labor and benefit related costs. Environmental Services SG&amp;A expenses for the six months ended June 30, 2022 increased $32.4 million from the comparable period in 2021, also due to increased labor and benefit related costs of $23.9 million. Increased costs from the HydroChemPSC business operations drove approximately $12.0 million and $24.2 million of the labor and benefit cost increases, respectively. As a percentage of revenue, the Environmental Services SG&amp;A improved by 1.3% in both the three and six months ended June 30, 2022, driven both by the HydroChemPSC business operations which have lower SG&amp;A expenses when compared to the business's related revenues and overall improved leverage of SG&amp;A in the legacy Environmental Services business. The improved leverage of our SG&amp;A spending significantly contributed to the overall increase in profitability of the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3"/>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61"/>
        </w:trPr>
        <w:tc>
          <w:tcPr>
            <w:tcW w:w="21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108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1100" w:type="dxa"/>
            <w:vAlign w:val="bottom"/>
            <w:tcBorders>
              <w:top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top w:val="single" w:sz="8" w:color="auto"/>
            </w:tcBorders>
          </w:tcPr>
          <w:p>
            <w:pPr>
              <w:jc w:val="right"/>
              <w:ind w:right="35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110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top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340" w:type="dxa"/>
            <w:vAlign w:val="bottom"/>
            <w:gridSpan w:val="3"/>
          </w:tcPr>
          <w:p>
            <w:pPr>
              <w:jc w:val="center"/>
              <w:ind w:right="29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17,460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15,943</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1,517</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35,158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29,402</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5,756</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3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Safety-Kleen Sustainability Solutions SG&amp;A expenses for the three and six months ended June 30, 2022 increased $1.5 million and $5.8 million from the comparable periods in 2021 primarily attributable labor and benefit cost increases of $1.2 million and $4.6 million, respectively. As a percentage of revenue, these costs improved in both the three and six months ended June 30, 2022 when compared to the same periods in the prior year.</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Corporate Items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5"/>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3"/>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108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112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top w:val="single" w:sz="8" w:color="auto"/>
            </w:tcBorders>
          </w:tcPr>
          <w:p>
            <w:pPr>
              <w:jc w:val="right"/>
              <w:ind w:right="33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1120" w:type="dxa"/>
            <w:vAlign w:val="bottom"/>
            <w:tcBorders>
              <w:top w:val="single" w:sz="8" w:color="auto"/>
            </w:tcBorders>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0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60,405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47,364</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13,041</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115,373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92,453</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22,920</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 a % of Total Clean</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Harbors' Direct revenues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manage our Corporate Items SG&amp;A expenses commensurate with the overall total Company performance and direct revenue levels. Generally, as revenues increase, we would expect some increase in these costs. Corporate Items SG&amp;A expenses for the three and six months ended June 30, 2022 increased from the comparable periods in 2021, but decreased in both periods as a percentage of total Clean Harbors' direct revenues which has also contributed to Clean Harbors' overall profitability.</w:t>
      </w:r>
    </w:p>
    <w:p>
      <w:pPr>
        <w:spacing w:after="0" w:line="9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2022, the overall cost increase of $13.0 million included a $6.8 million increase in labor and benefits related costs, including higher stock-based compensation costs and human resource related costs. The higher stock-based compensation costs are primarily driven by the timing of grants in 2022. Overall we expect the stock-based grants in the current year to remain relatively consistent with the prior year. The remaining net increase is spread across various cost categories.</w:t>
      </w:r>
    </w:p>
    <w:p>
      <w:pPr>
        <w:spacing w:after="0" w:line="11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2022, the overall increase of $22.9 million included a $13.3 million increase in labor and benefits related costs, including higher stock-based compensation costs, incentive costs and human resource related costs. Similar to the discussion above, the increase in stock-based compensation is mainly due to the timing of grants in 2022, though we expect the overall grants for 2022 to be relatively consistent with 2021. Both bad debt expense and information technology/cyber-security related technology costs increased $4.0 million, respectively. These increases were partially offset by the $3.0 million breakup fee received related to the termination of the proposed asset acquisition from Vertex Energy, Inc. The remaining net increase is spread across various cost categories.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48"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Management considers Adjusted EBITDA to be a measurement of performance which provides useful information to both management and investors. Adjusted EBITDA should not be considered an alternative to net income or other measurements under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180" w:type="dxa"/>
            <w:vAlign w:val="bottom"/>
          </w:tcPr>
          <w:p>
            <w:pPr>
              <w:spacing w:after="0"/>
              <w:rPr>
                <w:sz w:val="19"/>
                <w:szCs w:val="19"/>
                <w:color w:val="auto"/>
              </w:rPr>
            </w:pPr>
          </w:p>
        </w:tc>
        <w:tc>
          <w:tcPr>
            <w:tcW w:w="118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8"/>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top w:val="single" w:sz="8" w:color="auto"/>
            </w:tcBorders>
            <w:gridSpan w:val="2"/>
          </w:tcPr>
          <w:p>
            <w:pPr>
              <w:ind w:left="440"/>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269,341</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93,300</w:t>
            </w: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53.0 %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452,943</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136,648</w:t>
            </w: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43.2 %</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33,696</w:t>
            </w: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148,887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53,941</w:t>
            </w: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(57,281)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(51,584)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980" w:type="dxa"/>
            <w:vAlign w:val="bottom"/>
            <w:tcBorders>
              <w:bottom w:val="single" w:sz="8" w:color="CCEEFF"/>
            </w:tcBorders>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(112,501)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(94,019)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(18,482)</w:t>
            </w:r>
          </w:p>
        </w:tc>
        <w:tc>
          <w:tcPr>
            <w:tcW w:w="980" w:type="dxa"/>
            <w:vAlign w:val="bottom"/>
            <w:tcBorders>
              <w:bottom w:val="single" w:sz="8" w:color="CCEEFF"/>
            </w:tcBorders>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48"/>
        </w:trPr>
        <w:tc>
          <w:tcPr>
            <w:tcW w:w="3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121,299</w:t>
            </w:r>
          </w:p>
        </w:tc>
        <w:tc>
          <w:tcPr>
            <w:tcW w:w="9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64.6 %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489,329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172,107</w:t>
            </w:r>
          </w:p>
        </w:tc>
        <w:tc>
          <w:tcPr>
            <w:tcW w:w="9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54.3 %</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10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information about our operating performance provided by this financial measure is used by our management for a variety of purposes. We regularly communicate Adjusted EBITDA results to our lenders since our loan covenants are based upon levels of Adjusted EBITDA achieved and to our board of directors and we discuss our interpretation of such results with the board. We also compare our Adjusted EBITDA performance against internal targets as a key factor in determining cash and stock bonus compensation for executives and other employees, largely because we believe that this measure is indicative of how the fundamental business is performing and is being managed.</w:t>
      </w:r>
    </w:p>
    <w:p>
      <w:pPr>
        <w:spacing w:after="0" w:line="1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permits the users of our financial statements to obtain a better understanding of our core operating performance and to evaluate the efficacy of the methodology and information used by management to evaluate and measure such performance on a standalone and a comparative basis.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the following periods (in thousands, except percentages):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380" w:type="dxa"/>
            <w:vAlign w:val="bottom"/>
          </w:tcPr>
          <w:p>
            <w:pPr>
              <w:spacing w:after="0"/>
              <w:rPr>
                <w:sz w:val="18"/>
                <w:szCs w:val="18"/>
                <w:color w:val="auto"/>
              </w:rPr>
            </w:pPr>
          </w:p>
        </w:tc>
        <w:tc>
          <w:tcPr>
            <w:tcW w:w="2900" w:type="dxa"/>
            <w:vAlign w:val="bottom"/>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0" w:type="dxa"/>
            <w:vAlign w:val="bottom"/>
          </w:tcPr>
          <w:p>
            <w:pPr>
              <w:spacing w:after="0"/>
              <w:rPr>
                <w:sz w:val="1"/>
                <w:szCs w:val="1"/>
                <w:color w:val="auto"/>
              </w:rPr>
            </w:pPr>
          </w:p>
        </w:tc>
      </w:tr>
      <w:tr>
        <w:trPr>
          <w:trHeight w:val="219"/>
        </w:trPr>
        <w:tc>
          <w:tcPr>
            <w:tcW w:w="45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148,157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67,075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193,471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88,811</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3,197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5,826</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12,547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6,785</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87,868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71,592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172,166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143,755</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2,708</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36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(8,864)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26,256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18,051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51,273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35,969</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46,886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23,395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64,352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33,368</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309,070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187,771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489,329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317,222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20" w:type="dxa"/>
            <w:vAlign w:val="bottom"/>
          </w:tcPr>
          <w:p>
            <w:pPr>
              <w:spacing w:after="0"/>
              <w:rPr>
                <w:sz w:val="18"/>
                <w:szCs w:val="18"/>
                <w:color w:val="auto"/>
              </w:rPr>
            </w:pPr>
          </w:p>
        </w:tc>
        <w:tc>
          <w:tcPr>
            <w:tcW w:w="204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8"/>
                <w:szCs w:val="18"/>
                <w:color w:val="auto"/>
              </w:rPr>
            </w:pPr>
          </w:p>
        </w:tc>
        <w:tc>
          <w:tcPr>
            <w:tcW w:w="204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61"/>
        </w:trPr>
        <w:tc>
          <w:tcPr>
            <w:tcW w:w="22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top w:val="single" w:sz="8" w:color="auto"/>
            </w:tcBorders>
          </w:tcPr>
          <w:p>
            <w:pPr>
              <w:jc w:val="right"/>
              <w:ind w:right="414"/>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percentages)</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20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Depreciation of fixed assets</w:t>
            </w: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and amortization of landfills</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75,616</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63,828</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18.5 %</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147,674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128,402</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19,272</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finance leases</w:t>
            </w:r>
          </w:p>
        </w:tc>
        <w:tc>
          <w:tcPr>
            <w:tcW w:w="2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Permits and other intangibles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164"/>
        </w:trPr>
        <w:tc>
          <w:tcPr>
            <w:tcW w:w="220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Total depreciation and</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87,868</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71,592</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22.7 %</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172,166</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143,755</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28,411</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27"/>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three and six months ended June 30, 2022 increased by $16.3 million and $28.4 million from the comparable periods in 2021 due to the depreciation and amortization of the HydroChemPSC tangible and intangible assets which were acquired in in the fourth quarter of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Business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8"/>
        </w:trPr>
        <w:tc>
          <w:tcPr>
            <w:tcW w:w="25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vMerge w:val="restart"/>
          </w:tcPr>
          <w:p>
            <w:pPr>
              <w:spacing w:after="0"/>
              <w:rPr>
                <w:sz w:val="13"/>
                <w:szCs w:val="13"/>
                <w:color w:val="auto"/>
              </w:rPr>
            </w:pPr>
          </w:p>
        </w:tc>
        <w:tc>
          <w:tcPr>
            <w:tcW w:w="1080" w:type="dxa"/>
            <w:vAlign w:val="bottom"/>
            <w:tcBorders>
              <w:top w:val="single" w:sz="8" w:color="auto"/>
            </w:tcBorders>
          </w:tcPr>
          <w:p>
            <w:pPr>
              <w:ind w:left="440"/>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top w:val="single" w:sz="8" w:color="auto"/>
            </w:tcBorders>
            <w:vMerge w:val="restart"/>
          </w:tcPr>
          <w:p>
            <w:pPr>
              <w:spacing w:after="0"/>
              <w:rPr>
                <w:sz w:val="13"/>
                <w:szCs w:val="13"/>
                <w:color w:val="auto"/>
              </w:rPr>
            </w:pPr>
          </w:p>
        </w:tc>
        <w:tc>
          <w:tcPr>
            <w:tcW w:w="1060" w:type="dxa"/>
            <w:vAlign w:val="bottom"/>
            <w:tcBorders>
              <w:top w:val="single" w:sz="8" w:color="auto"/>
            </w:tcBorders>
          </w:tcPr>
          <w:p>
            <w:pPr>
              <w:ind w:left="420"/>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3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100.0 %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100.0 %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0" w:firstLine="648"/>
        <w:spacing w:after="0" w:line="242" w:lineRule="auto"/>
        <w:rPr>
          <w:sz w:val="20"/>
          <w:szCs w:val="20"/>
          <w:color w:val="auto"/>
        </w:rPr>
      </w:pPr>
      <w:r>
        <w:rPr>
          <w:rFonts w:ascii="Times New Roman" w:cs="Times New Roman" w:eastAsia="Times New Roman" w:hAnsi="Times New Roman"/>
          <w:sz w:val="18"/>
          <w:szCs w:val="18"/>
          <w:color w:val="auto"/>
        </w:rPr>
        <w:t>During the three and six months ended June 30, 2022, we recorded a $8.9 million gain on the sale of a non-core line of business within our Environmental Services segment. For additional information regarding this gain on sale of business, see Note 5, "Disposition of Business," to the accompanying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5"/>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3"/>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112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Borders>
              <w:top w:val="single" w:sz="8" w:color="auto"/>
            </w:tcBorders>
          </w:tcPr>
          <w:p>
            <w:pPr>
              <w:jc w:val="right"/>
              <w:ind w:right="31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4"/>
                <w:szCs w:val="14"/>
                <w:color w:val="auto"/>
              </w:rPr>
            </w:pPr>
          </w:p>
        </w:tc>
        <w:tc>
          <w:tcPr>
            <w:tcW w:w="114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top w:val="single" w:sz="8" w:color="auto"/>
            </w:tcBorders>
          </w:tcPr>
          <w:p>
            <w:pPr>
              <w:jc w:val="right"/>
              <w:ind w:right="35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00" w:type="dxa"/>
            <w:vAlign w:val="bottom"/>
            <w:gridSpan w:val="3"/>
          </w:tcPr>
          <w:p>
            <w:pPr>
              <w:jc w:val="center"/>
              <w:ind w:right="27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24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   $</w:t>
            </w:r>
          </w:p>
        </w:tc>
        <w:tc>
          <w:tcPr>
            <w:tcW w:w="8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46,886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23,395</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23,491</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64,352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33,368</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30,984</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92.9 %</w:t>
            </w:r>
          </w:p>
        </w:tc>
        <w:tc>
          <w:tcPr>
            <w:tcW w:w="0" w:type="dxa"/>
            <w:vAlign w:val="bottom"/>
          </w:tcPr>
          <w:p>
            <w:pPr>
              <w:spacing w:after="0"/>
              <w:rPr>
                <w:sz w:val="1"/>
                <w:szCs w:val="1"/>
                <w:color w:val="auto"/>
              </w:rPr>
            </w:pPr>
          </w:p>
        </w:tc>
      </w:tr>
      <w:tr>
        <w:trPr>
          <w:trHeight w:val="234"/>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provision for income taxes for the three and six months ended June 30, 2022 increased $23.5 million and $31.0 million from the comparable periods in 2021, due to an increase in income before provision for income taxes. Our effective tax rates for the three and six months ended June 30, 2022 decreased 1.9% and 2.3%, respectively, when compared to the three and six months ended June 30, 2021. The decrease in our effective tax rate is largely due to the utilization of previous unbenefited losses in certain of our Canadian entities.</w:t>
      </w:r>
    </w:p>
    <w:p>
      <w:pPr>
        <w:spacing w:after="0" w:line="9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recent periods, certain Canadian entities which have historically generated net operating losses and for which we have recognized valuation allowances, have been operating at a profit. This recent profitability and associated utilization of previous unbenefited losses is due to operational improvements and tax strategies as well as government subsidies and the gain on sale of a line of business. As of June 30, 2022, we do not yet believe that sufficient positive evidence exists to support that this return to profitability will continue for a sustained period. We will continue to evaluate this on an ongoing basis to determine when, if at all, to release some or all of the associated remaining valuation allowances.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4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We monitor our actual needs and forecasted cash flows, our liquidity and our capital resources, enabling us to plan our present needs and fund items that may arise during the year as a result of changing business conditions or opportunities. Furthermore, our existing cash balance and the availability of additional borrowings under our revolving credit facility provide additional potential sources of liquidity should they be required.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gridSpan w:val="3"/>
          </w:tcPr>
          <w:p>
            <w:pPr>
              <w:jc w:val="center"/>
              <w:ind w:left="61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100" w:type="dxa"/>
            <w:vAlign w:val="bottom"/>
          </w:tcPr>
          <w:p>
            <w:pPr>
              <w:spacing w:after="0"/>
              <w:rPr>
                <w:sz w:val="18"/>
                <w:szCs w:val="18"/>
                <w:color w:val="auto"/>
              </w:rPr>
            </w:pPr>
          </w:p>
        </w:tc>
      </w:tr>
      <w:tr>
        <w:trPr>
          <w:trHeight w:val="216"/>
        </w:trPr>
        <w:tc>
          <w:tcPr>
            <w:tcW w:w="76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center"/>
              <w:ind w:left="59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r>
      <w:tr>
        <w:trPr>
          <w:trHeight w:val="214"/>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131,970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265,432</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(187,482)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(132,340)</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(60,534)</w:t>
            </w: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from operating activities</w:t>
      </w:r>
    </w:p>
    <w:p>
      <w:pPr>
        <w:spacing w:after="0" w:line="14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cash from operating activities for the six months ended June 30, 2022 was $132.0 million as compared to $265.4 million in the comparable period of 2021. The decrease in operating cash flows from the comparable period of 2021 was attributable to an increase in working capital caused by the significant growth in the business, and higher incentive compensation and interest payments in the first six months of 2022, partially offset by greater levels of operating income.</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60"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2022 was $187.5 million, an increase of $55.1 million from the comparable period in 2021. The increase in net cash used in investing activities as compared to the same prior year period was primarily due to a $56.1 million increase in additions to property, plant and equipment, inclusive of $13.5 million of capital spending for our new incinerator construction in Kimball, Nebraska and a $45.8 million increase in acquisitions, net of cash acquired. These increases were partially offset by a $28.8 million cash increase related to the timing of transactions within our wholly owned captive insurance company and a $17.5 million cash inflow from the disposition of a line of business.</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6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2022 was $51.4 million, as compared to $60.5 million in the comparable period in 2021. This decrease of $9.1 million was primarily due to an $11.7 million decrease in repurchases of common stock during the first six months of 2022 partially offset by a $5.0 million increase in debt principal payments required by the new term loans executed in the fourth quarter of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4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Management considers adjusted free cash flow to be a measure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excluding cash impacts of items derived from non-operating activities, such as taxes paid in connection with divestitures, less additions to property, plant and equipment plus proceeds from sales or disposals of fixed assets. Adjusted free cash flow is not calculated identically by all companies, and therefore our measurements of adjusted free cash flow may not be comparable to similarly titled measures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from net cash from operating activities to adjusted free cash flow for the following periods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8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265,432</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(91,988)</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and disposal of fixed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176,923</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Capital Resources</w:t>
      </w:r>
    </w:p>
    <w:p>
      <w:pPr>
        <w:spacing w:after="0" w:line="14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At June 30, 2022, cash and cash equivalents and marketable securities totaled $415.4 million, compared to $534.3 million at December 31, 2021. At June 30, 2022, cash and cash equivalents held by our foreign subsidiaries totaled $52.3 million. The cash and cash equivalents and marketable securities balance for our U.S. operations was $363.1 million at June 30, 2022. Our U.S. operations had net operating cash inflows of $139.6 million for the six months ended June 30, 2022.</w:t>
      </w:r>
    </w:p>
    <w:p>
      <w:pPr>
        <w:spacing w:after="0" w:line="11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also maintain a $400.0 million revolving credit facility of which, as of June 30, 2022, approximately $290.6 million was available to borrow and letters of credit under the credit facility in the amount of $109.4 million were outstanding.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Capital Requirements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6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Capital expenditures during the first six months of 2022 were $148.0 million as compared to $92.0 million during the six months of 2021. We anticipate that 2022 capital spending, net of disposals, will be in the range of $320.0 million to $340.0 million. This includes approximately $45.0 million to $50.0 million of capital spending for our new incinerator construction in Kimball, Nebraska, of which $13.5 million has been spent during the first six months of 2022.</w:t>
      </w:r>
    </w:p>
    <w:p>
      <w:pPr>
        <w:spacing w:after="0" w:line="11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always, unanticipated changes in environmental regulations could require us to make significant capital expenditures for our facilities and could adversely affect our results of operations and cash flow.</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46"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As of June 30, 2022, our financing arrangements include (i) $715.9 million of senior secured term loans due 2024, (ii) $545.0 million of 4.875% senior unsecured notes due 2027, (iii) $995.0 million of senior secured term loans due 2028 and (iv) $300.0 million of 5.125% senior unsecured notes due 2029. We also maintain our $400.0 million revolving credit facility. As of June 30, 2022, under the revolving credit facility, we had no outstanding loan balance, $290.6 million available to borrow and outstanding letters of credit of $109.4 million. 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w:t>
      </w:r>
    </w:p>
    <w:p>
      <w:pPr>
        <w:spacing w:after="0" w:line="11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material terms of these arrangements are discussed further in Note 12, “Financing Arrangements,” to our consolidated financial statements included in Item 8 of this report.</w:t>
      </w:r>
    </w:p>
    <w:p>
      <w:pPr>
        <w:spacing w:after="0" w:line="94"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2021, we were in compliance with the covenants of all of our debt agreements, and we believe we will continue to meet such covenants.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Common Stock Repurchases Pursuant to Publicly Announced Plan</w:t>
      </w:r>
    </w:p>
    <w:p>
      <w:pPr>
        <w:spacing w:after="0" w:line="16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Company's common stock repurchases are made pursuant to the previously authorized board approved plan to repurchase up to $600.0 million of the Company's common stock. During the three and six months ended June 30, 2022, the Company repurchased and retired a total of approximately 0.3 million and 0.4 million shares of the Company's common stock, respectively, for total expenditures of approximately $30.0 million and $33.7 million, respectively. During the three and six months ended June 30, 2021, the Company repurchased and retired a total of approximately 0.2 million and 0.5 million shares of the Company's common stock, respectively, for total expenditures of approximately $18.9 million and $45.4 million, respectively.</w:t>
      </w:r>
    </w:p>
    <w:p>
      <w:pPr>
        <w:spacing w:after="0" w:line="12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Through June 30, 2022, the Company has repurchased and retired a total of approximately 8.0 million shares of its common stock for approximately $478.3 million under this program. As of June 30, 2022, an additional $121.7 million remained available for repurchase of shares under this program.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84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9"/>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Remedial liabilities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123,656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10.5</w:t>
            </w: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Total environmental liabilities as of June 30, 2022 were $226.7 million, an increase of $15.7 million compared to December 31, 2021, primarily due to new liabilities, including those assumed in acquisition, of $14.7 million and accretion of $6.4 million, partially offset by expenditures of $7.0 million. The majority of the new liabilities relate to a real estate acquisition in 2022 for which we are assuming a remedial liability. The remedial liability was contemplated when arriving at the amount paid to acquire the property.</w:t>
      </w:r>
    </w:p>
    <w:p>
      <w:pPr>
        <w:spacing w:after="0" w:line="11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w:t>
      </w:r>
    </w:p>
    <w:p>
      <w:pPr>
        <w:spacing w:after="0" w:line="9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Events not anticipated (such as future changes in environmental laws and regulations) could require that payments to satisfy our environmental liabilities be made earlier or in greater amounts than currently anticipated, which could adversely affect our results of operations, cash flow and financial condition. Conversely, the development of new treatment technologies or other circumstances may arise in the future which may reduce amounts ultimately paid.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Other than as described below, there were no material changes in the first six months of 2022 to the information provided under the heading “Critical Accounting Policies and Estimates” included in our Annual Report on Form 10-K for the year ended December 31, 2021.</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8"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the first six months of 2022 to the information provided under Item 7A. “Quantitative and Qualitative Disclosures about Market Risk” in the Company's Annual Report on Form 10-K for the year ended December 31, 2021.</w:t>
      </w:r>
    </w:p>
    <w:p>
      <w:pPr>
        <w:spacing w:after="0" w:line="9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8"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Chief Executive Officer and Chief Financial Officer, as of the end of the period covered by this Quarterly Report on Form 10-Q, our Chief Executive Officer and Chief Financial Officer have concluded that our disclosure controls and procedures (as defined under Rule 13a-15(e) and 15d-15(e) under the Securities Exchange Act of 1934, as amended (the “Exchange Act”)) were effective as of June 30, 2022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 (d) of Exchange Act Rules 13a-15 or 15d-15 that was conducted during the six months ended June 30,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6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See Note 17, “Commitments and Contingencies,” to the unaudited consolidated financial statements included in Item 1 of this report, which description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from the information provided in Item 1A. in the Company's Annual Report on Form 10-K for the year ended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 Program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repurchased by us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 Shares that May Yet Be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52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4"/>
                <w:szCs w:val="14"/>
                <w:color w:val="auto"/>
              </w:rPr>
            </w:pPr>
          </w:p>
        </w:tc>
        <w:tc>
          <w:tcPr>
            <w:tcW w:w="1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w:t>
            </w:r>
          </w:p>
        </w:tc>
        <w:tc>
          <w:tcPr>
            <w:tcW w:w="0" w:type="dxa"/>
            <w:vAlign w:val="bottom"/>
          </w:tcPr>
          <w:p>
            <w:pPr>
              <w:spacing w:after="0"/>
              <w:rPr>
                <w:sz w:val="1"/>
                <w:szCs w:val="1"/>
                <w:color w:val="auto"/>
              </w:rPr>
            </w:pPr>
          </w:p>
        </w:tc>
      </w:tr>
      <w:tr>
        <w:trPr>
          <w:trHeight w:val="162"/>
        </w:trPr>
        <w:tc>
          <w:tcPr>
            <w:tcW w:w="4080" w:type="dxa"/>
            <w:vAlign w:val="bottom"/>
            <w:vMerge w:val="restart"/>
          </w:tcPr>
          <w:p>
            <w:pPr>
              <w:ind w:left="18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ind w:right="194"/>
              <w:spacing w:after="0" w:line="162" w:lineRule="exact"/>
              <w:rPr>
                <w:sz w:val="20"/>
                <w:szCs w:val="20"/>
                <w:color w:val="auto"/>
              </w:rPr>
            </w:pPr>
            <w:r>
              <w:rPr>
                <w:rFonts w:ascii="Times New Roman" w:cs="Times New Roman" w:eastAsia="Times New Roman" w:hAnsi="Times New Roman"/>
                <w:sz w:val="16"/>
                <w:szCs w:val="16"/>
                <w:b w:val="1"/>
                <w:bCs w:val="1"/>
                <w:color w:val="auto"/>
              </w:rPr>
              <w:t>or Programs</w:t>
            </w:r>
          </w:p>
        </w:tc>
        <w:tc>
          <w:tcPr>
            <w:tcW w:w="0" w:type="dxa"/>
            <w:vAlign w:val="bottom"/>
          </w:tcPr>
          <w:p>
            <w:pPr>
              <w:spacing w:after="0"/>
              <w:rPr>
                <w:sz w:val="1"/>
                <w:szCs w:val="1"/>
                <w:color w:val="auto"/>
              </w:rPr>
            </w:pPr>
          </w:p>
        </w:tc>
      </w:tr>
      <w:tr>
        <w:trPr>
          <w:trHeight w:val="216"/>
        </w:trPr>
        <w:tc>
          <w:tcPr>
            <w:tcW w:w="4080" w:type="dxa"/>
            <w:vAlign w:val="bottom"/>
            <w:vMerge w:val="continue"/>
          </w:tcPr>
          <w:p>
            <w:pPr>
              <w:spacing w:after="0"/>
              <w:rPr>
                <w:sz w:val="18"/>
                <w:szCs w:val="18"/>
                <w:color w:val="auto"/>
              </w:rPr>
            </w:pPr>
          </w:p>
        </w:tc>
        <w:tc>
          <w:tcPr>
            <w:tcW w:w="1520" w:type="dxa"/>
            <w:vAlign w:val="bottom"/>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 </w:t>
            </w:r>
            <w:r>
              <w:rPr>
                <w:rFonts w:ascii="Times New Roman" w:cs="Times New Roman" w:eastAsia="Times New Roman" w:hAnsi="Times New Roman"/>
                <w:sz w:val="21"/>
                <w:szCs w:val="21"/>
                <w:color w:val="auto"/>
                <w:vertAlign w:val="superscript"/>
              </w:rPr>
              <w:t>(2)</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ind w:right="194"/>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(in thousands) </w:t>
            </w:r>
            <w:r>
              <w:rPr>
                <w:rFonts w:ascii="Times New Roman" w:cs="Times New Roman" w:eastAsia="Times New Roman" w:hAnsi="Times New Roman"/>
                <w:sz w:val="21"/>
                <w:szCs w:val="21"/>
                <w:color w:val="auto"/>
                <w:w w:val="98"/>
                <w:vertAlign w:val="superscript"/>
              </w:rPr>
              <w:t>(3)</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2022 through April 30,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151,748</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2022 through May 31, 2022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135,093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2022 through June 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121,748</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90.04</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58" w:lineRule="exact"/>
        <w:rPr>
          <w:sz w:val="20"/>
          <w:szCs w:val="20"/>
          <w:color w:val="auto"/>
        </w:rPr>
      </w:pPr>
    </w:p>
    <w:p>
      <w:pPr>
        <w:ind w:left="660" w:right="740" w:hanging="328"/>
        <w:spacing w:after="0" w:line="261" w:lineRule="auto"/>
        <w:tabs>
          <w:tab w:leader="none" w:pos="7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6,573 shares withheld by us from employees to satisfy employee tax obligations upon vesting of restricted stock granted to our employees under the Company's equity incentive plans.</w:t>
      </w:r>
    </w:p>
    <w:p>
      <w:pPr>
        <w:ind w:left="720" w:hanging="388"/>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of common stock repurchased under the stock repurchase program includes the commissions paid to brokers.</w:t>
      </w:r>
    </w:p>
    <w:p>
      <w:pPr>
        <w:spacing w:after="0" w:line="9" w:lineRule="exact"/>
        <w:rPr>
          <w:rFonts w:ascii="Times New Roman" w:cs="Times New Roman" w:eastAsia="Times New Roman" w:hAnsi="Times New Roman"/>
          <w:sz w:val="18"/>
          <w:szCs w:val="18"/>
          <w:color w:val="auto"/>
        </w:rPr>
      </w:pPr>
    </w:p>
    <w:p>
      <w:pPr>
        <w:ind w:left="660" w:hanging="328"/>
        <w:spacing w:after="0" w:line="251" w:lineRule="auto"/>
        <w:tabs>
          <w:tab w:leader="none" w:pos="7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authorized the repurchase of up to $600.0 million of our common stock.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We maintain a repurchase plan in accordance with Rule 10b5-1 promulgated under the Securities Exchange Act of 1934, as amended. During the three months ended June 30, 2022, no shares were repurchased under the Rule 10b5-1 plan. Future repurchases may be made as open market or privately negotiated transactions as described above. We have no obligation to repurchase stock under this program and may suspend or terminate the repurchase program at any time.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00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480" w:type="dxa"/>
            <w:vAlign w:val="bottom"/>
          </w:tcPr>
          <w:p>
            <w:pPr>
              <w:spacing w:after="0"/>
              <w:rPr>
                <w:sz w:val="20"/>
                <w:szCs w:val="20"/>
                <w:color w:val="auto"/>
              </w:rPr>
            </w:pPr>
          </w:p>
        </w:tc>
      </w:tr>
      <w:tr>
        <w:trPr>
          <w:trHeight w:val="341"/>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600" w:type="dxa"/>
            <w:vAlign w:val="bottom"/>
            <w:gridSpan w:val="4"/>
          </w:tcPr>
          <w:p>
            <w:pPr>
              <w:ind w:left="1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23"/>
        </w:trPr>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3"/>
        </w:trPr>
        <w:tc>
          <w:tcPr>
            <w:tcW w:w="760" w:type="dxa"/>
            <w:vAlign w:val="bottom"/>
          </w:tcPr>
          <w:p>
            <w:pPr>
              <w:jc w:val="center"/>
              <w:ind w:left="113"/>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tcBorders>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Rule 13a-14a/15d-14(a) Certification of the CEO Alan S. McKim</w:t>
            </w:r>
          </w:p>
        </w:tc>
        <w:tc>
          <w:tcPr>
            <w:tcW w:w="36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63"/>
        </w:trPr>
        <w:tc>
          <w:tcPr>
            <w:tcW w:w="76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the CFO Michael L. Battles</w:t>
            </w:r>
          </w:p>
        </w:tc>
        <w:tc>
          <w:tcPr>
            <w:tcW w:w="3660" w:type="dxa"/>
            <w:vAlign w:val="bottom"/>
            <w:gridSpan w:val="2"/>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64"/>
        </w:trPr>
        <w:tc>
          <w:tcPr>
            <w:tcW w:w="7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32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 Certifications</w:t>
            </w:r>
          </w:p>
        </w:tc>
        <w:tc>
          <w:tcPr>
            <w:tcW w:w="6600" w:type="dxa"/>
            <w:vAlign w:val="bottom"/>
            <w:gridSpan w:val="4"/>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59"/>
        </w:trPr>
        <w:tc>
          <w:tcPr>
            <w:tcW w:w="7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6"/>
              </w:rPr>
              <w:t>101</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 Financial statements from the quarterly report 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8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auto"/>
              </w:rPr>
              <w:t>Form 10-Q of Clean Harbors, Inc. for the quarterly period ended June 30, 2022, formatted in iXBRL (Inline</w:t>
            </w:r>
          </w:p>
        </w:tc>
        <w:tc>
          <w:tcPr>
            <w:tcW w:w="1480" w:type="dxa"/>
            <w:vAlign w:val="bottom"/>
          </w:tcPr>
          <w:p>
            <w:pPr>
              <w:spacing w:after="0"/>
              <w:rPr>
                <w:sz w:val="17"/>
                <w:szCs w:val="17"/>
                <w:color w:val="auto"/>
              </w:rPr>
            </w:pPr>
          </w:p>
        </w:tc>
      </w:tr>
    </w:tbl>
    <w:p>
      <w:pPr>
        <w:ind w:left="1180" w:right="2160"/>
        <w:spacing w:after="0" w:line="223" w:lineRule="auto"/>
        <w:rPr>
          <w:sz w:val="20"/>
          <w:szCs w:val="20"/>
          <w:color w:val="auto"/>
        </w:rPr>
      </w:pPr>
      <w:r>
        <w:rPr>
          <w:rFonts w:ascii="Times New Roman" w:cs="Times New Roman" w:eastAsia="Times New Roman" w:hAnsi="Times New Roman"/>
          <w:sz w:val="17"/>
          <w:szCs w:val="17"/>
          <w:color w:val="auto"/>
        </w:rPr>
        <w:t>eXtensible Business Reporting Language): (i) Consolidated Balance Sheets, (ii) Unaudited Consolidated Statements of Operations, (iii) Unaudited Consolidated Statements of Comprehensive Income, (iv) Unaudited</w:t>
      </w:r>
    </w:p>
    <w:p>
      <w:pPr>
        <w:spacing w:after="0" w:line="1" w:lineRule="exact"/>
        <w:rPr>
          <w:sz w:val="20"/>
          <w:szCs w:val="20"/>
          <w:color w:val="auto"/>
        </w:rPr>
      </w:pPr>
    </w:p>
    <w:p>
      <w:pPr>
        <w:ind w:left="1180" w:right="2200"/>
        <w:spacing w:after="0" w:line="226" w:lineRule="auto"/>
        <w:rPr>
          <w:sz w:val="20"/>
          <w:szCs w:val="20"/>
          <w:color w:val="auto"/>
        </w:rPr>
      </w:pPr>
      <w:r>
        <w:rPr>
          <w:rFonts w:ascii="Times New Roman" w:cs="Times New Roman" w:eastAsia="Times New Roman" w:hAnsi="Times New Roman"/>
          <w:sz w:val="18"/>
          <w:szCs w:val="18"/>
          <w:color w:val="auto"/>
        </w:rPr>
        <w:t>Consolidated Statements of Cash Flows, (v) Unaudited Consolidated Statements of Stockholders’ Equity and (vi) Notes to Unaudited Consolidated Financial Statements.</w:t>
      </w:r>
    </w:p>
    <w:p>
      <w:pPr>
        <w:spacing w:after="0" w:line="49" w:lineRule="exact"/>
        <w:rPr>
          <w:sz w:val="20"/>
          <w:szCs w:val="20"/>
          <w:color w:val="auto"/>
        </w:rPr>
      </w:pPr>
    </w:p>
    <w:p>
      <w:pPr>
        <w:ind w:left="1180" w:right="1800" w:hanging="841"/>
        <w:spacing w:after="0" w:line="250" w:lineRule="auto"/>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quarterly period ended June 30, 2022, formatted in iXBRL and contained in Exhibit 101.</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44" w:lineRule="exact"/>
        <w:rPr>
          <w:sz w:val="20"/>
          <w:szCs w:val="20"/>
          <w:color w:val="auto"/>
        </w:rPr>
      </w:pPr>
    </w:p>
    <w:p>
      <w:pPr>
        <w:ind w:left="660" w:right="380" w:hanging="490"/>
        <w:spacing w:after="0" w:line="266" w:lineRule="auto"/>
        <w:tabs>
          <w:tab w:leader="none" w:pos="4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are furnished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20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CLEAN HARBORS, INC.</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Registrant</w:t>
      </w:r>
    </w:p>
    <w:p>
      <w:pPr>
        <w:spacing w:after="0" w:line="72" w:lineRule="exact"/>
        <w:rPr>
          <w:sz w:val="20"/>
          <w:szCs w:val="20"/>
          <w:color w:val="auto"/>
        </w:rPr>
      </w:pPr>
    </w:p>
    <w:p>
      <w:pPr>
        <w:ind w:left="5760"/>
        <w:spacing w:after="0"/>
        <w:tabs>
          <w:tab w:leader="none" w:pos="7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Alan S. McKim</w:t>
      </w:r>
    </w:p>
    <w:p>
      <w:pPr>
        <w:spacing w:after="0" w:line="3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7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August 3, 2022</w:t>
      </w:r>
    </w:p>
    <w:p>
      <w:pPr>
        <w:spacing w:after="0" w:line="77" w:lineRule="exact"/>
        <w:rPr>
          <w:sz w:val="20"/>
          <w:szCs w:val="20"/>
          <w:color w:val="auto"/>
        </w:rPr>
      </w:pPr>
    </w:p>
    <w:p>
      <w:pPr>
        <w:ind w:left="5760"/>
        <w:spacing w:after="0"/>
        <w:tabs>
          <w:tab w:leader="none" w:pos="7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pacing w:after="0" w:line="83"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August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660"/>
          </w:cols>
          <w:pgMar w:left="320" w:top="121" w:right="91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S. McKim, certify that:</w:t>
      </w:r>
    </w:p>
    <w:p>
      <w:pPr>
        <w:spacing w:after="0" w:line="252" w:lineRule="exact"/>
        <w:rPr>
          <w:sz w:val="20"/>
          <w:szCs w:val="20"/>
          <w:color w:val="auto"/>
        </w:rPr>
      </w:pPr>
    </w:p>
    <w:p>
      <w:pPr>
        <w:ind w:left="200" w:hanging="192"/>
        <w:spacing w:after="0"/>
        <w:tabs>
          <w:tab w:leader="none" w:pos="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73" w:lineRule="auto"/>
        <w:tabs>
          <w:tab w:leader="none" w:pos="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Alan S. McKim</w:t>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i w:val="1"/>
          <w:iCs w:val="1"/>
          <w:color w:val="auto"/>
        </w:rPr>
        <w:t>Chairman, President and Chief Executive Officer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 2022</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 Battles, certify that:</w:t>
      </w:r>
    </w:p>
    <w:p>
      <w:pPr>
        <w:spacing w:after="0" w:line="252" w:lineRule="exact"/>
        <w:rPr>
          <w:sz w:val="20"/>
          <w:szCs w:val="20"/>
          <w:color w:val="auto"/>
        </w:rPr>
      </w:pPr>
    </w:p>
    <w:p>
      <w:pPr>
        <w:ind w:left="200" w:hanging="192"/>
        <w:spacing w:after="0"/>
        <w:tabs>
          <w:tab w:leader="none" w:pos="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73" w:lineRule="auto"/>
        <w:tabs>
          <w:tab w:leader="none" w:pos="2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 2022</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3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Pursuant to 18 U.S.C. §1350, each of the undersigned certifies that, to his knowledge, this Quarterly Report on Form 10-Q for the period ended June 30, 2022 fully complies with the requirements of Section 13(a) or 15(d) of the Securities Exchange Act of 1934 and the information contained in this report fairly presents, in all material respects, the financial condition and results of operations of Clean Harbors, Inc.</w:t>
      </w:r>
    </w:p>
    <w:p>
      <w:pPr>
        <w:ind w:left="592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97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2"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Alan S. McKim</w:t>
      </w:r>
    </w:p>
    <w:p>
      <w:pPr>
        <w:spacing w:after="0" w:line="31"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2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Date: August 3, 2022</w:t>
      </w:r>
    </w:p>
    <w:p>
      <w:pPr>
        <w:spacing w:after="0" w:line="252" w:lineRule="exact"/>
        <w:rPr>
          <w:sz w:val="20"/>
          <w:szCs w:val="20"/>
          <w:color w:val="auto"/>
        </w:rPr>
      </w:pPr>
    </w:p>
    <w:p>
      <w:pPr>
        <w:ind w:left="5920"/>
        <w:spacing w:after="0"/>
        <w:tabs>
          <w:tab w:leader="none" w:pos="7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972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2"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Date: August 3,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lowerRoman"/>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2"/>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04"/>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5"/>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5"/>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2022-08-03T09:30:39Z</dcterms:created>
  <dcterms:modified xsi:type="dcterms:W3CDTF">2022-08-03T09:30:39Z</dcterms:modified>
</cp:coreProperties>
</file>