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32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July 26, 2024 was 53,972,593.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106,101</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$50,639 and $42,209,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2,052,219</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187,060</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602,797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2,499,239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2,137,332</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451,806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1,037,537</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$15,813 and $13,556,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$16,141 and $13,358, 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97,885</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131,743</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3,633,587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3,097,826</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53,930,201 and 53,929,703 shares,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459,728</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1,962,578</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7,136,948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2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3"/>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1,288,370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2,212,323</w:t>
            </w:r>
          </w:p>
        </w:tc>
      </w:tr>
      <w:tr>
        <w:trPr>
          <w:trHeight w:val="230"/>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492,964</w:t>
            </w: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2,705,287</w:t>
            </w:r>
          </w:p>
        </w:tc>
      </w:tr>
      <w:tr>
        <w:trPr>
          <w:trHeight w:val="21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1,523,195</w:t>
            </w:r>
          </w:p>
        </w:tc>
      </w:tr>
      <w:tr>
        <w:trPr>
          <w:trHeight w:val="229"/>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355,831</w:t>
            </w:r>
          </w:p>
        </w:tc>
      </w:tr>
      <w:tr>
        <w:trPr>
          <w:trHeight w:val="223"/>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2,006,612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1,879,026</w:t>
            </w:r>
          </w:p>
        </w:tc>
      </w:tr>
      <w:tr>
        <w:trPr>
          <w:trHeight w:val="22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334,135</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310,778</w:t>
            </w: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3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175"/>
        </w:trPr>
        <w:tc>
          <w:tcPr>
            <w:tcW w:w="60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$4,352, $2,001, $7,866, and $4,956,</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256,545</w:t>
            </w: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68,378</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188,167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606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53,932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54,092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53,931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54,084</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188,167</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fair value of interest rate hedges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175"/>
        </w:trPr>
        <w:tc>
          <w:tcPr>
            <w:tcW w:w="592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r>
      <w:tr>
        <w:trPr>
          <w:trHeight w:val="229"/>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r>
      <w:tr>
        <w:trPr>
          <w:trHeight w:val="230"/>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r>
      <w:tr>
        <w:trPr>
          <w:trHeight w:val="223"/>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189,382</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03"/>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7"/>
                <w:szCs w:val="17"/>
                <w:color w:val="auto"/>
              </w:rPr>
            </w:pP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203,112</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188,167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174,455</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10,518</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(16,323)</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(22,749)</w:t>
            </w:r>
          </w:p>
        </w:tc>
      </w:tr>
      <w:tr>
        <w:trPr>
          <w:trHeight w:val="213"/>
        </w:trPr>
        <w:tc>
          <w:tcPr>
            <w:tcW w:w="8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(78,139)</w:t>
            </w:r>
          </w:p>
        </w:tc>
      </w:tr>
      <w:tr>
        <w:trPr>
          <w:trHeight w:val="219"/>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(27,966)</w:t>
            </w:r>
          </w:p>
        </w:tc>
      </w:tr>
      <w:tr>
        <w:trPr>
          <w:trHeight w:val="207"/>
        </w:trPr>
        <w:tc>
          <w:tcPr>
            <w:tcW w:w="8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234,594</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235,573</w:t>
            </w:r>
          </w:p>
        </w:tc>
      </w:tr>
      <w:tr>
        <w:trPr>
          <w:trHeight w:val="19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(204,298)</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(74,451)</w:t>
            </w:r>
          </w:p>
        </w:tc>
      </w:tr>
      <w:tr>
        <w:trPr>
          <w:trHeight w:val="213"/>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71,695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50,290</w:t>
            </w:r>
          </w:p>
        </w:tc>
      </w:tr>
      <w:tr>
        <w:trPr>
          <w:trHeight w:val="212"/>
        </w:trPr>
        <w:tc>
          <w:tcPr>
            <w:tcW w:w="8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(730,670)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(347,265)</w:t>
            </w:r>
          </w:p>
        </w:tc>
      </w:tr>
      <w:tr>
        <w:trPr>
          <w:trHeight w:val="19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(8,001)</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(618,975)</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r>
      <w:tr>
        <w:trPr>
          <w:trHeight w:val="207"/>
        </w:trPr>
        <w:tc>
          <w:tcPr>
            <w:tcW w:w="8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455,503</w:t>
            </w:r>
          </w:p>
        </w:tc>
        <w:tc>
          <w:tcPr>
            <w:tcW w:w="1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(142,853)</w:t>
            </w:r>
          </w:p>
        </w:tc>
      </w:tr>
      <w:tr>
        <w:trPr>
          <w:trHeight w:val="21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07"/>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(253,827)</w:t>
            </w:r>
          </w:p>
        </w:tc>
      </w:tr>
      <w:tr>
        <w:trPr>
          <w:trHeight w:val="21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r>
      <w:tr>
        <w:trPr>
          <w:trHeight w:val="212"/>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401,992</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238,776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49,257</w:t>
            </w: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92,494</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26,427</w:t>
            </w:r>
          </w:p>
        </w:tc>
      </w:tr>
      <w:tr>
        <w:trPr>
          <w:trHeight w:val="21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38,474</w:t>
            </w:r>
          </w:p>
        </w:tc>
      </w:tr>
      <w:tr>
        <w:trPr>
          <w:trHeight w:val="210"/>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13,992</w:t>
            </w:r>
          </w:p>
        </w:tc>
      </w:tr>
    </w:tbl>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0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2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2,311,337</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2,441,721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3740" w:type="dxa"/>
            <w:vAlign w:val="bottom"/>
          </w:tcPr>
          <w:p>
            <w:pPr>
              <w:spacing w:after="0"/>
              <w:rPr>
                <w:sz w:val="24"/>
                <w:szCs w:val="24"/>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1,980,044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184"/>
        </w:trPr>
        <w:tc>
          <w:tcPr>
            <w:tcW w:w="37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2,109,886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2023.</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w:t>
      </w:r>
      <w:r>
        <w:rPr>
          <w:rFonts w:ascii="Times New Roman" w:cs="Times New Roman" w:eastAsia="Times New Roman" w:hAnsi="Times New Roman"/>
          <w:sz w:val="18"/>
          <w:szCs w:val="18"/>
          <w:i w:val="1"/>
          <w:iCs w:val="1"/>
          <w:color w:val="auto"/>
        </w:rPr>
        <w:t>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an enhanced disclosure of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This guidance will be effective for the Company’s annual period beginning January 1, 2024, and for interim periods beginning January 1, 2025. Early adoption is permitted. Upon adoption, the guidance should be applied retrospectively to all prior periods presented in the financial statements. The requirements of this ASU are disclosure related and will not have an impact on the Company’s financial condition, results of operations, or cash flows. The Company is currently evaluating the impact of adopting this ASU on its reportable segment disclosures.</w:t>
      </w:r>
    </w:p>
    <w:p>
      <w:pPr>
        <w:spacing w:after="0" w:line="2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requirements of this ASU are disclosure related and will not have an impact on the Company’s financial condition, results of operations, or cash flows. The Company is currently evaluating the impact of adopting this ASU on its income tax disclosures.</w:t>
      </w:r>
    </w:p>
    <w:p>
      <w:pPr>
        <w:spacing w:after="0" w:line="21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the final rule under SEC Release No. 33-11275,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rules require disclosure of, among other things: material climate-related risks; activities to mitigate or adapt to such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and management of such risks; and material Scope 1 and Scope 2 greenhouse gas emissions. Additionally, the rules require disclosure in the notes to the financial statements of the effects of severe weather events and other natural conditions, subject to certain materiality thresholds. The rules will become effective on a phased-in timeline beginning with the year ended December 31, 2025. On April 4, 2024, the SEC voluntarily stayed implementation of the final rule to facilitate the orderly judicial resolution of pending legal challenges to the rule. The Company is currently evaluating the final rule to determine its impact on the Company’s consolidated financial statements and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11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w:t>
      </w:r>
    </w:p>
    <w:p>
      <w:pPr>
        <w:spacing w:after="0" w:line="1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232,789</w:t>
            </w:r>
          </w:p>
        </w:tc>
        <w:tc>
          <w:tcPr>
            <w:tcW w:w="120" w:type="dxa"/>
            <w:vAlign w:val="bottom"/>
          </w:tcPr>
          <w:p>
            <w:pPr>
              <w:spacing w:after="0"/>
              <w:rPr>
                <w:sz w:val="19"/>
                <w:szCs w:val="19"/>
                <w:color w:val="auto"/>
              </w:rPr>
            </w:pP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255,322</w:t>
            </w: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255,322</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1,041,739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212,994</w:t>
            </w:r>
          </w:p>
        </w:tc>
        <w:tc>
          <w:tcPr>
            <w:tcW w:w="120" w:type="dxa"/>
            <w:vAlign w:val="bottom"/>
          </w:tcPr>
          <w:p>
            <w:pPr>
              <w:spacing w:after="0"/>
              <w:rPr>
                <w:sz w:val="19"/>
                <w:szCs w:val="19"/>
                <w:color w:val="auto"/>
              </w:rPr>
            </w:pPr>
          </w:p>
        </w:tc>
        <w:tc>
          <w:tcPr>
            <w:tcW w:w="12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1,161,482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236,302</w:t>
            </w: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1,161,482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236,302</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2,228,786</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426,701</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470,636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851,159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111,442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470,636</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2,000,323</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434,765</w:t>
            </w:r>
          </w:p>
        </w:tc>
        <w:tc>
          <w:tcPr>
            <w:tcW w:w="2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2,435,311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47,835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482,600</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2,705,287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756,417</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112,011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370,589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482,600</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2,705,287</w:t>
            </w:r>
          </w:p>
        </w:tc>
        <w:tc>
          <w:tcPr>
            <w:tcW w:w="0" w:type="dxa"/>
            <w:vAlign w:val="bottom"/>
          </w:tcPr>
          <w:p>
            <w:pPr>
              <w:spacing w:after="0"/>
              <w:rPr>
                <w:sz w:val="1"/>
                <w:szCs w:val="1"/>
                <w:color w:val="auto"/>
              </w:rPr>
            </w:pPr>
          </w:p>
        </w:tc>
      </w:tr>
      <w:tr>
        <w:trPr>
          <w:trHeight w:val="453"/>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1,089,832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22, 2024, the Company completed its acquisition of Hepaco Blocker, Inc. and its subsidiaries (collectively, “HEPACO”) for an all-cash purchase price of $395.6 million, net of cash acquired and subject to final settlement of working capital balances. The operations of HEPACO expand the Environmental Services segment’s field services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22,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7"/>
                <w:szCs w:val="17"/>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7"/>
                <w:szCs w:val="17"/>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At Acquisition Date</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Reported March 31,</w:t>
            </w: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0" w:type="dxa"/>
            <w:vAlign w:val="bottom"/>
          </w:tcPr>
          <w:p>
            <w:pPr>
              <w:spacing w:after="0"/>
              <w:rPr>
                <w:sz w:val="1"/>
                <w:szCs w:val="1"/>
                <w:color w:val="auto"/>
              </w:rPr>
            </w:pPr>
          </w:p>
        </w:tc>
      </w:tr>
      <w:tr>
        <w:trPr>
          <w:trHeight w:val="225"/>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9"/>
                <w:szCs w:val="19"/>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201,857</w:t>
            </w: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193,712</w:t>
            </w:r>
          </w:p>
        </w:tc>
        <w:tc>
          <w:tcPr>
            <w:tcW w:w="0" w:type="dxa"/>
            <w:vAlign w:val="bottom"/>
          </w:tcPr>
          <w:p>
            <w:pPr>
              <w:spacing w:after="0"/>
              <w:rPr>
                <w:sz w:val="1"/>
                <w:szCs w:val="1"/>
                <w:color w:val="auto"/>
              </w:rPr>
            </w:pPr>
          </w:p>
        </w:tc>
      </w:tr>
      <w:tr>
        <w:trPr>
          <w:trHeight w:val="27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395,569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7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not deductible for tax purposes.</w:t>
      </w:r>
    </w:p>
    <w:p>
      <w:pPr>
        <w:spacing w:after="0" w:line="10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June 30, 2024, and pro forma revenue and earnings amounts on a combined basis as if this acquisition had been completed on January 1, 2023 are immaterial to the unaudited consolidated financial statements of the Company.</w:t>
      </w:r>
    </w:p>
    <w:p>
      <w:pPr>
        <w:spacing w:after="0" w:line="10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March 1, 2024, the Company acquired Noble Oil Services, Inc and its subsidiaries (collectively, “Noble Oil”) for an all-cash purchase price of $68.7 million, net of cash acquired. The Company settled working capital for this acquisition in the second quarter of 2024 and adjusted the purchase price accordingly. The acquisition of Noble Oil expands the SKSS segment’s oil collection operations in the southeastern region of the United States while also adding incremental production from the re-refinery owned and operated by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1,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7"/>
                <w:szCs w:val="17"/>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7"/>
                <w:szCs w:val="17"/>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At Acquisition Date</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Reported March 31,</w:t>
            </w: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0" w:type="dxa"/>
            <w:vAlign w:val="bottom"/>
          </w:tcPr>
          <w:p>
            <w:pPr>
              <w:spacing w:after="0"/>
              <w:rPr>
                <w:sz w:val="1"/>
                <w:szCs w:val="1"/>
                <w:color w:val="auto"/>
              </w:rPr>
            </w:pPr>
          </w:p>
        </w:tc>
      </w:tr>
      <w:tr>
        <w:trPr>
          <w:trHeight w:val="225"/>
        </w:trPr>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9"/>
                <w:szCs w:val="19"/>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42,428</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0"/>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7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7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and assembled workforce that the Company expects to realize from the acquisition. Goodwill generated from the acquisition is deductible for tax purposes.</w:t>
      </w:r>
    </w:p>
    <w:p>
      <w:pPr>
        <w:spacing w:after="0" w:line="10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June 30, 2024, and pro forma revenue and earnings amounts on a combined basis as if this acquisition had been completed on January 1, 2023 are immaterial to the unaudited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2024. The allocation of the purchase price was based on estimates of the fair value and assets acquired and liabilities assumed as of March 31, 2023. The following table summarizes the final determination and recognition of assets acquired and liabilities assumed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Final Allocation</w:t>
            </w:r>
          </w:p>
        </w:tc>
      </w:tr>
      <w:tr>
        <w:trPr>
          <w:trHeight w:val="189"/>
        </w:trPr>
        <w:tc>
          <w:tcPr>
            <w:tcW w:w="5920" w:type="dxa"/>
            <w:vAlign w:val="bottom"/>
          </w:tcPr>
          <w:p>
            <w:pPr>
              <w:spacing w:after="0"/>
              <w:rPr>
                <w:sz w:val="16"/>
                <w:szCs w:val="16"/>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0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3"/>
        </w:trPr>
        <w:tc>
          <w:tcPr>
            <w:tcW w:w="5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71,291</w:t>
            </w:r>
          </w:p>
        </w:tc>
      </w:tr>
      <w:tr>
        <w:trPr>
          <w:trHeight w:val="22"/>
        </w:trPr>
        <w:tc>
          <w:tcPr>
            <w:tcW w:w="5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r>
      <w:tr>
        <w:trPr>
          <w:trHeight w:val="25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1"/>
        </w:trPr>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630,525</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1,276,567</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4,964,301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2,824,471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2,770,983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both periods.</w:t>
      </w:r>
    </w:p>
    <w:p>
      <w:pPr>
        <w:spacing w:after="0" w:line="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$205.8 million and $151.7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 in both periods.</w:t>
      </w:r>
    </w:p>
    <w:p>
      <w:pPr>
        <w:spacing w:after="0" w:line="12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$86.5 million and $168.7 million for the three and six months ended June 30, 2024, respectively. Depreciation expense, inclusive of landfill and finance lease amortization, was $77.2 million and $149.2 million for the three and six months ended June 30, 2023, respectively. The Company recorded $2.9 million and $5.3 million of capitalized interest during the three and six months ended June 30, 2024, respectively. The Company recorded $1.4 million and $2.7 million of capitalized interest during the three and six months ended June 30, 2023, respectively. Capitalized interest in the periods presented is primarily attributable to the construction of a new incinerator in Kimball, Nebraska.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six months ended June 30, 2024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195,789</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1,482,085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June 30, 2024, no such triggering events were identified.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and December 31, 2023,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1,132,911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$14.0 million and $26.9 million in the three and six months ended June 30, 2024, respectively. Amortization expense of permits, customer and supplier relationships and other intangible assets was $12.5 million and $25.2 million in the three and six months ended June 30, 2023, respectively.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June 30, 2024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(six months)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52,546</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50,657</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607,489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392,708</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2024 through June 30, 2024 were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there were no significant benefits or charges resulting from changes in estimates for closure and post-closure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2024 through June 30, 2024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changes in estimates for remedial liabilities included a $2.9 million reserve increase related to new information on the ultimate remediation of an existing Superfund site.</w:t>
      </w:r>
    </w:p>
    <w:p>
      <w:pPr>
        <w:spacing w:after="0" w:line="185" w:lineRule="exact"/>
        <w:rPr>
          <w:sz w:val="20"/>
          <w:szCs w:val="20"/>
          <w:color w:val="auto"/>
        </w:rPr>
      </w:pPr>
    </w:p>
    <w:p>
      <w:pPr>
        <w:ind w:right="8260" w:firstLine="8"/>
        <w:spacing w:after="0" w:line="417"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2,802,347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(23,283)</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4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financing arrangements are described in Note 12, “Financing Arrangements,” in the Company’s Annual Report on Form 10-K for the year ended December 31, 2023 and, other than as noted below, there have been no material changes to the arrangements described therein.</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28, 2024, the Company and one of the Company’s Canadian subsidiaries (the “Canadian Borrower”) entered into a seventh amended and restated credit agreement (the “Amended Credit Agreement”) with Bank of America, N.A. (“BofA”), as administrative agent, and the lenders party to the Amended Credit Agreement. The Amended Credit Agreement amends and restates the sixth amended and restated credit agreement dated October 28, 2020 (the “Prior Credit Agreement”).</w:t>
      </w:r>
    </w:p>
    <w:p>
      <w:pPr>
        <w:spacing w:after="0" w:line="1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the Company has the right to obtain revolving loans and letters of credit for a combined maximum of up to $550.0 million (with a sub-limit of $250.0 million for letters of credit) and the Canadian Borrower has the right to obtain revolving loans and letters of credit for a combined maximum of up to $50.0 million. The maximum borrowing amount of $600.0 million under the Amended Credit Agreement, increased from $400.0 million under the Prior Credit Agreement.</w:t>
      </w:r>
    </w:p>
    <w:p>
      <w:pPr>
        <w:spacing w:after="0" w:line="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Borrowings by the Company under the Amended Credit Agreement will bear interest at the Company’s option, at either (i) the sum of Term SOFR plus a SOFR Adjustment of 0.1% plus 1.5% per annum, or (ii) the U.S. Base Rate, plus 0.5% per annum, and borrowings by the Canadian Borrower will bear interest, at the Company’s option, at either (i) the sum of Term CORRA plus a Term CORRA adjustment of either 0.29547% or 0.32138% for the one or three month interest period respectively, plus 1.5% per annum, (ii) the Canadian Prime Rate, plus 0.5% per annum, or (iii) the Canadian Base Rate, plus 0.5% per annum, as those terms are defined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Amended Credit Agreement. Other terms under the Amended Credit Agreement are substantially the same as under the Prior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customary conditions, the facility will expire on June 28, 2029.</w:t>
      </w:r>
    </w:p>
    <w:p>
      <w:pPr>
        <w:spacing w:after="0" w:line="13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had no outstanding loan balance as of the under the Amended Credit Agreement as of the date of the amendment discussed above, June 30, 2024 or December 31, 2023. As of June 30, 2024, the Company had $463.5 million available to borrow under the revolving credit facility and outstanding letters of credit were $136.5 million.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22, 2024, the Company and substantially all of the Company’s domestic subsidiaries entered into Incremental Facility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the Company’s existing Credit Agreement, dated as of June 30, 2017 (“Term Loan Agreement”). Incremental Facility Amendment No. 5 provided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term loans (the “2024 Incremental Term Loans”) under the Term Loan Agreement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Proceeds from the issuance of the 2024 Incremental Term Loans were $491.2 million after debt discount and debt issuance costs, and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used to fund the acquisition of HEPACO, with the excess increasing the Company’s cash balances. The 2024 Incremental Term Loans are in addition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$980.0 million of term loans (the “Existing Term Loans”) which were outstanding prior to the issuance of the 2024 Incremental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2024 Incremental Term Loans and the Existing Term Loans (collectively referred to as the “2028 Term Loans”) will mature on October 8, 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be prepaid at any time without premium or penalty other than customary breakage costs or if the Company engages in certain repricing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before September 22, 2024, in which event a 1.0% prepayment premium would be due. The Company’s obligations under the 2028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are guaranteed by substantially all of the Company’s domestic restricted subsidiaries and secured by liens on substantially all of the assets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guarantors.</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2028 Term Loans bear interest, at the Company’s election, at either of the following rates: (a) the sum of the Term SOFR Rate (as defined in the Term Loan Agreement) plus 0.11448% (the one-month Term SOFR adjustment) plus a 1.75% margin per annum, or (b) the sum of the Base Rate (as defined in the Term Loan Agreement) plus 0.75% margin per annum. The Term SOFR rate is subject to a floor of 0.00% and the Base Rate is subject to a floor of 1.00%. The Company has elected one-month Term SOFR for interest payments on that debt; however, the Term Loan Agreement provides for Term SOFR adjustments for other interest periods. Interest on the 2028 Term Loans is paid monthly with interest payments on the 2024 Incremental Term Loan portion commencing in April 2024.</w:t>
      </w:r>
    </w:p>
    <w:p>
      <w:pPr>
        <w:spacing w:after="0" w:line="1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estimated fair value of the Company’s outstanding long-term debt, including the current portion, was $2.8 billion and $2.3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0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after taking into account the interest rate swaps discussed under the “Cash Flow Hedges” header below, the Company’s variable rate debt consisted of $872.4 million of the 2028 Term Loans. The Company’s interest rate on this variable rate debt as of June 30, 2024 was 7.19%.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44"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The Company has entered into interest rate swap agreements with a notional amount of $600.0 million (“2022 Swaps”) to effectively fix the interest rate on $600.0 million principal of the outstanding Existing Term Loans. The fixed rate on these instruments is 1.9645% and the variable rate is linked to the Term SOFR to mirror the variable interest payments for the Existing Term Loans. Including the 1.75% interest rate margin and the 0.11448% SOFR adjustment for the Existing Term Loans, the effective annual interest rate of this $600.0 million of principal debt is approximately 3.83%. Prior to the phase-out of LIBOR as a referenced rate on June 30, 2023, the fixed rate was 0.931% and the variable rate was linked to LIBOR, again to mirror the LIBOR linked variable interest payments for the Existing Term Loans. With the then 2.00% interest rate margin for the Existing Term Loans, the effective annual interest rate of the $600.0 million of principal debt was 2.931% through June 30, 2023. The 2022 Swaps will expire on September 30, 2027.</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the inception of these instruments, the Company designated the 2022 Swaps as cash flow hedges. As of June 30, 2024, the Company recorded a derivative asset with a fair value of $41.4 million related to the 2022 Swaps. The balance of the derivative asset as of December 31, 2023 was $35.5 million. These assets are included in Other long-term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680" w:type="dxa"/>
            <w:vAlign w:val="bottom"/>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3"/>
        </w:trPr>
        <w:tc>
          <w:tcPr>
            <w:tcW w:w="5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133,280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115,766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203,112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188,167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54,084</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54,422</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5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included all outstanding performance awards and restricted stock awards in the calculation of diluted earnings per share except as shown in the table below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6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6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0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84"/>
        </w:trPr>
        <w:tc>
          <w:tcPr>
            <w:tcW w:w="5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attained at reporting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62"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six months ended June 30, 2024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13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Available-</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For-Sale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unaudited consolidated statement of operations during the three and six months ended June 30, 2024 which was reclassified out of accumulated other comprehensive loss was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Component of Accumulated Other Comprehensive</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3420" w:type="dxa"/>
            <w:vAlign w:val="bottom"/>
            <w:vMerge w:val="restart"/>
          </w:tcPr>
          <w:p>
            <w:pPr>
              <w:ind w:left="14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8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0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82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Unrealized Gain on Fair Value of Interest Rate</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and six months ended June 30, 2024 was $8.5 million and $14.9 million, respectively. Total stock-based compensation cost recognized for the three and six months ended June 30, 2023 was $4.5 million and $10.5 million, respectively. The total income tax benefit recognized in the unaudited consolidated statements of operations from stock-based compensation expense for the three and six months ended June 30, 2024 was $1.5 million and $2.7 million, respectively. The total income tax benefit recognized in the unaudited consolidated statements of operations from stock-based compensation expense for the three and six months ended June 30, 2023 was $0.6 million and $1.7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six months ended June 30,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414,623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137,966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480,817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there was $48.2 million of total unrecognized compensation cost arising from restricted stock awards. This cost is expected to be recognized over a weighted average period of 3.1 years. The total fair value of restricted stock vested during the three and six months ended June 30, 2024 was $7.2 million and $10.9 million, respectively. The total fair value of restricted stock vested during the three and six months ended June 30, 2023 was $5.9 million and $8.1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Margin, Return on Invested Capital and Total Recordable Incident Rate targets set forth in the applicable award agreements. Performance stock awards include continued service conditions through vesting.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six months ended June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there was $10.1 million of total unrecognized compensation cost arising from performance stock awards achieved or deemed probable of vesting. No performance awards vested during the three months ended June 30, 2024 and June 30, 2023. The total fair value of performance awards vested during the six months ended June 30, 2024 and June 30, 2023 was $3.7 million and $7.8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35"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On May 22, 2024, the Company’s shareholders approved the Clean Harbors Employee Stock Purchase Plan (the “ESPP”).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offering period or (ii) the last trading day of the offering period. A total of 500,000 shares of common stock are reserved for issuance under the ESPP. As of June 30, 2024, no shares have been issued under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At June 30, 2024 and December 31, 2023, the Company had recorded reserves of $32.6 million and $32.4 million, respectively, for actual or probable liabilities related to the legal and administrative proceedings in which the Company was then involved, the principal of which are described below. As of June 30, 2024 and December 31, 2023, the $32.6 million and $32.4 million, respectively, of reserves consisted of (i) $26.0 million and $25.0 million, respectively, related to pending legal or administrative proceedings, including Superfund liabilities, which were included in remedial liabilities on the consolidated balance sheets, and (ii) $6.6 million and $7.4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principal legal and administrative proceedings in which the Company was involved, or which had been terminated during 2024, relate to Safety-Kleen product liability cases and Superfund proceedings.</w:t>
      </w:r>
    </w:p>
    <w:p>
      <w:pPr>
        <w:spacing w:after="0" w:line="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June 30, 2024, there were approximately 72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June 30, 2024. From January 1, 2024 to June 30, 2024, nine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or the prior owners of certain facilities the Company has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have been identified as potentially responsible parties (“PRPs”) or potential PRPs of indemnification obligations in connection with 131 sites which are subject to or are proposed to become subject to proceedings under federal or state Superfund laws. Of the 131 Superfund related sites, six involve facilities that are now owned or leased by the Company and 125 involve third-party sites which received waste potentially shipped by the Company or the prior owners of certain facilities the Company has since acquired. Of the 125 third-party sites, 30 are now settled, 13 are currently requiring expenditures on remediation and 82 are not currently requiring expenditures on remediation.</w:t>
      </w:r>
    </w:p>
    <w:p>
      <w:pPr>
        <w:spacing w:after="0" w:line="1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with respect to any liability at the 17 sites for waste disposed prior to the Company’s acquisition of the former subsidiaries of Waste Management, Inc. and McKesson Corporation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June 30, 2024, there was one proceeding for which the Company believed it was possible that the sanctions could equal or exceed $1.0 million. As of December 31, 2023, there were no proceedings for which the Company believed it was possible that the sanctions could equal or exceed $1.0 million. As of the date of these financial statements, the Company believes that the fines or other penalties in this or any of the other regulatory proceedings will, individually or in the aggregate, not have a material effect on its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for the three and six months ended June 30, 2024 and 2023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Third-Party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Pr>
          <w:p>
            <w:pPr>
              <w:spacing w:after="0"/>
              <w:rPr>
                <w:sz w:val="14"/>
                <w:szCs w:val="14"/>
                <w:color w:val="auto"/>
              </w:rPr>
            </w:pP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1,172,036</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225,748</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1,397,900</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2"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June 30, 2023</w:t>
      </w:r>
    </w:p>
    <w:p>
      <w:pPr>
        <w:spacing w:after="0" w:line="28" w:lineRule="exact"/>
        <w:rPr>
          <w:sz w:val="20"/>
          <w:szCs w:val="20"/>
          <w:color w:val="auto"/>
        </w:rPr>
      </w:pPr>
    </w:p>
    <w:p>
      <w:pPr>
        <w:sectPr>
          <w:pgSz w:w="11900" w:h="16838" w:orient="portrait"/>
          <w:cols w:equalWidth="0" w:num="2">
            <w:col w:w="7900" w:space="720"/>
            <w:col w:w="2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12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60"/>
              <w:spacing w:after="0" w:line="175"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Direct</w:t>
            </w:r>
          </w:p>
        </w:tc>
        <w:tc>
          <w:tcPr>
            <w:tcW w:w="120" w:type="dxa"/>
            <w:vAlign w:val="bottom"/>
            <w:vMerge w:val="restart"/>
          </w:tcPr>
          <w:p>
            <w:pPr>
              <w:spacing w:after="0"/>
              <w:rPr>
                <w:sz w:val="15"/>
                <w:szCs w:val="15"/>
                <w:color w:val="auto"/>
              </w:rPr>
            </w:pPr>
          </w:p>
        </w:tc>
        <w:tc>
          <w:tcPr>
            <w:tcW w:w="124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Third-Party</w:t>
            </w: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Intersegment</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(Expenses), net</w:t>
            </w:r>
          </w:p>
        </w:tc>
        <w:tc>
          <w:tcPr>
            <w:tcW w:w="1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2,242,777</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462,287</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2,705,287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2,705,287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net. Transactions between the segments are accounted for at the Company’s best estimate based on similar transactions with outside customers.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11"/>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533,967</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94,878</w:t>
            </w:r>
          </w:p>
        </w:tc>
      </w:tr>
      <w:tr>
        <w:trPr>
          <w:trHeight w:val="229"/>
        </w:trPr>
        <w:tc>
          <w:tcPr>
            <w:tcW w:w="5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(126,201)</w:t>
            </w:r>
          </w:p>
        </w:tc>
      </w:tr>
      <w:tr>
        <w:trPr>
          <w:trHeight w:val="223"/>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502,644</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r>
      <w:tr>
        <w:trPr>
          <w:trHeight w:val="223"/>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310,778</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256,545</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“potential”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the date of this report only and are subject to certain risks and uncertainties that could cause actual results to differ materially, including, without limitation, risks and uncertainties and the items identified in our Annual Report on Form 10-K filed with the Securities and Exchange Commission (“SEC”) on February 21, 2024,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 offering a unique closed-loop re-refining process that helps customers achieve their sustainability goals.</w:t>
      </w:r>
    </w:p>
    <w:p>
      <w:pPr>
        <w:spacing w:after="0" w:line="1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which is reconciled to our net income and described more fully below. The following is a discussion of how management evaluates its segments using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20" w:hanging="324"/>
        <w:spacing w:after="0" w:line="25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our wide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Blocker, Inc. and its subsidiaries (collectively “HEPACO”) also impact the overall segment results.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324"/>
        <w:spacing w:after="0" w:line="252" w:lineRule="auto"/>
        <w:tabs>
          <w:tab w:leader="none" w:pos="97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(“SKSS”) segment results are impacted by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high-quality, environmentally responsible recycled oil products and their demand for our related service and product offerings. SKSS offers high quality recycled base and blended oil products and other automotive and industrial lubricants to fleet customers, distributors, manufacturers of oil products and industrial plants. Segment results are impacted by market pricing, overall demand and mix of our oil products sales, with management’s objective being to limit exposure to commodity market pricing risk through increased production of value added blended lubricants and contracted rate supply agreements with customers.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our recycling and disposal network. The results and integration of the acquired operations of Noble Oil Services, Inc. and its subsidiaries (collectively “Noble Oil”)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costs to collect used oil. Levels of activity and ultimate performance associated with this segment can be impacted by economic conditions and product demand in the manufacturing and automotive services markets, product pricing, efficiency of our operations, partnerships,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Total direct revenues for the three and six months ended June 30, 2024 were $1,552.7 million and $2,929.4 million, compared with $1,397.9 million and $2,705.3 million for the three and six months ended June 30, 2023. Our Environmental Services segment direct revenues increased $137.3 million and $239.1 million or 11.7% and 10.7% for the three and six months ended June 30, 2024, respectively, from the comparable periods in 2023 driven by growth in Technical Services, Field and Emergency Response Services, including the contributions from the acquisition of HEPACO, and Safety-Kleen core service offerings. For the three months ended June 30, 2024, our SKSS segment direct revenues increased $17.5 million or 7.7%, from the comparable period in 2023, driven by contributions from our acquisition of Noble Oil and higher base oil sales. For the six months ended June 30, 2024, SKSS segment direct revenues decreased $15.0 million or 3.2% from the comparable period in 2023, due to lower base oil product revenues resulting from market-driven pricing partially offset by contributions from Noble Oil. Foreign currency translation of our Canadian operations negatively impacted our consolidated direct revenues by $2.9 million and $2.5 million in the three and six months ended June 30, 2024, respectively, compared to the same periods in 2023.</w:t>
      </w:r>
    </w:p>
    <w:p>
      <w:pPr>
        <w:spacing w:after="0" w:line="1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and six months ended June 30, 2024 was $215.5 million and $341.0 million, compared with $189.8 million and $310.8 million in the three and six months ended June 30, 2023, representing an increase of 13.5% and 9.7%, respectively. Net income for the three and six months ended June 30, 2024 was $133.3 million and $203.1 million, compared with net income of $115.8 million and $188.2 million in the three and six months ended June 30, 2023, representing an increase of 15.1% and 7.9%, respectively.</w:t>
      </w:r>
    </w:p>
    <w:p>
      <w:pPr>
        <w:spacing w:after="0" w:line="11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our segments, increased $40.3 million or 14.0% from $287.5 million in the three months ended June 30, 2023 to $327.8 million in the three months ended June 30, 2024. Adjusted EBITDA increased $55.3 million or 11.0% from $502.6 million in the six months ended June 30, 2023 to $557.9 million in the six months ended June 30, 2024. Overall Adjusted EBITDA growth was driven by 17.8% and 16.9% Adjusted EBITDA growth in the Environmental Services Segment in the three and six months ended June 30, 2024 respectively.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p>
    <w:p>
      <w:pPr>
        <w:spacing w:after="0" w:line="10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from operating activities for the six months ended June 30, 2024 decreased $1.0 million from $235.6 million in 2023 to $234.6 million in 2024. Adjusted free cash flow, which management uses to measure our financial strength and ability to generate cash, was an outflow of $34.1 million in the six months ended June 30, 2024 as compared to an inflow of $34.2 million in the comparable period of 2023. The decrease in adjusted free cash flow was driven by higher spend on property, plant and equipment due to incremental investments in vehicles, machinery and equipment and notable project spend including the acquisition and build out of our Baltimore, Maryland facility and the continued investment in our Kimball, Nebraska incinerator project.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and six months ended June 30, 2024 and June 30, 2023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60" w:type="dxa"/>
            <w:vAlign w:val="bottom"/>
          </w:tcPr>
          <w:p>
            <w:pPr>
              <w:spacing w:after="0"/>
              <w:rPr>
                <w:sz w:val="13"/>
                <w:szCs w:val="13"/>
                <w:color w:val="auto"/>
              </w:rPr>
            </w:pP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3"/>
                <w:szCs w:val="13"/>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80" w:type="dxa"/>
            <w:vAlign w:val="bottom"/>
          </w:tcPr>
          <w:p>
            <w:pPr>
              <w:spacing w:after="0"/>
              <w:rPr>
                <w:sz w:val="13"/>
                <w:szCs w:val="13"/>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1,309,383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1,172,036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137,347</w:t>
            </w:r>
          </w:p>
        </w:tc>
        <w:tc>
          <w:tcPr>
            <w:tcW w:w="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2,481,893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2,242,777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239,116</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243,237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225,748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17,489</w:t>
            </w:r>
          </w:p>
        </w:tc>
        <w:tc>
          <w:tcPr>
            <w:tcW w:w="80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447,320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462,287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(14,967)</w:t>
            </w:r>
          </w:p>
        </w:tc>
        <w:tc>
          <w:tcPr>
            <w:tcW w:w="8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(3.2)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1,552,719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1,397,900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154,819</w:t>
            </w:r>
          </w:p>
        </w:tc>
        <w:tc>
          <w:tcPr>
            <w:tcW w:w="8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2,929,414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2,705,287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224,127</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8.3</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853,705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781,251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72,454</w:t>
            </w:r>
          </w:p>
        </w:tc>
        <w:tc>
          <w:tcPr>
            <w:tcW w:w="8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1,666,603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1,534,611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131,992</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2"/>
        </w:trPr>
        <w:tc>
          <w:tcPr>
            <w:tcW w:w="25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170,434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153,901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16,533</w:t>
            </w:r>
          </w:p>
        </w:tc>
        <w:tc>
          <w:tcPr>
            <w:tcW w:w="80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10.7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325,321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329,758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(4,437)</w:t>
            </w:r>
          </w:p>
        </w:tc>
        <w:tc>
          <w:tcPr>
            <w:tcW w:w="8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7"/>
              </w:rPr>
              <w:t>(1.3)</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14,688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1,035,542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947,512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88,030</w:t>
            </w:r>
          </w:p>
        </w:tc>
        <w:tc>
          <w:tcPr>
            <w:tcW w:w="8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2,006,612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1,879,026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127,586</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6.8</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Selling, General &amp; Administrative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95,763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10,600</w:t>
            </w:r>
          </w:p>
        </w:tc>
        <w:tc>
          <w:tcPr>
            <w:tcW w:w="8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174,199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16,701</w:t>
            </w:r>
          </w:p>
        </w:tc>
        <w:tc>
          <w:tcPr>
            <w:tcW w:w="8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18,432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2,895</w:t>
            </w:r>
          </w:p>
        </w:tc>
        <w:tc>
          <w:tcPr>
            <w:tcW w:w="80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15.7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40,823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3,172</w:t>
            </w:r>
          </w:p>
        </w:tc>
        <w:tc>
          <w:tcPr>
            <w:tcW w:w="8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80,786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63,787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16,999</w:t>
            </w:r>
          </w:p>
        </w:tc>
        <w:tc>
          <w:tcPr>
            <w:tcW w:w="8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122,285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25,736</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197,876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167,382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30,494</w:t>
            </w:r>
          </w:p>
        </w:tc>
        <w:tc>
          <w:tcPr>
            <w:tcW w:w="8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379,744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334,135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45,609</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13.6</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305,622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54,293</w:t>
            </w:r>
          </w:p>
        </w:tc>
        <w:tc>
          <w:tcPr>
            <w:tcW w:w="8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533,967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90,423</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62"/>
        </w:trPr>
        <w:tc>
          <w:tcPr>
            <w:tcW w:w="25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51,476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53,415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(1,939)</w:t>
            </w:r>
          </w:p>
        </w:tc>
        <w:tc>
          <w:tcPr>
            <w:tcW w:w="80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7"/>
              </w:rPr>
              <w:t>(3.6)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81,176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94,878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(13,702)</w:t>
            </w:r>
          </w:p>
        </w:tc>
        <w:tc>
          <w:tcPr>
            <w:tcW w:w="8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8"/>
              </w:rPr>
              <w:t>(14.4)</w:t>
            </w:r>
          </w:p>
        </w:tc>
        <w:tc>
          <w:tcPr>
            <w:tcW w:w="0" w:type="dxa"/>
            <w:vAlign w:val="bottom"/>
          </w:tcPr>
          <w:p>
            <w:pPr>
              <w:spacing w:after="0"/>
              <w:rPr>
                <w:sz w:val="1"/>
                <w:szCs w:val="1"/>
                <w:color w:val="auto"/>
              </w:rPr>
            </w:pPr>
          </w:p>
        </w:tc>
      </w:tr>
      <w:tr>
        <w:trPr>
          <w:trHeight w:val="213"/>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(12,044)</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8"/>
              </w:rPr>
              <w:t>(16.8)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(147,655)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(126,201)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(21,454)</w:t>
            </w:r>
          </w:p>
        </w:tc>
        <w:tc>
          <w:tcPr>
            <w:tcW w:w="8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(17.0)</w:t>
            </w:r>
          </w:p>
        </w:tc>
        <w:tc>
          <w:tcPr>
            <w:tcW w:w="0" w:type="dxa"/>
            <w:vAlign w:val="bottom"/>
          </w:tcPr>
          <w:p>
            <w:pPr>
              <w:spacing w:after="0"/>
              <w:rPr>
                <w:sz w:val="1"/>
                <w:szCs w:val="1"/>
                <w:color w:val="auto"/>
              </w:rPr>
            </w:pPr>
          </w:p>
        </w:tc>
      </w:tr>
      <w:tr>
        <w:trPr>
          <w:trHeight w:val="208"/>
        </w:trPr>
        <w:tc>
          <w:tcPr>
            <w:tcW w:w="2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327,816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287,506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40,310</w:t>
            </w:r>
          </w:p>
        </w:tc>
        <w:tc>
          <w:tcPr>
            <w:tcW w:w="8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14.0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557,911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502,644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55,267</w:t>
            </w:r>
          </w:p>
        </w:tc>
        <w:tc>
          <w:tcPr>
            <w:tcW w:w="8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5"/>
              </w:rPr>
              <w:t>11.0%</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Adjusted EBITDA as a % of Direct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Solutions</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Items </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revenues are revenues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are shown exclusive of items presented separately on the consolidated statements of operations which consist of (i) accretion of environmental liabilities and (ii) depreciation and amortization.</w:t>
      </w: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direct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translation. In addition, customer efforts to minimize hazardous waste and changes in regulation can impact our revenues.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9"/>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0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1,309,383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1,172,036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137,347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11.7 %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2,481,893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2,242,777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239,116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June 30, 2024 increased $137.3 million from the comparable period in 2023 due to growth across most of our service lines driven by acquisitive growth and incremental revenues from legacy operations. Field and emergency response service revenues increased $98.5 million from the comparable period in 2023 primarily driven by incremental revenue of approximately $80 million from the acquisition of HEPACO as well as a larger number of mid to large scale emergency response events handled by legacy field and emergency response services operations during the three months ended June 30, 2024. Technical services revenue increased $53.8 million with contributions across our portfolio of waste disposal services, including increased volumes and higher pricing at our incinerator and landfill facilities. Utilization at our incinerators increased by 4% to 88% for the three months ended June 30, 2024, as compared to the same period in 2023. Revenues for Safety-Kleen core service offerings grew by $23.6 million from the comparable period in 2023 due to improved pricing and greater demand for our containerized waste, parts washer and vacuum services. These increases were partially offset by decreased revenues from our industrial services operations which declined $40.1 million due to lower industrial turnaround activity for the three months ended June 30, 2024, as compared to the same period in 2023. Direct revenues for Canadian operations of the Environmental Services segment decreased by $2.4 million due to foreign currency translation.</w:t>
      </w:r>
    </w:p>
    <w:p>
      <w:pPr>
        <w:spacing w:after="0" w:line="12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six months ended June 30, 2024 increased $239.1 million from the comparable period in 2023 due to growth across most of our service lines driven by incremental revenues from recent acquisitions and legacy operations. Field and emergency response service revenues for the six months ended June 30, 2024 increased $113.9 million from the comparable period in 2023 driven by incremental revenue of approximately $85 million from the acquisition of HEPACO along with overall growth in core field and emergency response service offerings. Technical services revenue increased $94.7 million with contributions across our portfolio of waste disposal services. Higher pricing and increased volumes at our incinerators and landfills drove incremental revenue within technical services. Utilization at our incinerators increased from 82% to 83% for the six months ended June 30, 2024 as compared to the same period in 2023. Revenues for Safety-Kleen core service offerings for the six months ended June 30, 2024 grew by $44.5 million from the comparable period in 2023 due to improved pricing and greater demand for our containerized waste, parts washer and vacuum services. Revenue from our industrial services operations declined $17.1 million due to lower industrial turnaround activity for the six months ended June 30, 2024 compared to the same period in 2023, partially offset by incremental revenue from the acquisition of Thompson Industrial Services which occurred in March 2023. Direct revenues for Canadian operations of the Environmental Services segment decreased by $2.1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243,237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225,748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17,489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447,320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462,287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(14,967)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SKSS direct revenues increased $17.5 million from the comparable period in 2023 due to a $20.0 million increase in revenues from the sale of vacuum gas oil and specialty refinery products largely resulting from the acquisition of Noble Oil which took place on March 1, 2024. Revenue from the sale of base oil for the three months ended June 30, 2024 increased $10.6 million from the same period in 2023, due to favorable pricing and higher volumes sold. These increases were partially offset by a $6.6 million reduction in revenues from blended oil sales due to lower pricing despite relatively consistent volume sold and a reduction of $5.3 million in revenues from other product sales.</w:t>
      </w:r>
    </w:p>
    <w:p>
      <w:pPr>
        <w:spacing w:after="0" w:line="1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2024, SKSS direct revenues decreased $15.0 million from the comparable period in 2023 largely due to a $17.4 million reduction in revenues from base oil sales driven primarily by lower pricing and, to a lesser extent, lower volumes sold. Revenue from contract packaging decreased $6.0 million and revenues generated from the sales of other products decreased $4.3 million for the six months ended June 30, 2024 as compared to the same period in 2023. These decreases were partially offset by a $10.4 million increase in revenues from the sale of vacuum gas oil and specialty refinery products driven by the acquisition of Noble Oil. Furthermore, revenues from the collection of used oil for the six months ended June 30, 2024 increased $4.1 million as compared to the same period in 2023, which was driven by higher pricing for these services despite a relatively consistent volume of oil collected.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internal and external labor, transportation, maintenance costs, and energy related costs. We aim to manage these increases through constant cost monitoring and a focus on cost saving areas, including lowering employee turnover, as well as our overall customer pricing strategies designed to offset the inflationary impacts on our margins.</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2"/>
        </w:trPr>
        <w:tc>
          <w:tcPr>
            <w:tcW w:w="21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tcPr>
          <w:p>
            <w:pPr>
              <w:jc w:val="right"/>
              <w:ind w:right="2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6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853,705</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781,251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72,454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1,666,603</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1,534,611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131,992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June 30, 2024 increased $72.5 million from the comparable period in 2023, however as a percentage of revenues decreased 1.5%. Commensurate with the revenue growth in the business and recent acquisition of HEPACO, labor and benefit related costs increased $43.3 million, equipment and supply costs increased $21.2 million and external transportation, vehicle and fuel related costs increased $4.4 million for the three months ended June 30, 2024 when compared to the three months ended June 30, 2023. Overall, the growth of revenue outpaced cost increases in all major cost categories resulting in improved margins of the segment.</w:t>
      </w:r>
    </w:p>
    <w:p>
      <w:pPr>
        <w:spacing w:after="0" w:line="10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six months ended June 30, 2024 increased $132.0 million from the comparable period in 2023, however as a percentage of revenues decreased 1.2%. Commensurate with the revenue growth in the business and recent acquisitions, labor and benefit related costs increased $74.5 million, equipment and supply costs increased $35.6 million and external transportation, vehicle and fuel related costs increased $11.3 million for the six months ended June 30, 2024 when compared to the six months ended June 30, 2023. Overall, the growth of revenue outpaced cost increases in all major cost categories resulting in improved margins of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2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170,434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153,901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325,321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329,758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three months ended June 30, 2024 increased $16.5 million from the comparable period in 2023 and as a percentage of revenues, increased by 1.9%, due to product mix and higher costs from our Noble Oil acquisition. Overall, external transportation costs increased $7.0 million, labor and benefits related costs increased $5.4 million, and production costs increased $1.3 million for the three months ended June 30, 2024, compared to the same period in 2023.</w:t>
      </w:r>
    </w:p>
    <w:p>
      <w:pPr>
        <w:spacing w:after="0" w:line="11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SKSS cost of revenues for the six months ended June 30, 2024 decreased $4.4 million from the comparable period in 2023 but as a percentage of revenues, increased by 1.4% driven by market related pricing decreases discussed in the revenue section above. Overall costs of materials including oil additives and other raw materials decreased by $23.3 million between the six months ended June 30, 2024 and the same period in 2023, due to lower volumes of base oil inventory sold during the period. Partially offsetting these cost decreases were increases in transportation costs of $7.8 million and labor and benefit related costs of $6.9 million which were primarily driven by the operations of the Noble Oil acquisition.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2"/>
        </w:trPr>
        <w:tc>
          <w:tcPr>
            <w:tcW w:w="22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95,763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85,163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190,900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174,199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three and six months ended June 30, 2024 increased $10.6 million and $16.7 million, respectively, from the comparable periods in 2023, however, remained consistent as a percentage of segment revenues, continuing our trend of leveraging our SG&amp;A base in the midst of revenue growth discussed above. SG&amp;A expenses increased $4.6 million and $5.8 million in the three and six months ended June 30, 2024, respectively, as compared to the same periods in 2023, due to additional costs from HEPACO operations. The remaining increases were spread across various cost categories and were driven by overall growth in the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18,432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40,823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37,651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SKSS SG&amp;A expenses for the three months ended June 30, 2024 increased $2.9 million and remained relatively consistent, as a percentage of revenues, when compared to the same period in 2023. For the six months ended June 30, 2024, SKSS SG&amp;A expenses increased $3.2 million, and as a percentage of revenues, increased 1.0%, when compared to the same period in 2023. Overall, labor and benefit related costs increased $2.5 million and $3.2 million in the three and six months ended June 30, 2024 when compared to the same periods in 2023, mainly driven by the acquisition of Noble Oil.</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2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80,786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63,787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16,999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148,021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122,285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84"/>
        </w:trPr>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a % of Total Company</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Corporate SG&amp;A expenses for the three months ended June 30, 2024 increased $17.0 million yet remained relatively consistent as a percentage of our total direct revenues when compared to the same period in the prior year. The increase in Corporate SG&amp;A expenses for the three months ended June 30, 2024 was driven by a $9.9 million increase in labor and benefits related costs primarily resulting from incremental headcount from the acquired operations and higher incentive compensation, a $3.8 million change in legal reserve costs and a $2.9 million increase in a remedial liability for an existing Superfund site.</w:t>
      </w:r>
    </w:p>
    <w:p>
      <w:pPr>
        <w:spacing w:after="0" w:line="1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for the six months ended June 30, 2024 increased $25.7 million yet remained relatively consistent as a percentage of our total direct revenues when compared to the same period in the prior year. The increase in Corporate SG&amp;A expenses for the six months ended June 30, 2024 was driven by an $18.9 million increase in labor and benefits related costs, a $3.8 million change in legal reserve costs and a $2.9 million increase in a remedial liability for an existing Superfund site.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We define Adjusted EBITDA as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expense, net. Adjusted EBITDA is not calculated identically by all companies and therefore our measurements of Adjusted EBITDA, while defined consistently with our existing credit agreement, may not be comparable to similarly titled measures reported by other companies.</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12"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Adjusted EBITDA as well as Adjusted EBITDA as a percent of Direct Revenues by segment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9"/>
                <w:szCs w:val="19"/>
                <w:color w:val="auto"/>
              </w:rPr>
            </w:pPr>
          </w:p>
        </w:tc>
        <w:tc>
          <w:tcPr>
            <w:tcW w:w="180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gridSpan w:val="2"/>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359,915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305,622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54,293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624,390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533,967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90,423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176"/>
        </w:trPr>
        <w:tc>
          <w:tcPr>
            <w:tcW w:w="26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Safety-Kleen Sustainability</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53,415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(1,939)</w:t>
            </w:r>
          </w:p>
        </w:tc>
        <w:tc>
          <w:tcPr>
            <w:tcW w:w="9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81,176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94,878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(13,702)</w:t>
            </w:r>
          </w:p>
        </w:tc>
        <w:tc>
          <w:tcPr>
            <w:tcW w:w="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(83,575)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(71,531)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(12,044)</w:t>
            </w:r>
          </w:p>
        </w:tc>
        <w:tc>
          <w:tcPr>
            <w:tcW w:w="92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(147,655)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6"/>
              </w:rPr>
              <w:t>(126,201)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(21,454)</w:t>
            </w:r>
          </w:p>
        </w:tc>
        <w:tc>
          <w:tcPr>
            <w:tcW w:w="90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327,816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287,506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40,310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557,911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502,644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55,267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as a % of Direct</w:t>
            </w:r>
          </w:p>
        </w:tc>
        <w:tc>
          <w:tcPr>
            <w:tcW w:w="1080" w:type="dxa"/>
            <w:vAlign w:val="bottom"/>
            <w:tcBorders>
              <w:top w:val="single" w:sz="8" w:color="auto"/>
            </w:tcBorders>
          </w:tcPr>
          <w:p>
            <w:pPr>
              <w:jc w:val="right"/>
              <w:ind w:right="232"/>
              <w:spacing w:after="0" w:line="196" w:lineRule="exact"/>
              <w:rPr>
                <w:sz w:val="20"/>
                <w:szCs w:val="20"/>
                <w:color w:val="auto"/>
              </w:rPr>
            </w:pPr>
            <w:r>
              <w:rPr>
                <w:rFonts w:ascii="Times New Roman" w:cs="Times New Roman" w:eastAsia="Times New Roman" w:hAnsi="Times New Roman"/>
                <w:sz w:val="16"/>
                <w:szCs w:val="16"/>
                <w:b w:val="1"/>
                <w:bCs w:val="1"/>
                <w:color w:val="auto"/>
                <w:w w:val="81"/>
              </w:rPr>
              <w:t xml:space="preserve">Revenues </w:t>
            </w:r>
            <w:r>
              <w:rPr>
                <w:rFonts w:ascii="Times New Roman" w:cs="Times New Roman" w:eastAsia="Times New Roman" w:hAnsi="Times New Roman"/>
                <w:sz w:val="21"/>
                <w:szCs w:val="21"/>
                <w:b w:val="1"/>
                <w:bCs w:val="1"/>
                <w:color w:val="auto"/>
                <w:w w:val="81"/>
                <w:vertAlign w:val="superscript"/>
              </w:rPr>
              <w:t>(1)</w:t>
            </w:r>
            <w:r>
              <w:rPr>
                <w:rFonts w:ascii="Times New Roman" w:cs="Times New Roman" w:eastAsia="Times New Roman" w:hAnsi="Times New Roman"/>
                <w:sz w:val="16"/>
                <w:szCs w:val="16"/>
                <w:b w:val="1"/>
                <w:bCs w:val="1"/>
                <w:color w:val="auto"/>
                <w:w w:val="81"/>
              </w:rPr>
              <w:t>:</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900" w:type="dxa"/>
            <w:vAlign w:val="bottom"/>
            <w:shd w:val="clear" w:color="auto" w:fill="CCEEFF"/>
          </w:tcPr>
          <w:p>
            <w:pPr>
              <w:spacing w:after="0"/>
              <w:rPr>
                <w:sz w:val="19"/>
                <w:szCs w:val="19"/>
                <w:color w:val="auto"/>
              </w:rPr>
            </w:pPr>
          </w:p>
        </w:tc>
      </w:tr>
      <w:tr>
        <w:trPr>
          <w:trHeight w:val="176"/>
        </w:trPr>
        <w:tc>
          <w:tcPr>
            <w:tcW w:w="2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Safety-Kleen Sustainability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tcPr>
          <w:p>
            <w:pPr>
              <w:spacing w:after="0"/>
              <w:rPr>
                <w:sz w:val="21"/>
                <w:szCs w:val="21"/>
                <w:color w:val="auto"/>
              </w:rPr>
            </w:pPr>
          </w:p>
        </w:tc>
      </w:tr>
      <w:tr>
        <w:trPr>
          <w:trHeight w:val="230"/>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shd w:val="clear" w:color="auto" w:fill="CCEEFF"/>
          </w:tcPr>
          <w:p>
            <w:pPr>
              <w:spacing w:after="0"/>
              <w:rPr>
                <w:sz w:val="19"/>
                <w:szCs w:val="19"/>
                <w:color w:val="auto"/>
              </w:rPr>
            </w:pPr>
          </w:p>
        </w:tc>
      </w:tr>
      <w:tr>
        <w:trPr>
          <w:trHeight w:val="234"/>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90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58" w:lineRule="exact"/>
        <w:rPr>
          <w:sz w:val="20"/>
          <w:szCs w:val="20"/>
          <w:color w:val="auto"/>
        </w:rPr>
      </w:pPr>
    </w:p>
    <w:p>
      <w:pPr>
        <w:ind w:left="580" w:right="60" w:hanging="329"/>
        <w:spacing w:after="0" w:line="282" w:lineRule="auto"/>
        <w:tabs>
          <w:tab w:leader="none" w:pos="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Services and SKSS calculated as a percentage of individual segment direct revenues. Corporate Items calculated as a percentage of total Company direct revenues.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203,112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188,167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100,504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195,569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174,455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36,449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64,988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50,704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45,597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42,702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71,560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68,378</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327,816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287,506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557,911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502,644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jc w:val="right"/>
              <w:ind w:right="314"/>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66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86,472</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168,687</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2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and six months ended June 30, 2024 increased by $10.8 million and $21.1 million from the comparable periods in 2023 due to the depreciation of fixed assets and amortization of intangible assets placed in service in the second half of 2023 and throughout 2024 including the incremental assets acquired from the March 2024 HEPACO and Noble Oil acquisitions.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5"/>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we recorded a $2.4 million loss on early extinguishment of debt in connection with the repayment of outstanding debt due in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58"/>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21.2 %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14,284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of interest income for the three months ended June 30, 2024 increased $6.4 million from the comparable period in 2023 due to higher levels of outstanding debt as a result of the 2024 Incremental Term Loans entered into on March 22, 2024 as well as higher interest rates on our variable interest debt. Interest expense was partially offset by a $2.4 million increase in interest income in the three months ended June 30, 2024 compared to the comparable period in 2023.</w:t>
      </w:r>
    </w:p>
    <w:p>
      <w:pPr>
        <w:spacing w:after="0" w:line="11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for the six months ended June 30, 2024 increased $14.3 million from the comparable period in 2023. During the six months ended June 30, 2023, interest expense, net of interest income included an $8.3 million benefit recognized from settling interest rate swaps in that prior year period.</w:t>
      </w:r>
    </w:p>
    <w:p>
      <w:pPr>
        <w:spacing w:after="0" w:line="9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Absent this benefit, interest expense, net of interest income, for the six months ended June 30, 2024 increased $6.0 million from the comparable period in 2023 due to the 2024 Incremental Term Loans discussed above. Interest expense was partially offset by a $2.9 million increase in interest income in the six months ended June 30, 2024 compared to the comparable period in 2023.</w:t>
      </w:r>
    </w:p>
    <w:p>
      <w:pPr>
        <w:spacing w:after="0" w:line="10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effective interest rate on our debt was 5.7%. For the remainder of 2024, we expect interest expense to continue to trend higher than the prior year due to higher levels of outstanding debt and a slightly higher weighted average effective interest rate. For additional information regarding the financing events during 2024 and our current portfolio of long-term debt, see Note 11, “Financing Arrangements,” to the accompanying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0" w:type="dxa"/>
            <w:vAlign w:val="bottom"/>
          </w:tcPr>
          <w:p>
            <w:pPr>
              <w:spacing w:after="0"/>
              <w:rPr>
                <w:sz w:val="1"/>
                <w:szCs w:val="1"/>
                <w:color w:val="auto"/>
              </w:rPr>
            </w:pPr>
          </w:p>
        </w:tc>
      </w:tr>
      <w:tr>
        <w:trPr>
          <w:trHeight w:val="161"/>
        </w:trPr>
        <w:tc>
          <w:tcPr>
            <w:tcW w:w="23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jc w:val="right"/>
              <w:ind w:right="29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6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45,597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42,702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71,560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68,378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provision for income taxes increase was consistent with the increase in pre-tax income compared to the prior period. Our effective tax rates for the three and six months ended June 30, 2024 remained relatively consistent compared to the prior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0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234,594</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235,573</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(730,670)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rPr>
              <w:t>(347,265)</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455,503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rPr>
              <w:t>(142,853)</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six months ended June 30, 2024 was $234.6 million as compared to $235.6 million in the same period in 2023 as increased working capital balances and higher interest payments were mostly offset by higher operating income as well as lower payments for income taxes and environmental liabilities.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$730.7 million, an increase of $383.4 million from the comparable period in 2023. Cash used for acquisitions increased $356.6 million as we paid more for the acquisitions of HEPACO and Noble Oil in 2024 than we did for the acquisition of Thompson Industrial in 2023. Additions to Property, plant and equipment increased $68.7 million, largely driven by investments in vehicles, machinery and equipment for our operations and notable project spend including $15.4 million spent on the Baltimore, Maryland facility, and an increase of $4.9 million in capital spending for our incinerator project in Kimball, Nebraska. The remaining change in net cash used in investing activities was due to the timing of transactions within our wholly owned captive insurance company which resulted in a $16.4 million cash inflow in the six months ended June 30, 2024 as compared to a $24.2 million cash outflow in the six months ended 2023.</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(used in) financing activities</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from financing activities for the six months ended June 30, 2024 was $455.5 million, as compared to net cash used in financing activities of $142.9 million for the six months ended June 30, 2023. The primary drivers of this change were the incurrence of additional term loans net of discount of $499.4 million in 2024 as compared to a net repayment of term loans in 2023 of $114.0 million. Partially offsetting this activity was an increase in finance lease payments of $3.9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flow is a metric on which a portion of management incentive compensation is based. We believe that adjusted free cash flow should be viewed only as a supplement to the GAAP financial information.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June 30, 2024, cash and cash equivalents and marketable securities totaled $493.3 million, compared to $550.8 million at December 31, 2023. At June 30, 2024, cash and cash equivalents held by our Canadian subsidiaries totaled $31.0 million. The cash and cash equivalents and marketable securities balance for our U.S. operations was $462.3 million at June 30, 2024. Our U.S. operations had net operating cash inflows of $257.9 million for the six months ended June 30, 2024.</w:t>
      </w:r>
    </w:p>
    <w:p>
      <w:pPr>
        <w:spacing w:after="0" w:line="11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$600.0 million revolving credit facility of which, as of June 30, 2024, approximately $463.5 million was available to borrow under the facility, with letters of credit of $136.5 million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Capital expenditures during the first six months of 2024 were $273.0 million as compared to $204.3 million during the first six months of 2023. The increase was driven by incremental investments in our fleet and equipment and Baltimore, Maryland facility, as well as the incremental spend on the Kimball incinerator. We anticipate that 2024 capital spending, net of disposals, will be in the range of $400.0 million to $430.0 million. This projected amount includes capital expenditures of approximately $65 million to finish the Kimball, Nebraska incinerator project and approximately $20 million for the acquisition and build out of our Baltimore, Maryland facility.</w:t>
      </w:r>
    </w:p>
    <w:p>
      <w:pPr>
        <w:spacing w:after="0" w:line="10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9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2024, capital spending on the construction of our new incinerator in Kimball, Nebraska was $40.4 million. Total spending on the project as of June 30, 2024 was $175.1 million. We continue to anticipate that the total spend for this project will be approximately $200.0 million and we anticipate it will be operational in late 2024. Additionally, capital spending on the strategic project in Baltimore, Maryland for the first six months of 2024 was $15.4 million for the purchase of the facility and site improvements and we expect to incur an additional $4.6 million relative to this project during the remainder of 2024.</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33"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As of June 30, 2024, our financing arrangements include (i) $545.0 million of 4.875% senior unsecured notes due 2027, (ii) $1,472.4 million of senior secured term loans due 2028, (iii) $300.0 million of 5.125% senior unsecured notes due 2029 and (iv) $500.0 million of 6.375% senior unsecured notes due 2031. As noted above, we also maintain our $600.0 million revolving credit facility with no amounts owed as of June 30, 2024.</w:t>
      </w:r>
    </w:p>
    <w:p>
      <w:pPr>
        <w:spacing w:after="0" w:line="123"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the accompanying unaudited consolidated financial statements.</w:t>
      </w:r>
    </w:p>
    <w:p>
      <w:pPr>
        <w:spacing w:after="0" w:line="8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we were in compliance with the covenants of all of our debt agreements, and we believe we will continue to meet such covenants.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common stock repurchases are made pursuant to the previously authorized board approved plan to repurchase up to $1.1 billion of the Company’s common stock. During the three and six months ended June 30, 2024, the Company repurchased and retired 23,397 and 50,662 shares, respectively, of the Company’s common stock for total expenditures of $5.0 million and $10.0 million, respectively. During the three and six months ended June 30, 2023, the Company repurchased and retired a total of 36,473 and 58,723 shares, respectively, of the Company’s common stock for total expenditures of $5.0 million and $8.0 million, respectively.</w:t>
      </w:r>
    </w:p>
    <w:p>
      <w:pPr>
        <w:spacing w:after="0" w:line="11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2024, the Company has repurchased and retired a total of approximately 8.6 million shares of its common stock for $555.9 million under the board approved plan, and as of June 30, 2024, an additional $544.1 million remained available for repurchase of shares.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Pr>
          <w:p>
            <w:pPr>
              <w:spacing w:after="0"/>
              <w:rPr>
                <w:sz w:val="18"/>
                <w:szCs w:val="18"/>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8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9"/>
              </w:rPr>
              <w:t>0.4 %</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940" w:type="dxa"/>
            <w:vAlign w:val="bottom"/>
            <w:tcBorders>
              <w:bottom w:val="single" w:sz="8" w:color="CCEEFF"/>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9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99"/>
              </w:rPr>
              <w:t>0.4 %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June 30, 2024 were $230.7 million, relatively consistent with the balance as of December 31, 2023. During the six months ended June 30, 2024, accretion of $6.5 million and increases in environmental liability estimates of $4.1 million were partially offset by expenditures of $9.9 million. The liability estimate increase was primarily driven by a change a remedial liability estimate for a Superfund site of $2.9 million.</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June 30, 2024, there were $136.5 million outstanding letters of credit. See Note 11, “Financing Arrangements,” to the accompanying unaudited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first six months of 2024 to the information provided under the heading “Critical Accounting Estimates” included in our Annual Report on Form 10-K for the year ended December 31, 2023. For more information regarding our accounting policies, please refer to Note 2, “Significant Accounting Policies” to the accompanying unaudited consolidated financial statements.</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six months of 2024 to the information provided under Item 7A. “Quantitative and Qualitative Disclosures about Market Risk”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June 30, 2024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544,101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544,101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58" w:lineRule="exact"/>
        <w:rPr>
          <w:sz w:val="20"/>
          <w:szCs w:val="20"/>
          <w:color w:val="auto"/>
        </w:rPr>
      </w:pPr>
    </w:p>
    <w:p>
      <w:pPr>
        <w:ind w:left="660" w:right="720" w:hanging="328"/>
        <w:spacing w:after="0" w:line="261" w:lineRule="auto"/>
        <w:tabs>
          <w:tab w:leader="none" w:pos="7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7,493 shares withheld by us from employees to satisfy employee tax obligations upon vesting of restricted stock granted to our employees under the Company’s equity incentive plans.</w:t>
      </w:r>
    </w:p>
    <w:p>
      <w:pPr>
        <w:ind w:left="660" w:right="20" w:hanging="328"/>
        <w:spacing w:after="0" w:line="250" w:lineRule="auto"/>
        <w:tabs>
          <w:tab w:leader="none" w:pos="7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Company’s stock repurchase program includes the commissions paid to brokers.</w:t>
      </w:r>
    </w:p>
    <w:p>
      <w:pPr>
        <w:ind w:left="660" w:right="40" w:hanging="328"/>
        <w:spacing w:after="0" w:line="251" w:lineRule="auto"/>
        <w:tabs>
          <w:tab w:leader="none" w:pos="7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repurchases are made pursuant to the stock repurchase plan, which was most recently authorized by the board of directors on December 5, 2024, to repurchase up to $1.1 billion of the Company’s common stock. The stock repurchase plan will expire when all of the available allotted funds under the stock repurchase plan are depleted. As of June 30, 2024, the amount available for repurchase under the board approved plan is $544.1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Securities Exchange Act of 1934, as amended. During the three months ended June 30, 2024,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On May 23, 2024, Ms. Lauren States, a member of the Company’s board of directors, adopted a trading arrangement for the sale of shares of the Company’s common stock (a “Rule 10b5-1 Trading Plan”) that is intended to satisfy the affirmative defense conditions of Securities Exchange Act Rule 10b5-1(c). Ms. States’ Rule 10b5-1 Trading Plan, which has a term from September 15, 2024 to February 28, 2025, provides for the sale of up to 1,849 shares of common stock pursuant to the terms of the Rule 10b5-1 Trading Plan.</w:t>
      </w:r>
    </w:p>
    <w:p>
      <w:pPr>
        <w:spacing w:after="0" w:line="1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40" w:type="dxa"/>
            <w:vAlign w:val="bottom"/>
            <w:gridSpan w:val="12"/>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3"/>
        </w:trPr>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80" w:type="dxa"/>
            <w:vAlign w:val="bottom"/>
            <w:gridSpan w:val="14"/>
          </w:tcPr>
          <w:p>
            <w:pPr>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Seventh Amended and Restated Credit Agreement dated as of June 28, 2024 among Clean Harbors, Inc., as the</w:t>
              </w:r>
            </w:hyperlink>
          </w:p>
        </w:tc>
        <w:tc>
          <w:tcPr>
            <w:tcW w:w="100" w:type="dxa"/>
            <w:vAlign w:val="bottom"/>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w:t>
            </w:r>
          </w:p>
        </w:tc>
      </w:tr>
      <w:tr>
        <w:trPr>
          <w:trHeight w:val="155"/>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U.S. Borrower, Clean Harbors Industrial Services Canada, Inc., as the Canadian Borrower, Bank of America,</w:t>
              </w:r>
            </w:hyperlink>
          </w:p>
        </w:tc>
        <w:tc>
          <w:tcPr>
            <w:tcW w:w="16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N.A., as Administrative Agent, and the Lenders party thereto</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Second Amended and Restated Confirmation and Ratification of Ancillary Loan Documents dated as of June</w:t>
              </w:r>
            </w:hyperlink>
          </w:p>
        </w:tc>
        <w:tc>
          <w:tcPr>
            <w:tcW w:w="300" w:type="dxa"/>
            <w:vAlign w:val="bottom"/>
            <w:gridSpan w:val="5"/>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r>
      <w:tr>
        <w:trPr>
          <w:trHeight w:val="156"/>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gridSpan w:val="15"/>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28, 2024 among Clean Harbors, Inc., as the U.S. Borrower, Clean Harbors Industrial Services Canada, Inc., as</w:t>
              </w:r>
            </w:hyperlink>
          </w:p>
        </w:tc>
        <w:tc>
          <w:tcPr>
            <w:tcW w:w="18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the Canadian Borrower, the subsidiaries of Clean Harbors, Inc. listed on Annex A thereto or that thereafter</w:t>
              </w:r>
            </w:hyperlink>
          </w:p>
        </w:tc>
        <w:tc>
          <w:tcPr>
            <w:tcW w:w="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become a party thereto as Grantors, and Bank of America, N.A., as Agent for its own benefit and the benefit</w:t>
              </w:r>
            </w:hyperlink>
          </w:p>
        </w:tc>
        <w:tc>
          <w:tcPr>
            <w:tcW w:w="500" w:type="dxa"/>
            <w:vAlign w:val="bottom"/>
            <w:gridSpan w:val="7"/>
          </w:tcPr>
          <w:p>
            <w:pPr>
              <w:ind w:left="160"/>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of</w:t>
              </w:r>
            </w:hyperlink>
          </w:p>
        </w:tc>
        <w:tc>
          <w:tcPr>
            <w:tcW w:w="1880" w:type="dxa"/>
            <w:vAlign w:val="bottom"/>
          </w:tcPr>
          <w:p>
            <w:pPr>
              <w:spacing w:after="0"/>
              <w:rPr>
                <w:sz w:val="14"/>
                <w:szCs w:val="14"/>
                <w:color w:val="auto"/>
              </w:rPr>
            </w:pPr>
          </w:p>
        </w:tc>
      </w:tr>
      <w:tr>
        <w:trPr>
          <w:trHeight w:val="156"/>
        </w:trPr>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the other Lenders and Credit Parties</w:t>
              </w:r>
            </w:hyperlink>
          </w:p>
        </w:tc>
        <w:tc>
          <w:tcPr>
            <w:tcW w:w="5400" w:type="dxa"/>
            <w:vAlign w:val="bottom"/>
            <w:tcBorders>
              <w:top w:val="single" w:sz="8" w:color="0000FF"/>
            </w:tcBorders>
            <w:gridSpan w:val="10"/>
          </w:tcPr>
          <w:p>
            <w:pPr>
              <w:spacing w:after="0"/>
              <w:rPr>
                <w:sz w:val="13"/>
                <w:szCs w:val="13"/>
                <w:color w:val="auto"/>
              </w:rPr>
            </w:pPr>
          </w:p>
        </w:tc>
        <w:tc>
          <w:tcPr>
            <w:tcW w:w="18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Clean Harbors Employee Stock Purchase Plan</w:t>
              </w:r>
            </w:hyperlink>
          </w:p>
        </w:tc>
        <w:tc>
          <w:tcPr>
            <w:tcW w:w="4840" w:type="dxa"/>
            <w:vAlign w:val="bottom"/>
            <w:gridSpan w:val="12"/>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r>
      <w:tr>
        <w:trPr>
          <w:trHeight w:val="26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2980" w:type="dxa"/>
            <w:vAlign w:val="bottom"/>
            <w:gridSpan w:val="9"/>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2860" w:type="dxa"/>
            <w:vAlign w:val="bottom"/>
            <w:gridSpan w:val="8"/>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2560" w:type="dxa"/>
            <w:vAlign w:val="bottom"/>
            <w:tcBorders>
              <w:top w:val="single" w:sz="8" w:color="0000FF"/>
            </w:tcBorders>
            <w:gridSpan w:val="4"/>
          </w:tcPr>
          <w:p>
            <w:pPr>
              <w:spacing w:after="0"/>
              <w:rPr>
                <w:sz w:val="22"/>
                <w:szCs w:val="22"/>
                <w:color w:val="auto"/>
              </w:rPr>
            </w:pPr>
          </w:p>
        </w:tc>
        <w:tc>
          <w:tcPr>
            <w:tcW w:w="3640" w:type="dxa"/>
            <w:vAlign w:val="bottom"/>
            <w:gridSpan w:val="10"/>
          </w:tcPr>
          <w:p>
            <w:pPr>
              <w:spacing w:after="0"/>
              <w:rPr>
                <w:sz w:val="22"/>
                <w:szCs w:val="22"/>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304"/>
        </w:trPr>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4"/>
        </w:trPr>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880" w:type="dxa"/>
            <w:vAlign w:val="bottom"/>
          </w:tcPr>
          <w:p>
            <w:pPr>
              <w:spacing w:after="0"/>
              <w:rPr>
                <w:sz w:val="20"/>
                <w:szCs w:val="20"/>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00" w:lineRule="exact"/>
        <w:rPr>
          <w:sz w:val="20"/>
          <w:szCs w:val="20"/>
          <w:color w:val="auto"/>
        </w:rPr>
      </w:pPr>
    </w:p>
    <w:p>
      <w:pPr>
        <w:spacing w:after="0" w:line="330" w:lineRule="exact"/>
        <w:rPr>
          <w:sz w:val="20"/>
          <w:szCs w:val="20"/>
          <w:color w:val="auto"/>
        </w:rPr>
      </w:pPr>
    </w:p>
    <w:p>
      <w:pPr>
        <w:ind w:left="420" w:hanging="25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4.43.3 to the Company’s Current Report on Form 8-K filed on July 2, 2024.</w:t>
      </w:r>
    </w:p>
    <w:p>
      <w:pPr>
        <w:spacing w:after="0" w:line="157"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4.43I to the Company’s Current Report on Form 8-K filed on July 2, 2024.</w:t>
      </w:r>
    </w:p>
    <w:p>
      <w:pPr>
        <w:spacing w:after="0" w:line="157"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10.66 to the Company’s Current Report on Form 8-K filed on May 23, 2024.</w:t>
      </w:r>
    </w:p>
    <w:p>
      <w:pPr>
        <w:spacing w:after="0" w:line="144" w:lineRule="exact"/>
        <w:rPr>
          <w:sz w:val="20"/>
          <w:szCs w:val="20"/>
          <w:color w:val="auto"/>
        </w:rPr>
      </w:pPr>
    </w:p>
    <w:p>
      <w:pPr>
        <w:ind w:left="320" w:hanging="150"/>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The Company agrees to furnish a supplemental copy to the SEC upon request.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77"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31, 2024</w:t>
      </w:r>
    </w:p>
    <w:p>
      <w:pPr>
        <w:spacing w:after="0" w:line="77"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31, 2024</w:t>
      </w:r>
    </w:p>
    <w:p>
      <w:pPr>
        <w:spacing w:after="0" w:line="77"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40"/>
          </w:cols>
          <w:pgMar w:left="320" w:top="121" w:right="10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June 30, 2024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11" w:lineRule="exact"/>
        <w:rPr>
          <w:sz w:val="20"/>
          <w:szCs w:val="20"/>
          <w:color w:val="auto"/>
        </w:rPr>
      </w:pPr>
    </w:p>
    <w:p>
      <w:pPr>
        <w:ind w:left="538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52" w:lineRule="exact"/>
        <w:rPr>
          <w:sz w:val="20"/>
          <w:szCs w:val="20"/>
          <w:color w:val="auto"/>
        </w:rPr>
      </w:pPr>
    </w:p>
    <w:p>
      <w:pPr>
        <w:ind w:left="538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77" w:lineRule="exact"/>
        <w:rPr>
          <w:sz w:val="20"/>
          <w:szCs w:val="20"/>
          <w:color w:val="auto"/>
        </w:rPr>
      </w:pPr>
    </w:p>
    <w:p>
      <w:pPr>
        <w:ind w:left="538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05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July 31,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6" Type="http://schemas.openxmlformats.org/officeDocument/2006/relationships/hyperlink" Target="https://www.sec.gov/Archives/edgar/data/822818/000082281824000028/a01bofa-xcleanharbors7th.htm" TargetMode="External"/><Relationship Id="rId47" Type="http://schemas.openxmlformats.org/officeDocument/2006/relationships/hyperlink" Target="https://www.sec.gov/Archives/edgar/data/822818/000082281824000028/a04bofa-xcleanharbors7th.htm" TargetMode="External"/><Relationship Id="rId48" Type="http://schemas.openxmlformats.org/officeDocument/2006/relationships/hyperlink" Target="https://www.sec.gov/Archives/edgar/data/822818/000082281824000023/form8-kex10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2024-07-31T09:15:55Z</dcterms:created>
  <dcterms:modified xsi:type="dcterms:W3CDTF">2024-07-31T09:15:55Z</dcterms:modified>
</cp:coreProperties>
</file>