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45" w:before="0" w:after="0"/>
        <w:jc w:val="center"/>
        <w:rPr>
          <w:color w:val="000000"/>
        </w:rPr>
      </w:pPr>
      <w:r>
        <w:rPr>
          <w:color w:val="000000"/>
        </w:rPr>
        <w:t> </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345" w:before="0" w:after="0"/>
        <w:jc w:val="center"/>
        <w:rPr>
          <w:color w:val="000000"/>
        </w:rPr>
      </w:pPr>
      <w:r>
        <w:rPr>
          <w:color w:val="000000"/>
        </w:rPr>
        <w:t>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345" w:before="0" w:after="0"/>
        <w:jc w:val="center"/>
        <w:rPr>
          <w:color w:val="000000"/>
        </w:rPr>
      </w:pPr>
      <w:r>
        <w:rPr>
          <w:color w:val="000000"/>
        </w:rPr>
        <w:t> </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September 17, 2026 </w:t>
      </w:r>
    </w:p>
    <w:p>
      <w:pPr>
        <w:pStyle w:val="TextBody"/>
        <w:bidi w:val="0"/>
        <w:spacing w:lineRule="auto" w:line="345" w:before="0" w:after="0"/>
        <w:jc w:val="center"/>
        <w:rPr>
          <w:color w:val="000000"/>
        </w:rPr>
      </w:pPr>
      <w:r>
        <w:rPr>
          <w:color w:val="000000"/>
        </w:rPr>
        <w:t> </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CLEAN HARBORS, INC.</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345" w:before="0" w:after="0"/>
        <w:jc w:val="center"/>
        <w:rPr>
          <w:color w:val="000000"/>
        </w:rPr>
      </w:pPr>
      <w:r>
        <w:rPr>
          <w:color w:val="000000"/>
        </w:rPr>
        <w:t> </w:t>
      </w:r>
    </w:p>
    <w:tbl>
      <w:tblPr>
        <w:tblW w:w="5873" w:type="dxa"/>
        <w:jc w:val="center"/>
        <w:tblInd w:w="0" w:type="dxa"/>
        <w:tblLayout w:type="fixed"/>
        <w:tblCellMar>
          <w:top w:w="28" w:type="dxa"/>
          <w:left w:w="28" w:type="dxa"/>
          <w:bottom w:w="28" w:type="dxa"/>
          <w:right w:w="28" w:type="dxa"/>
        </w:tblCellMar>
      </w:tblPr>
      <w:tblGrid>
        <w:gridCol w:w="830"/>
        <w:gridCol w:w="731"/>
        <w:gridCol w:w="733"/>
        <w:gridCol w:w="109"/>
        <w:gridCol w:w="109"/>
        <w:gridCol w:w="109"/>
        <w:gridCol w:w="409"/>
        <w:gridCol w:w="409"/>
        <w:gridCol w:w="413"/>
        <w:gridCol w:w="109"/>
        <w:gridCol w:w="109"/>
        <w:gridCol w:w="109"/>
        <w:gridCol w:w="494"/>
        <w:gridCol w:w="494"/>
        <w:gridCol w:w="706"/>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001-34223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04-2997780</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4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4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4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5163" w:type="dxa"/>
        <w:jc w:val="center"/>
        <w:tblInd w:w="0" w:type="dxa"/>
        <w:tblLayout w:type="fixed"/>
        <w:tblCellMar>
          <w:top w:w="28" w:type="dxa"/>
          <w:left w:w="28" w:type="dxa"/>
          <w:bottom w:w="28" w:type="dxa"/>
          <w:right w:w="28" w:type="dxa"/>
        </w:tblCellMar>
      </w:tblPr>
      <w:tblGrid>
        <w:gridCol w:w="337"/>
        <w:gridCol w:w="297"/>
        <w:gridCol w:w="297"/>
        <w:gridCol w:w="297"/>
        <w:gridCol w:w="297"/>
        <w:gridCol w:w="301"/>
        <w:gridCol w:w="260"/>
        <w:gridCol w:w="260"/>
        <w:gridCol w:w="261"/>
        <w:gridCol w:w="140"/>
        <w:gridCol w:w="140"/>
        <w:gridCol w:w="141"/>
        <w:gridCol w:w="109"/>
        <w:gridCol w:w="109"/>
        <w:gridCol w:w="109"/>
        <w:gridCol w:w="109"/>
        <w:gridCol w:w="109"/>
        <w:gridCol w:w="109"/>
        <w:gridCol w:w="109"/>
        <w:gridCol w:w="109"/>
        <w:gridCol w:w="109"/>
        <w:gridCol w:w="337"/>
        <w:gridCol w:w="337"/>
        <w:gridCol w:w="480"/>
      </w:tblGrid>
      <w:tr>
        <w:trPr/>
        <w:tc>
          <w:tcPr>
            <w:tcW w:w="3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82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 Longwater Drive</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Norwell</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02061-9149</w:t>
            </w:r>
          </w:p>
        </w:tc>
      </w:tr>
      <w:tr>
        <w:trPr/>
        <w:tc>
          <w:tcPr>
            <w:tcW w:w="368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345" w:before="0" w:after="0"/>
        <w:jc w:val="center"/>
        <w:rPr/>
      </w:pPr>
      <w:r>
        <w:rPr>
          <w:color w:val="000000"/>
        </w:rPr>
        <w:t> </w:t>
      </w: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(781) 792-5000 </w:t>
      </w:r>
    </w:p>
    <w:p>
      <w:pPr>
        <w:pStyle w:val="TextBody"/>
        <w:bidi w:val="0"/>
        <w:spacing w:lineRule="auto" w:line="345" w:before="0" w:after="0"/>
        <w:jc w:val="center"/>
        <w:rPr>
          <w:color w:val="000000"/>
        </w:rPr>
      </w:pPr>
      <w:r>
        <w:rPr>
          <w:color w:val="000000"/>
        </w:rPr>
        <w:t> </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345" w:before="0" w:after="0"/>
        <w:jc w:val="center"/>
        <w:rPr>
          <w:color w:val="000000"/>
        </w:rPr>
      </w:pPr>
      <w:r>
        <w:rPr>
          <w:color w:val="000000"/>
        </w:rPr>
        <w:t> </w:t>
      </w:r>
    </w:p>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345"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10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00" w:after="1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08" w:type="dxa"/>
        <w:jc w:val="center"/>
        <w:tblInd w:w="0" w:type="dxa"/>
        <w:tblLayout w:type="fixed"/>
        <w:tblCellMar>
          <w:top w:w="28" w:type="dxa"/>
          <w:left w:w="28" w:type="dxa"/>
          <w:bottom w:w="28" w:type="dxa"/>
          <w:right w:w="28" w:type="dxa"/>
        </w:tblCellMar>
      </w:tblPr>
      <w:tblGrid>
        <w:gridCol w:w="986"/>
        <w:gridCol w:w="867"/>
        <w:gridCol w:w="877"/>
        <w:gridCol w:w="109"/>
        <w:gridCol w:w="109"/>
        <w:gridCol w:w="109"/>
        <w:gridCol w:w="499"/>
        <w:gridCol w:w="499"/>
        <w:gridCol w:w="501"/>
        <w:gridCol w:w="109"/>
        <w:gridCol w:w="109"/>
        <w:gridCol w:w="109"/>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CLH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17, 2026, Clean Harbors, Inc. (the “Company”) issued a press release announcing that it had commenced a private offering of senior notes due 2034 to persons reasonably believed to be “qualified institutional buyers” in the United States, as defined in Rule 144A under the Securities Act of 1933, as amended (the “Securities Act”), and to certain non-U.S. persons outside the United States in offshore transactions pursuant to Regulation S under the Securities Act.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17, 2026, the Company issued a press release announcing the pricing of its previously announced offering of 6.250% senior notes due 2034 (the “Notes”).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Copies of the press releases are attached as Exhibit 99.1 and 99.2 to this Current Report on Form 8-K and are incorporated by reference into this Item 8.01.</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Neither this Current Report on Form 8-K nor the press releases constitute an offer to sell, or the solicitation of an offer to buy, the Notes.</w:t>
      </w: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9823" w:type="dxa"/>
        <w:jc w:val="left"/>
        <w:tblInd w:w="0" w:type="dxa"/>
        <w:tblLayout w:type="fixed"/>
        <w:tblCellMar>
          <w:top w:w="28" w:type="dxa"/>
          <w:left w:w="28" w:type="dxa"/>
          <w:bottom w:w="28" w:type="dxa"/>
          <w:right w:w="28" w:type="dxa"/>
        </w:tblCellMar>
      </w:tblPr>
      <w:tblGrid>
        <w:gridCol w:w="538"/>
        <w:gridCol w:w="472"/>
        <w:gridCol w:w="474"/>
        <w:gridCol w:w="2432"/>
        <w:gridCol w:w="2432"/>
        <w:gridCol w:w="3475"/>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347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8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8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clh-notesofferinglaunchrel.htm">
              <w:r>
                <w:rPr>
                  <w:rStyle w:val="InternetLink"/>
                  <w:rFonts w:ascii="Times New Roman;serif" w:hAnsi="Times New Roman;serif"/>
                  <w:b w:val="false"/>
                  <w:color w:val="0000FF"/>
                  <w:sz w:val="20"/>
                  <w:u w:val="single"/>
                </w:rPr>
                <w:t>Press release of the Company relating to the announcement of the offering, dated September 17,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83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lh-notesofferingpricingre.htm">
              <w:r>
                <w:rPr>
                  <w:rStyle w:val="InternetLink"/>
                  <w:rFonts w:ascii="Times New Roman;serif" w:hAnsi="Times New Roman;serif"/>
                  <w:b w:val="false"/>
                  <w:color w:val="0000FF"/>
                  <w:sz w:val="20"/>
                  <w:u w:val="single"/>
                </w:rPr>
                <w:t>Press release of the Company relating to the pricing of the offering, dated September 17,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8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Pursuant to the requirements of the Securities and Exchange Act of 1934, the registrant has duly caused this report to be signed on its behalf by the undersigned hereunto duly authorized.</w:t>
      </w:r>
    </w:p>
    <w:tbl>
      <w:tblPr>
        <w:tblW w:w="6179" w:type="dxa"/>
        <w:jc w:val="center"/>
        <w:tblInd w:w="0" w:type="dxa"/>
        <w:tblLayout w:type="fixed"/>
        <w:tblCellMar>
          <w:top w:w="28" w:type="dxa"/>
          <w:left w:w="28" w:type="dxa"/>
          <w:bottom w:w="28" w:type="dxa"/>
          <w:right w:w="28" w:type="dxa"/>
        </w:tblCellMar>
      </w:tblPr>
      <w:tblGrid>
        <w:gridCol w:w="629"/>
        <w:gridCol w:w="554"/>
        <w:gridCol w:w="556"/>
        <w:gridCol w:w="1300"/>
        <w:gridCol w:w="1300"/>
        <w:gridCol w:w="1840"/>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Harbors, Inc.</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18, 2026</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Eric J. Dugas</w:t>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4440"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ind w:left="0" w:right="0" w:hanging="90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657350" cy="5143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657350" cy="514350"/>
                    </a:xfrm>
                    <a:prstGeom prst="rect">
                      <a:avLst/>
                    </a:prstGeom>
                  </pic:spPr>
                </pic:pic>
              </a:graphicData>
            </a:graphic>
          </wp:inline>
        </w:drawing>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99.1</w:t>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Press Release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Clean Harbors Announces $600 Million Senior Notes Offering</w:t>
      </w:r>
    </w:p>
    <w:p>
      <w:pPr>
        <w:pStyle w:val="TextBody"/>
        <w:bidi w:val="0"/>
        <w:spacing w:before="0" w:after="0"/>
        <w:jc w:val="center"/>
        <w:rPr/>
      </w:pPr>
      <w:r>
        <w:rPr/>
      </w:r>
    </w:p>
    <w:p>
      <w:pPr>
        <w:pStyle w:val="TextBody"/>
        <w:bidi w:val="0"/>
        <w:spacing w:lineRule="auto" w:line="288" w:before="0" w:after="200"/>
        <w:jc w:val="left"/>
        <w:rPr/>
      </w:pPr>
      <w:r>
        <w:rPr>
          <w:rFonts w:ascii="Times New Roman;serif" w:hAnsi="Times New Roman;serif"/>
          <w:b/>
          <w:color w:val="000000"/>
          <w:sz w:val="24"/>
        </w:rPr>
        <w:t>NORWELL, Mass. – September 17, 2026 –</w:t>
      </w:r>
      <w:r>
        <w:rPr>
          <w:color w:val="000000"/>
        </w:rPr>
        <w:t xml:space="preserve"> </w:t>
      </w:r>
      <w:r>
        <w:rPr>
          <w:rFonts w:ascii="Times New Roman;serif" w:hAnsi="Times New Roman;serif"/>
          <w:b w:val="false"/>
          <w:color w:val="0563C1"/>
          <w:sz w:val="24"/>
          <w:u w:val="single"/>
        </w:rPr>
        <w:t>Clean Harbors, Inc.</w:t>
      </w:r>
      <w:r>
        <w:rPr>
          <w:color w:val="000000"/>
        </w:rPr>
        <w:t xml:space="preserve"> </w:t>
      </w:r>
      <w:r>
        <w:rPr>
          <w:rFonts w:ascii="Times New Roman;serif" w:hAnsi="Times New Roman;serif"/>
          <w:b w:val="false"/>
          <w:color w:val="000000"/>
          <w:sz w:val="24"/>
        </w:rPr>
        <w:t>(“Clean Harbors” or the “Company”) (NYSE: CLH), announced today that it is commencing a private offering of $600 million of senior notes (the “notes”). Clean Harbors expects the notes to mature in 2034.</w: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The Company intends to use the net proceeds from the offering of notes to finance the purchase price of the Company’s previously announced acquisition of EnviroServe, a national provider of environmental and waste management services (the “EnviroServe Acquisition”), and the remainder of the net proceeds to repay the borrowings under its revolving credit facility that were incurred to partially finance the purchase price of the Company’s previously announced acquisition of ES&amp;H (the “ES&amp;H Acquisition” and, together with the EnviroServe Acquisition, the “Acquisitions”). There can be no assurance that the Acquisitions will be completed on the terms the Company anticipates, in a timely manner or at all. The consummation of the offering of notes is not contingent on the completion of the Acquisitions and, if either Acquisition is not completed, the Company intends to use the remaining net proceeds for general corporate purposes.</w: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The notes will be offered and sold to persons reasonably believed to be qualified institutional buyers pursuant to Rule 144A under the Securities Act of 1933, as amended (the “Securities Act”), and outside the United States pursuant to Regulation S under the Securities Act. This press release does not constitute an offer to sell or the solicitation of an offer to buy any of the notes, nor shall there be any sale of notes in any jurisdiction in which such offer, solicitation or sale would be unlawful. The notes will not be registered under the Securities Act or the securities laws of any other jurisdiction and may not be offered or sold in the United States absent registration or an applicable exemption from registration requirements.</w:t>
      </w:r>
    </w:p>
    <w:p>
      <w:pPr>
        <w:pStyle w:val="TextBody"/>
        <w:bidi w:val="0"/>
        <w:spacing w:lineRule="auto" w:line="288" w:before="0" w:after="200"/>
        <w:jc w:val="left"/>
        <w:rPr>
          <w:rFonts w:ascii="Arial;sans-serif" w:hAnsi="Arial;sans-serif"/>
          <w:b/>
          <w:color w:val="000000"/>
          <w:sz w:val="24"/>
        </w:rPr>
      </w:pPr>
      <w:r>
        <w:rPr>
          <w:rFonts w:ascii="Arial;sans-serif" w:hAnsi="Arial;sans-serif"/>
          <w:b/>
          <w:color w:val="000000"/>
          <w:sz w:val="24"/>
        </w:rPr>
        <w:t>About Clean Harbors</w: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Clean Harbors (NYSE: CLH) is North America’s leading provider of environmental and industrial services. The Company serves a diverse customer base, including a majority of Fortune 500 companies. Its customer base spans a number of industries, including chemical, manufacturing and refining, as well as numerous government agencies. These customers rely on Clean Harbors to deliver a broad range of services such as end-to-end hazardous waste management, emergency spill response, industrial cleaning and maintenance, and recycling services. Through its Safety-Kleen subsidiary, Clean Harbors also is a leading provider of parts washers and environmental services to commercial, industrial and automotive customers, as well as North America’s largest re-refiner and recycler of used oil. Founded in 1980 and based in Massachusetts, Clean Harbors operates in the United States, Canada, Mexico, Puerto Rico and India.</w:t>
      </w:r>
    </w:p>
    <w:p>
      <w:pPr>
        <w:pStyle w:val="TextBody"/>
        <w:bidi w:val="0"/>
        <w:spacing w:lineRule="auto" w:line="288" w:before="0" w:after="200"/>
        <w:jc w:val="left"/>
        <w:rPr>
          <w:rFonts w:ascii="Arial;sans-serif" w:hAnsi="Arial;sans-serif"/>
          <w:b/>
          <w:color w:val="000000"/>
          <w:sz w:val="24"/>
        </w:rPr>
      </w:pPr>
      <w:r>
        <w:rPr>
          <w:rFonts w:ascii="Arial;sans-serif" w:hAnsi="Arial;sans-serif"/>
          <w:b/>
          <w:color w:val="000000"/>
          <w:sz w:val="24"/>
        </w:rPr>
        <w:t>Safe Harbor Statement</w: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 xml:space="preserve">Any statements contained herein that are not historical facts are forward-looking statements within the meaning of the Private Securities Litigation Reform Act of 1995. These forward-looking statements are generally identifiable by use of the words “believes,” “expects,” “intends,” “anticipates,” “plans to,” “seeks,” “will,” “should,” “estimates,” “projects,” “may,” “likely,” “potential,” “outlook” or similar expressions. Such statements include, but are not limited to, statements about the proposed offering of notes, the Company’s intended use of proceeds therefrom and the Acquisitions. Such statements are based upon the beliefs and </w:t>
      </w:r>
    </w:p>
    <w:p>
      <w:pPr>
        <w:pStyle w:val="TextBody"/>
        <w:bidi w:val="0"/>
        <w:spacing w:before="0" w:after="0"/>
        <w:jc w:val="left"/>
        <w:rPr/>
      </w:pPr>
      <w:r>
        <w:rPr/>
        <w:drawing>
          <wp:inline distT="0" distB="0" distL="0" distR="0">
            <wp:extent cx="1657350" cy="5143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657350" cy="514350"/>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2580"/>
                <wp:effectExtent l="0" t="0" r="0" b="0"/>
                <wp:wrapNone/>
                <wp:docPr id="6" name="Frame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expectations of Clean Harbors’ management as of the date of this press release only and are subject to certain risks and uncertainties that could cause actual results to differ materially, including, without limitation: the risk that the Company will not sell the notes, complete the Acquisitions or apply the net proceeds as indicated because of adverse market conditions or otherwise; risks associated with the Company’s ability to complete the Acquisitions, integrate the Acquisitions into the Company’s existing operations, and/or realize the expected benefits from the Acquisitions; operational and safety risks; risks relating to the failure of new or existing technologies; risks associated with the use of artificial intelligence; cybersecurity risks; the occurrence of natural disasters or other catastrophic events, as well as their residual macroeconomic effects; risks associated with retaining and hiring key personnel; environmental liability and product liability risks relating to hazardous waste management and other components of the Company’s business; negative economic, industry or other developments, including market volatility or economic downturns; risks associated with management’s assumptions relating to expansion of the Company’s landfills; reductions in the demand for emergency response services at industrial facilities or on roadways, railways or waterways, and other remedial projects and regulatory developments; reductions in the demand for oil products and automotive services and volatility in oil prices in the markets the Company serves; changes in statutory and regulatory requirements and risks relating to extensive environmental laws and regulations; risks associated with existing and potential litigation; risks associated with the Company’s identification and execution of strategic capital expenditures, acquisitions and divestitures and their related liabilities; risks relating to the availability and sufficiency of the Company’s insurance coverage, self-insurance, surety bonds, letters of credit and other forms of financial assurance; the impact of new tax legislation or changes in tax regulations and interpretations; the imposition of trade sanctions or tariffs; fluctuations in interest rates and foreign currency exchange rates; risks relating to the Company’s indebtedness and covenants in its debt agreements; risks associated with certain anti-takeover provisions under the Massachusetts Business Corporation Act and the Company’s By-Laws, and those items identified as “Risk Factors” in Clean Harbors’ most recently filed reports on Form 10-K and Form 10-Q. Forward-looking statements are neither historical facts nor assurances of future performance. Therefore, readers are cautioned not to place undue reliance on these forward-looking statements. Clean Harbors undertakes no obligation to revise or publicly release the results of any revision to these forward-looking statements other than through its filings with the Securities and Exchange Commission.</w:t>
      </w:r>
    </w:p>
    <w:p>
      <w:pPr>
        <w:pStyle w:val="TextBody"/>
        <w:bidi w:val="0"/>
        <w:spacing w:lineRule="auto" w:line="336" w:before="0" w:after="0"/>
        <w:jc w:val="left"/>
        <w:rPr>
          <w:rFonts w:ascii="Arial;sans-serif" w:hAnsi="Arial;sans-serif"/>
          <w:b/>
          <w:color w:val="000000"/>
          <w:sz w:val="24"/>
        </w:rPr>
      </w:pPr>
      <w:r>
        <w:rPr>
          <w:rFonts w:ascii="Arial;sans-serif" w:hAnsi="Arial;sans-serif"/>
          <w:b/>
          <w:color w:val="000000"/>
          <w:sz w:val="24"/>
        </w:rPr>
        <w:t>Contacts:</w:t>
      </w:r>
    </w:p>
    <w:tbl>
      <w:tblPr>
        <w:tblW w:w="8342" w:type="dxa"/>
        <w:jc w:val="left"/>
        <w:tblInd w:w="0" w:type="dxa"/>
        <w:tblLayout w:type="fixed"/>
        <w:tblCellMar>
          <w:top w:w="28" w:type="dxa"/>
          <w:left w:w="28" w:type="dxa"/>
          <w:bottom w:w="28" w:type="dxa"/>
          <w:right w:w="28" w:type="dxa"/>
        </w:tblCellMar>
      </w:tblPr>
      <w:tblGrid>
        <w:gridCol w:w="2423"/>
        <w:gridCol w:w="1029"/>
        <w:gridCol w:w="1039"/>
        <w:gridCol w:w="109"/>
        <w:gridCol w:w="109"/>
        <w:gridCol w:w="109"/>
        <w:gridCol w:w="1635"/>
        <w:gridCol w:w="907"/>
        <w:gridCol w:w="982"/>
      </w:tblGrid>
      <w:tr>
        <w:trPr/>
        <w:tc>
          <w:tcPr>
            <w:tcW w:w="24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Eric J. Dugas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Jim Buckley</w:t>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EVP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SVP Investor Relations</w:t>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Clean Harbors,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Clean Harbors, Inc.</w:t>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781.792.5100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781.792.5100</w:t>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563C1"/>
                <w:sz w:val="24"/>
                <w:u w:val="single"/>
              </w:rPr>
            </w:pPr>
            <w:r>
              <w:rPr>
                <w:rFonts w:ascii="Times New Roman;serif" w:hAnsi="Times New Roman;serif"/>
                <w:b w:val="false"/>
                <w:color w:val="0563C1"/>
                <w:sz w:val="24"/>
                <w:u w:val="single"/>
              </w:rPr>
              <w:t>InvestorRelations@cleanharbors.com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563C1"/>
                <w:sz w:val="24"/>
                <w:u w:val="single"/>
              </w:rPr>
            </w:pPr>
            <w:r>
              <w:rPr>
                <w:rFonts w:ascii="Times New Roman;serif" w:hAnsi="Times New Roman;serif"/>
                <w:b w:val="false"/>
                <w:color w:val="0563C1"/>
                <w:sz w:val="24"/>
                <w:u w:val="single"/>
              </w:rPr>
              <w:t>Buckley.James@cleanharbors.com</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657350" cy="5143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657350" cy="514350"/>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2580"/>
                <wp:effectExtent l="0" t="0" r="0" b="0"/>
                <wp:wrapNone/>
                <wp:docPr id="8" name="Frame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99.2</w:t>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Press Release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Clean Harbors Prices Offering of Senior Notes Due 2034</w:t>
      </w:r>
    </w:p>
    <w:p>
      <w:pPr>
        <w:pStyle w:val="TextBody"/>
        <w:bidi w:val="0"/>
        <w:spacing w:before="0" w:after="0"/>
        <w:jc w:val="left"/>
        <w:rPr/>
      </w:pPr>
      <w:r>
        <w:rPr/>
      </w:r>
    </w:p>
    <w:p>
      <w:pPr>
        <w:pStyle w:val="TextBody"/>
        <w:bidi w:val="0"/>
        <w:spacing w:lineRule="auto" w:line="336" w:before="0" w:after="0"/>
        <w:jc w:val="left"/>
        <w:rPr/>
      </w:pPr>
      <w:r>
        <w:rPr>
          <w:rFonts w:ascii="Times New Roman;serif" w:hAnsi="Times New Roman;serif"/>
          <w:b/>
          <w:color w:val="000000"/>
          <w:sz w:val="24"/>
        </w:rPr>
        <w:t>NORWELL, Mass. – September 17, 2026 –</w:t>
      </w:r>
      <w:r>
        <w:rPr>
          <w:color w:val="000000"/>
        </w:rPr>
        <w:t xml:space="preserve"> </w:t>
      </w:r>
      <w:r>
        <w:rPr>
          <w:rFonts w:ascii="Times New Roman;serif" w:hAnsi="Times New Roman;serif"/>
          <w:b w:val="false"/>
          <w:color w:val="0563C1"/>
          <w:sz w:val="24"/>
          <w:u w:val="single"/>
        </w:rPr>
        <w:t>Clean Harbors, Inc.</w:t>
      </w:r>
      <w:r>
        <w:rPr>
          <w:color w:val="000000"/>
        </w:rPr>
        <w:t xml:space="preserve"> </w:t>
      </w:r>
      <w:r>
        <w:rPr>
          <w:rFonts w:ascii="Times New Roman;serif" w:hAnsi="Times New Roman;serif"/>
          <w:b w:val="false"/>
          <w:color w:val="000000"/>
          <w:sz w:val="24"/>
        </w:rPr>
        <w:t>(“Clean Harbors” or the “Company”) (NYSE: CLH), announced today that it has priced a private offering of $600 million of senior notes due 2034 (the “notes”).</w:t>
      </w:r>
    </w:p>
    <w:p>
      <w:pPr>
        <w:pStyle w:val="TextBody"/>
        <w:bidi w:val="0"/>
        <w:spacing w:before="0" w:after="0"/>
        <w:jc w:val="left"/>
        <w:rPr/>
      </w:pPr>
      <w:r>
        <w:rPr/>
      </w:r>
    </w:p>
    <w:p>
      <w:pPr>
        <w:pStyle w:val="TextBody"/>
        <w:bidi w:val="0"/>
        <w:spacing w:lineRule="auto" w:line="336" w:before="0" w:after="0"/>
        <w:jc w:val="left"/>
        <w:rPr>
          <w:rFonts w:ascii="Times New Roman;serif" w:hAnsi="Times New Roman;serif"/>
          <w:b w:val="false"/>
          <w:color w:val="000000"/>
          <w:sz w:val="24"/>
        </w:rPr>
      </w:pPr>
      <w:r>
        <w:rPr>
          <w:rFonts w:ascii="Times New Roman;serif" w:hAnsi="Times New Roman;serif"/>
          <w:b w:val="false"/>
          <w:color w:val="000000"/>
          <w:sz w:val="24"/>
        </w:rPr>
        <w:t>The notes, which carry an interest rate of 6.250%, were priced for purposes of resale at 100.000% of their aggregate principal amount. The issuance and sale of the notes is expected to close on or about October 1, 2026, subject to customary closing conditions. The Company intends to use the net proceeds from the offering of notes to finance the purchase price of the Company’s previously announced acquisition of EnviroServe, a national provider of environmental and waste management services (the “EnviroServe Acquisition”), and the remainder of the net proceeds to repay the borrowings under its revolving credit facility that were incurred to partially finance the purchase price of the Company’s previously announced acquisition of ES&amp;H (the “ES&amp;H Acquisition” and, together with the EnviroServe Acquisition, the “Acquisitions”). There can be no assurance that the Acquisitions will be completed on the terms the Company anticipates, in a timely manner or at all. The consummation of the offering of notes is not contingent on the completion of the Acquisitions and, if either Acquisition is not completed, the Company intends to use the remaining net proceeds for general corporate purposes.</w:t>
      </w:r>
    </w:p>
    <w:p>
      <w:pPr>
        <w:pStyle w:val="TextBody"/>
        <w:bidi w:val="0"/>
        <w:spacing w:before="0" w:after="0"/>
        <w:jc w:val="left"/>
        <w:rPr/>
      </w:pPr>
      <w:r>
        <w:rPr/>
      </w:r>
    </w:p>
    <w:p>
      <w:pPr>
        <w:pStyle w:val="TextBody"/>
        <w:bidi w:val="0"/>
        <w:spacing w:lineRule="auto" w:line="336" w:before="0" w:after="0"/>
        <w:jc w:val="left"/>
        <w:rPr>
          <w:rFonts w:ascii="Times New Roman;serif" w:hAnsi="Times New Roman;serif"/>
          <w:b w:val="false"/>
          <w:color w:val="000000"/>
          <w:sz w:val="24"/>
        </w:rPr>
      </w:pPr>
      <w:r>
        <w:rPr>
          <w:rFonts w:ascii="Times New Roman;serif" w:hAnsi="Times New Roman;serif"/>
          <w:b w:val="false"/>
          <w:color w:val="000000"/>
          <w:sz w:val="24"/>
        </w:rPr>
        <w:t>The notes will be offered and sold to persons reasonably believed to be qualified institutional buyers pursuant to Rule 144A under the Securities Act of 1933, as amended (the “Securities Act”), and outside the United States pursuant to Regulation S under the Securities Act. This press release does not constitute an offer to sell or the solicitation of an offer to buy any of the notes, nor shall there be any sale of notes in any jurisdiction in which such offer, solicitation or sale would be unlawful. The notes will not be registered under the Securities Act or the securities laws of any other jurisdiction and may not be offered or sold in the United States absent registration or an applicable exemption from registration requirements.</w:t>
      </w:r>
    </w:p>
    <w:p>
      <w:pPr>
        <w:pStyle w:val="TextBody"/>
        <w:bidi w:val="0"/>
        <w:spacing w:before="0" w:after="0"/>
        <w:jc w:val="left"/>
        <w:rPr/>
      </w:pPr>
      <w:r>
        <w:rPr/>
      </w:r>
    </w:p>
    <w:p>
      <w:pPr>
        <w:pStyle w:val="TextBody"/>
        <w:bidi w:val="0"/>
        <w:spacing w:lineRule="auto" w:line="336" w:before="0" w:after="120"/>
        <w:jc w:val="left"/>
        <w:rPr>
          <w:rFonts w:ascii="Arial;sans-serif" w:hAnsi="Arial;sans-serif"/>
          <w:b/>
          <w:color w:val="000000"/>
          <w:sz w:val="24"/>
        </w:rPr>
      </w:pPr>
      <w:r>
        <w:rPr>
          <w:rFonts w:ascii="Arial;sans-serif" w:hAnsi="Arial;sans-serif"/>
          <w:b/>
          <w:color w:val="000000"/>
          <w:sz w:val="24"/>
        </w:rPr>
        <w:t>About Clean Harbors</w:t>
      </w:r>
    </w:p>
    <w:p>
      <w:pPr>
        <w:pStyle w:val="TextBody"/>
        <w:bidi w:val="0"/>
        <w:spacing w:lineRule="auto" w:line="336" w:before="0" w:after="200"/>
        <w:jc w:val="left"/>
        <w:rPr>
          <w:rFonts w:ascii="Times New Roman;serif" w:hAnsi="Times New Roman;serif"/>
          <w:b w:val="false"/>
          <w:color w:val="000000"/>
          <w:sz w:val="24"/>
        </w:rPr>
      </w:pPr>
      <w:r>
        <w:rPr>
          <w:rFonts w:ascii="Times New Roman;serif" w:hAnsi="Times New Roman;serif"/>
          <w:b w:val="false"/>
          <w:color w:val="000000"/>
          <w:sz w:val="24"/>
        </w:rPr>
        <w:t>Clean Harbors (NYSE: CLH) is North America’s leading provider of environmental and industrial services. The Company serves a diverse customer base, including a majority of Fortune 500 companies. Its customer base spans a number of industries, including chemical, manufacturing and refining, as well as numerous government agencies. These customers rely on Clean Harbors to deliver a broad range of services such as end-to-end hazardous waste management, emergency spill response, industrial cleaning and maintenance, and recycling services. Through its Safety-Kleen subsidiary, Clean Harbors also is a leading provider of parts washers and environmental services to commercial, industrial and automotive customers, as well as North America’s largest re-refiner and recycler of used oil. Founded in 1980 and based in Massachusetts, Clean Harbors operates in the United States, Canada, Mexico, Puerto Rico and India.</w:t>
      </w:r>
    </w:p>
    <w:p>
      <w:pPr>
        <w:pStyle w:val="TextBody"/>
        <w:bidi w:val="0"/>
        <w:spacing w:before="0" w:after="0"/>
        <w:jc w:val="left"/>
        <w:rPr/>
      </w:pPr>
      <w:r>
        <w:rPr/>
        <w:drawing>
          <wp:inline distT="0" distB="0" distL="0" distR="0">
            <wp:extent cx="1657350" cy="51435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657350" cy="51435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2580"/>
                <wp:effectExtent l="0" t="0" r="0" b="0"/>
                <wp:wrapNone/>
                <wp:docPr id="10" name="Frame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Safe Harbor Statement</w:t>
      </w:r>
    </w:p>
    <w:p>
      <w:pPr>
        <w:pStyle w:val="TextBody"/>
        <w:bidi w:val="0"/>
        <w:spacing w:lineRule="auto" w:line="336" w:before="0" w:after="200"/>
        <w:jc w:val="left"/>
        <w:rPr>
          <w:rFonts w:ascii="Times New Roman;serif" w:hAnsi="Times New Roman;serif"/>
          <w:b w:val="false"/>
          <w:color w:val="000000"/>
          <w:sz w:val="24"/>
        </w:rPr>
      </w:pPr>
      <w:r>
        <w:rPr>
          <w:rFonts w:ascii="Times New Roman;serif" w:hAnsi="Times New Roman;serif"/>
          <w:b w:val="false"/>
          <w:color w:val="000000"/>
          <w:sz w:val="24"/>
        </w:rPr>
        <w:t>Any statements contained herein that are not historical facts are forward-looking statements within the meaning of the Private Securities Litigation Reform Act of 1995. These forward-looking statements are generally identifiable by use of the words “believes,” “expects,” “intends,” “anticipates,” “plans to,” “seeks,” “will,” “should,” “estimates,” “projects,” “may,” “likely,” “potential,” “outlook” or similar expressions. Such statements include, but are not limited to, statements about the closing of the offering of notes, the Company’s intended use of proceeds therefrom and the Acquisitions. Such statements are based upon the beliefs and expectations of Clean Harbors’ management as of the date of this press release only and are subject to certain risks and uncertainties that could cause actual results to differ materially, including, without limitation: the risk that the Company will not sell the notes, complete the Acquisitions or apply the net proceeds as indicated because of adverse market conditions or otherwise; risks associated with the Company’s ability to complete the Acquisitions, integrate the Acquisitions into the Company’s existing operations, and/or realize the expected benefits from the Acquisitions; operational and safety risks; risks relating to the failure of new or existing technologies; risks associated with the use of artificial intelligence; cybersecurity risks; the occurrence of natural disasters or other catastrophic events, as well as their residual macroeconomic effects; risks associated with retaining and hiring key personnel; environmental liability and product liability risks relating to hazardous waste management and other components of the Company’s business; negative economic, industry or other developments, including market volatility or economic downturns; risks associated with management’s assumptions relating to expansion of the Company’s landfills; reductions in the demand for emergency response services at industrial facilities or on roadways, railways or waterways, and other remedial projects and regulatory developments; reductions in the demand for oil products and automotive services and volatility in oil prices in the markets the Company serves; changes in statutory and regulatory requirements and risks relating to extensive environmental laws and regulations; risks associated with existing and potential litigation; risks associated with the Company’s identification and execution of strategic capital expenditures, acquisitions and divestitures and their related liabilities; risks relating to the availability and sufficiency of the Company’s insurance coverage, self-insurance, surety bonds, letters of credit and other forms of financial assurance; the impact of new tax legislation or changes in tax regulations and interpretations; the imposition of trade sanctions or tariffs; fluctuations in interest rates and foreign currency exchange rates; risks relating to the Company’s indebtedness and covenants in its debt agreements; risks associated with certain anti-takeover provisions under the Massachusetts Business Corporation Act and the Company’s By-Laws, and those items identified as “Risk Factors” in Clean Harbors’ most recently filed reports on Form 10-K and Form 10-Q. Forward-looking statements are neither historical facts nor assurances of future performance. Therefore, readers are cautioned not to place undue reliance on these forward-looking statements. Clean Harbors undertakes no obligation to revise or publicly release the results of any revision to these forward-looking statements other than through its filings with the Securities and Exchange Commission.</w:t>
      </w:r>
    </w:p>
    <w:p>
      <w:pPr>
        <w:pStyle w:val="TextBody"/>
        <w:bidi w:val="0"/>
        <w:spacing w:before="0" w:after="0"/>
        <w:jc w:val="left"/>
        <w:rPr/>
      </w:pPr>
      <w:r>
        <w:rPr/>
        <w:drawing>
          <wp:inline distT="0" distB="0" distL="0" distR="0">
            <wp:extent cx="1657350" cy="51435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657350" cy="514350"/>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2580"/>
                <wp:effectExtent l="0" t="0" r="0" b="0"/>
                <wp:wrapNone/>
                <wp:docPr id="12" name="Frame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p>
                  </w:txbxContent>
                </v:textbox>
                <w10:wrap type="none"/>
              </v:rect>
            </w:pict>
          </mc:Fallback>
        </mc:AlternateContent>
      </w:r>
    </w:p>
    <w:p>
      <w:pPr>
        <w:pStyle w:val="TextBody"/>
        <w:bidi w:val="0"/>
        <w:spacing w:before="0" w:after="0"/>
        <w:jc w:val="right"/>
        <w:rPr/>
      </w:pPr>
      <w:r>
        <w:rPr/>
      </w:r>
    </w:p>
    <w:p>
      <w:pPr>
        <w:pStyle w:val="TextBody"/>
        <w:bidi w:val="0"/>
        <w:spacing w:lineRule="auto" w:line="336" w:before="0" w:after="0"/>
        <w:jc w:val="left"/>
        <w:rPr>
          <w:rFonts w:ascii="Arial;sans-serif" w:hAnsi="Arial;sans-serif"/>
          <w:b/>
          <w:color w:val="000000"/>
          <w:sz w:val="24"/>
        </w:rPr>
      </w:pPr>
      <w:r>
        <w:rPr>
          <w:rFonts w:ascii="Arial;sans-serif" w:hAnsi="Arial;sans-serif"/>
          <w:b/>
          <w:color w:val="000000"/>
          <w:sz w:val="24"/>
        </w:rPr>
        <w:t>Contacts:</w:t>
      </w:r>
    </w:p>
    <w:tbl>
      <w:tblPr>
        <w:tblW w:w="8342" w:type="dxa"/>
        <w:jc w:val="left"/>
        <w:tblInd w:w="0" w:type="dxa"/>
        <w:tblLayout w:type="fixed"/>
        <w:tblCellMar>
          <w:top w:w="28" w:type="dxa"/>
          <w:left w:w="28" w:type="dxa"/>
          <w:bottom w:w="28" w:type="dxa"/>
          <w:right w:w="28" w:type="dxa"/>
        </w:tblCellMar>
      </w:tblPr>
      <w:tblGrid>
        <w:gridCol w:w="2423"/>
        <w:gridCol w:w="1029"/>
        <w:gridCol w:w="1039"/>
        <w:gridCol w:w="109"/>
        <w:gridCol w:w="109"/>
        <w:gridCol w:w="109"/>
        <w:gridCol w:w="1635"/>
        <w:gridCol w:w="907"/>
        <w:gridCol w:w="982"/>
      </w:tblGrid>
      <w:tr>
        <w:trPr/>
        <w:tc>
          <w:tcPr>
            <w:tcW w:w="24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Eric J. Dugas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Jim Buckley</w:t>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EVP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SVP Investor Relations</w:t>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Clean Harbors,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Clean Harbors, Inc.</w:t>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781.792.5100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781.792.5100</w:t>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563C1"/>
                <w:sz w:val="24"/>
                <w:u w:val="single"/>
              </w:rPr>
            </w:pPr>
            <w:r>
              <w:rPr>
                <w:rFonts w:ascii="Times New Roman;serif" w:hAnsi="Times New Roman;serif"/>
                <w:b w:val="false"/>
                <w:color w:val="0563C1"/>
                <w:sz w:val="24"/>
                <w:u w:val="single"/>
              </w:rPr>
              <w:t>InvestorRelations@cleanharbors.com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563C1"/>
                <w:sz w:val="24"/>
                <w:u w:val="single"/>
              </w:rPr>
            </w:pPr>
            <w:r>
              <w:rPr>
                <w:rFonts w:ascii="Times New Roman;serif" w:hAnsi="Times New Roman;serif"/>
                <w:b w:val="false"/>
                <w:color w:val="0563C1"/>
                <w:sz w:val="24"/>
                <w:u w:val="single"/>
              </w:rPr>
              <w:t>Buckley.James@cleanharbors.com</w:t>
            </w:r>
          </w:p>
        </w:tc>
      </w:tr>
    </w:tbl>
    <w:p>
      <w:pPr>
        <w:pStyle w:val="TextBody"/>
        <w:bidi w:val="0"/>
        <w:spacing w:lineRule="auto" w:line="2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2580"/>
                <wp:effectExtent l="0" t="0" r="0" b="0"/>
                <wp:wrapNone/>
                <wp:docPr id="13" name="Frame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2665</Words>
  <Characters>15538</Characters>
  <CharactersWithSpaces>18220</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