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4" w:lineRule="exact"/>
        <w:rPr>
          <w:sz w:val="24"/>
          <w:szCs w:val="24"/>
          <w:color w:val="auto"/>
        </w:rPr>
      </w:pPr>
    </w:p>
    <w:p>
      <w:pPr>
        <w:ind w:left="1220" w:hanging="357"/>
        <w:spacing w:after="0"/>
        <w:tabs>
          <w:tab w:leader="none" w:pos="1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31"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5" w:lineRule="exact"/>
        <w:rPr>
          <w:sz w:val="24"/>
          <w:szCs w:val="24"/>
          <w:color w:val="auto"/>
        </w:rPr>
      </w:pPr>
    </w:p>
    <w:p>
      <w:pPr>
        <w:ind w:left="1220" w:hanging="357"/>
        <w:spacing w:after="0"/>
        <w:tabs>
          <w:tab w:leader="none" w:pos="1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00"/>
          </w:cols>
          <w:pgMar w:left="320" w:top="229" w:right="379" w:bottom="1440" w:gutter="0" w:footer="0" w:header="0"/>
        </w:sectPr>
      </w:pPr>
    </w:p>
    <w:p>
      <w:pPr>
        <w:spacing w:after="0" w:line="16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6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40005</wp:posOffset>
            </wp:positionV>
            <wp:extent cx="213423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6515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719" w:lineRule="exact"/>
        <w:rPr>
          <w:sz w:val="24"/>
          <w:szCs w:val="24"/>
          <w:color w:val="auto"/>
        </w:rPr>
      </w:pPr>
    </w:p>
    <w:p>
      <w:pPr>
        <w:sectPr>
          <w:pgSz w:w="11900" w:h="16838" w:orient="portrait"/>
          <w:cols w:equalWidth="0" w:num="2">
            <w:col w:w="7020" w:space="180"/>
            <w:col w:w="4000"/>
          </w:cols>
          <w:pgMar w:left="320" w:top="229" w:right="3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CLEAN HARBORS, INC.</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3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243"/>
        </w:trPr>
        <w:tc>
          <w:tcPr>
            <w:tcW w:w="3200" w:type="dxa"/>
            <w:vAlign w:val="bottom"/>
            <w:gridSpan w:val="2"/>
            <w:vMerge w:val="continue"/>
          </w:tcPr>
          <w:p>
            <w:pPr>
              <w:spacing w:after="0"/>
              <w:rPr>
                <w:sz w:val="21"/>
                <w:szCs w:val="21"/>
                <w:color w:val="auto"/>
              </w:rPr>
            </w:pPr>
          </w:p>
        </w:tc>
        <w:tc>
          <w:tcPr>
            <w:tcW w:w="3220" w:type="dxa"/>
            <w:vAlign w:val="bottom"/>
            <w:gridSpan w:val="2"/>
            <w:vMerge w:val="continue"/>
          </w:tcPr>
          <w:p>
            <w:pPr>
              <w:spacing w:after="0"/>
              <w:rPr>
                <w:sz w:val="21"/>
                <w:szCs w:val="21"/>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2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178" w:lineRule="exact"/>
        <w:rPr>
          <w:sz w:val="24"/>
          <w:szCs w:val="24"/>
          <w:color w:val="auto"/>
        </w:rPr>
      </w:pPr>
    </w:p>
    <w:p>
      <w:pPr>
        <w:sectPr>
          <w:pgSz w:w="11900" w:h="16838" w:orient="portrait"/>
          <w:cols w:equalWidth="0" w:num="3">
            <w:col w:w="3400" w:space="100"/>
            <w:col w:w="3260" w:space="720"/>
            <w:col w:w="3720"/>
          </w:cols>
          <w:pgMar w:left="320" w:top="229" w:right="379" w:bottom="1440" w:gutter="0" w:footer="0" w:header="0"/>
          <w:type w:val="continuous"/>
        </w:sectPr>
      </w:pPr>
    </w:p>
    <w:p>
      <w:pPr>
        <w:ind w:right="1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40" w:right="16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July 25, 2025 was 53,632,607.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80" w:type="dxa"/>
            <w:vAlign w:val="bottom"/>
            <w:gridSpan w:val="10"/>
            <w:vMerge w:val="restart"/>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8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1: Unaudited Consolidated Financial Statements</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Consolidated Balance Sheets</w:t>
            </w:r>
          </w:p>
        </w:tc>
        <w:tc>
          <w:tcPr>
            <w:tcW w:w="2080" w:type="dxa"/>
            <w:vAlign w:val="bottom"/>
            <w:tcBorders>
              <w:top w:val="single" w:sz="8" w:color="0000FF"/>
            </w:tcBorders>
            <w:gridSpan w:val="8"/>
          </w:tcPr>
          <w:p>
            <w:pPr>
              <w:spacing w:after="0"/>
              <w:rPr>
                <w:sz w:val="18"/>
                <w:szCs w:val="18"/>
                <w:color w:val="auto"/>
              </w:rPr>
            </w:pPr>
          </w:p>
        </w:tc>
        <w:tc>
          <w:tcPr>
            <w:tcW w:w="6100" w:type="dxa"/>
            <w:vAlign w:val="bottom"/>
            <w:gridSpan w:val="8"/>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380" w:type="dxa"/>
            <w:vAlign w:val="bottom"/>
            <w:gridSpan w:val="3"/>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20" w:type="dxa"/>
            <w:vAlign w:val="bottom"/>
            <w:gridSpan w:val="17"/>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22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600" w:type="dxa"/>
            <w:vAlign w:val="bottom"/>
            <w:gridSpan w:val="2"/>
          </w:tcPr>
          <w:p>
            <w:pPr>
              <w:spacing w:after="0"/>
              <w:rPr>
                <w:sz w:val="18"/>
                <w:szCs w:val="18"/>
                <w:color w:val="auto"/>
              </w:rPr>
            </w:pPr>
          </w:p>
        </w:tc>
        <w:tc>
          <w:tcPr>
            <w:tcW w:w="7180" w:type="dxa"/>
            <w:vAlign w:val="bottom"/>
            <w:gridSpan w:val="13"/>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780" w:type="dxa"/>
            <w:vAlign w:val="bottom"/>
            <w:gridSpan w:val="1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6: Exhibits</w:t>
            </w:r>
          </w:p>
        </w:tc>
        <w:tc>
          <w:tcPr>
            <w:tcW w:w="800" w:type="dxa"/>
            <w:vAlign w:val="bottom"/>
            <w:gridSpan w:val="3"/>
          </w:tcPr>
          <w:p>
            <w:pPr>
              <w:spacing w:after="0"/>
              <w:rPr>
                <w:sz w:val="18"/>
                <w:szCs w:val="18"/>
                <w:color w:val="auto"/>
              </w:rPr>
            </w:pPr>
          </w:p>
        </w:tc>
        <w:tc>
          <w:tcPr>
            <w:tcW w:w="81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1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980" w:type="dxa"/>
            <w:vAlign w:val="bottom"/>
            <w:gridSpan w:val="19"/>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687,192</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102,634</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$47,359 and $47,242,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162,215</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81,741</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2,433,796</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1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250,853</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701,987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2,495,541</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487,286</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419,445</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20,625</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71,663</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1,102,666</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$14,092 and $10,304,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119,484</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$12,432 and $10,321, 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101,424</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182,883</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363,623</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162,552</w:t>
            </w:r>
          </w:p>
        </w:tc>
      </w:tr>
      <w:tr>
        <w:trPr>
          <w:trHeight w:val="223"/>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3,714,112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3,701,083</w:t>
            </w:r>
          </w:p>
        </w:tc>
      </w:tr>
      <w:tr>
        <w:trPr>
          <w:trHeight w:val="21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Commitments and contingent liabilities (See Note 15)</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80,000,000 shares; issued and outstanding 53,614,135 and 53,832,692 shares, respectively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421,749</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2,364,877</w:t>
            </w:r>
          </w:p>
        </w:tc>
      </w:tr>
      <w:tr>
        <w:trPr>
          <w:trHeight w:val="223"/>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7,439,929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7,377,278</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1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1,336,948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1,288,370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2,538,402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2,440,228</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489,186</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1,549,854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1,666,740</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339,872</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1,033,497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2,055,381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2,006,612</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379,744</w:t>
            </w:r>
          </w:p>
        </w:tc>
        <w:tc>
          <w:tcPr>
            <w:tcW w:w="0" w:type="dxa"/>
            <w:vAlign w:val="bottom"/>
          </w:tcPr>
          <w:p>
            <w:pPr>
              <w:spacing w:after="0"/>
              <w:rPr>
                <w:sz w:val="1"/>
                <w:szCs w:val="1"/>
                <w:color w:val="auto"/>
              </w:rPr>
            </w:pPr>
          </w:p>
        </w:tc>
      </w:tr>
      <w:tr>
        <w:trPr>
          <w:trHeight w:val="22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0" w:type="dxa"/>
            <w:vAlign w:val="bottom"/>
          </w:tcPr>
          <w:p>
            <w:pPr>
              <w:spacing w:after="0"/>
              <w:rPr>
                <w:sz w:val="1"/>
                <w:szCs w:val="1"/>
                <w:color w:val="auto"/>
              </w:rPr>
            </w:pPr>
          </w:p>
        </w:tc>
      </w:tr>
      <w:tr>
        <w:trPr>
          <w:trHeight w:val="223"/>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340,968</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176"/>
        </w:trPr>
        <w:tc>
          <w:tcPr>
            <w:tcW w:w="64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$5,086, $4,352, $10,714 and $7,866,</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274,672</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71,560</w:t>
            </w:r>
          </w:p>
        </w:tc>
        <w:tc>
          <w:tcPr>
            <w:tcW w:w="0" w:type="dxa"/>
            <w:vAlign w:val="bottom"/>
          </w:tcPr>
          <w:p>
            <w:pPr>
              <w:spacing w:after="0"/>
              <w:rPr>
                <w:sz w:val="1"/>
                <w:szCs w:val="1"/>
                <w:color w:val="auto"/>
              </w:rPr>
            </w:pPr>
          </w:p>
        </w:tc>
      </w:tr>
      <w:tr>
        <w:trPr>
          <w:trHeight w:val="248"/>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203,112</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53,799</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54,248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53,895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54,231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00" w:type="dxa"/>
            <w:vAlign w:val="bottom"/>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6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7"/>
                <w:szCs w:val="17"/>
                <w:color w:val="auto"/>
              </w:rPr>
            </w:pPr>
          </w:p>
        </w:tc>
      </w:tr>
      <w:tr>
        <w:trPr>
          <w:trHeight w:val="23"/>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203,112</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fair value of interest rate hedges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r>
      <w:tr>
        <w:trPr>
          <w:trHeight w:val="175"/>
        </w:trPr>
        <w:tc>
          <w:tcPr>
            <w:tcW w:w="63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interest rate hedge amounts realized in net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9"/>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23"/>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r>
      <w:tr>
        <w:trPr>
          <w:trHeight w:val="248"/>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146,943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3"/>
        </w:trPr>
        <w:tc>
          <w:tcPr>
            <w:tcW w:w="8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203,112</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195,569</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environmental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6,521</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environmental liability estimates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3,963</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14,853</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Environmental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(9,934)</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(116,307)</w:t>
            </w:r>
          </w:p>
        </w:tc>
      </w:tr>
      <w:tr>
        <w:trPr>
          <w:trHeight w:val="219"/>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Inventories and supplies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(28,673)</w:t>
            </w:r>
          </w:p>
        </w:tc>
      </w:tr>
      <w:tr>
        <w:trPr>
          <w:trHeight w:val="213"/>
        </w:trPr>
        <w:tc>
          <w:tcPr>
            <w:tcW w:w="8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w:t>
            </w:r>
          </w:p>
        </w:tc>
      </w:tr>
      <w:tr>
        <w:trPr>
          <w:trHeight w:val="219"/>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(12,418)</w:t>
            </w:r>
          </w:p>
        </w:tc>
      </w:tr>
      <w:tr>
        <w:trPr>
          <w:trHeight w:val="213"/>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Other current and long-term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(54,368)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w:t>
            </w:r>
          </w:p>
        </w:tc>
      </w:tr>
      <w:tr>
        <w:trPr>
          <w:trHeight w:val="212"/>
        </w:trPr>
        <w:tc>
          <w:tcPr>
            <w:tcW w:w="8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209,645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234,594</w:t>
            </w:r>
          </w:p>
        </w:tc>
      </w:tr>
      <w:tr>
        <w:trPr>
          <w:trHeight w:val="193"/>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(273,023)</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and disposal of fixed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(477,201)</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sale of business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intangible assets including costs to obtain or renew permits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(55,318)</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71,695</w:t>
            </w:r>
          </w:p>
        </w:tc>
      </w:tr>
      <w:tr>
        <w:trPr>
          <w:trHeight w:val="20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(200,742)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(730,670)</w:t>
            </w:r>
          </w:p>
        </w:tc>
      </w:tr>
      <w:tr>
        <w:trPr>
          <w:trHeight w:val="19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uncashed checks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 payments related to withholdings on vested restricted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(10,215)</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(8,148)</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(11,491)</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debt, net of discount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499,375</w:t>
            </w:r>
          </w:p>
        </w:tc>
      </w:tr>
      <w:tr>
        <w:trPr>
          <w:trHeight w:val="20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from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(101,169)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455,503</w:t>
            </w:r>
          </w:p>
        </w:tc>
      </w:tr>
      <w:tr>
        <w:trPr>
          <w:trHeight w:val="212"/>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 on cash</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w:t>
            </w:r>
          </w:p>
        </w:tc>
      </w:tr>
      <w:tr>
        <w:trPr>
          <w:trHeight w:val="207"/>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Decrease in cash and cash equivalents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(42,706)</w:t>
            </w:r>
          </w:p>
        </w:tc>
      </w:tr>
      <w:tr>
        <w:trPr>
          <w:trHeight w:val="216"/>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444,698</w:t>
            </w:r>
          </w:p>
        </w:tc>
      </w:tr>
      <w:tr>
        <w:trPr>
          <w:trHeight w:val="212"/>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600,186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401,992</w:t>
            </w: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3"/>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and income taxes: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74,079</w:t>
            </w: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70,307</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accrued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28,315</w:t>
            </w:r>
          </w:p>
        </w:tc>
      </w:tr>
      <w:tr>
        <w:trPr>
          <w:trHeight w:val="219"/>
        </w:trPr>
        <w:tc>
          <w:tcPr>
            <w:tcW w:w="8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49,420</w:t>
            </w:r>
          </w:p>
        </w:tc>
      </w:tr>
      <w:tr>
        <w:trPr>
          <w:trHeight w:val="210"/>
        </w:trPr>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obtained in exchange for finance 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45,174</w:t>
            </w: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421,749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2,573,529</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365,698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2,571,224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20,038</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53,614</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361,598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2,550,462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2,714,067</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0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line="20" w:lineRule="exact"/>
              <w:rPr>
                <w:sz w:val="1"/>
                <w:szCs w:val="1"/>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7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261"/>
              <w:spacing w:after="0" w:line="146" w:lineRule="exact"/>
              <w:rPr>
                <w:sz w:val="20"/>
                <w:szCs w:val="20"/>
                <w:color w:val="auto"/>
              </w:rPr>
            </w:pPr>
            <w:r>
              <w:rPr>
                <w:rFonts w:ascii="Times New Roman" w:cs="Times New Roman" w:eastAsia="Times New Roman" w:hAnsi="Times New Roman"/>
                <w:sz w:val="14"/>
                <w:szCs w:val="14"/>
                <w:b w:val="1"/>
                <w:bCs w:val="1"/>
                <w:color w:val="auto"/>
              </w:rPr>
              <w:t>Par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6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1,962,578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2,247,506</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2,311,337</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184"/>
        </w:trPr>
        <w:tc>
          <w:tcPr>
            <w:tcW w:w="37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Issuance of common stock for restricted share</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net of employee tax withholdings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2,441,721</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for the year ended December 31, 2024, and remain the same other than as noted below:</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 the United States. The Act includes significant provisions, such as the permanent extension of key elements of the Tax Cuts and Jobs Act, including 100% bonus depreciation for qualified assets and domestic research cost expensing, and certain international tax changes. Accounting Standards Codification 740, “Income Taxes”, requires the effects of changes in tax laws to be recognized in the period in which the legislation is enacted. Consequently, as of the date of enactment, the Company will evaluate the financial statement impact of the newly enacted tax law and identify any required changes to its financial statements resulting from the Act. The Company is still assessing the impact of this tax law change on its financial statement disclosures; however, the Company currently does not expect the Act to have a material impact on its financial position, results of operations or cash flows.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Adopted</w:t>
      </w:r>
    </w:p>
    <w:p>
      <w:pPr>
        <w:spacing w:after="0" w:line="144"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No. 2023-07, </w:t>
      </w:r>
      <w:r>
        <w:rPr>
          <w:rFonts w:ascii="Times New Roman" w:cs="Times New Roman" w:eastAsia="Times New Roman" w:hAnsi="Times New Roman"/>
          <w:sz w:val="17"/>
          <w:szCs w:val="17"/>
          <w:i w:val="1"/>
          <w:iCs w:val="1"/>
          <w:color w:val="auto"/>
        </w:rPr>
        <w:t>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(Topic 280): Improvements to Reportable Segment Disclosures</w:t>
      </w:r>
      <w:r>
        <w:rPr>
          <w:rFonts w:ascii="Times New Roman" w:cs="Times New Roman" w:eastAsia="Times New Roman" w:hAnsi="Times New Roman"/>
          <w:sz w:val="17"/>
          <w:szCs w:val="17"/>
          <w:color w:val="auto"/>
        </w:rPr>
        <w:t>, which requires an enhanced disclosure of significant segment expenses on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and interim basis. The Company adopted ASU No. 2023-07 for the year ended December 31, 2024. The only significant impact from the adoption of this standard relates to incremental disclosures now required. See Note 16 for applicable reportable segment disclosures required by this guidance.</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income tax disclosures related to the tax rate reconciliation and income taxes paid. This guidance will be effective for the annual periods beginning the year ended December 31, 2025. Early adoption is permitted. Upon adoption, the guidance can be applied prospectively or retrospectively. The requirements of this ASU are disclosure-related and are not expected to have an impact on the Company’s financial condition, results of operations, or cash flows. The Company is currently evaluating the impact of adopting this new pronouncement on its income tax disclosures.</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Income—Expense Disaggregation Disclosures (Subtopic 220-40)</w:t>
      </w:r>
      <w:r>
        <w:rPr>
          <w:rFonts w:ascii="Times New Roman" w:cs="Times New Roman" w:eastAsia="Times New Roman" w:hAnsi="Times New Roman"/>
          <w:sz w:val="18"/>
          <w:szCs w:val="18"/>
          <w:color w:val="auto"/>
        </w:rPr>
        <w:t>, which requires disaggregated disclosure of income statement expenses. This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effective for annual periods beginning the year ended December 31, 2027. Early adoption is permitted. Upon adoption, the guidance can be applied prospectively or retrospectively. The Company is currently evaluating the impact of adopting this new pronouncement on its consolidated financial statement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4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generates revenues through the following operating segments: Environmental Services and Safety-Kleen Sustainability Solutions (“SKSS”). The Company’s Environmental Services operating segment generally has four sources of revenue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and the SKSS operating segment has two sources of revenue. The Company disaggregates third-party revenues by geographic location and source of revenue as management believes these categories depict how revenue and cash flows are affected by economic factors. The tables below present revenue billed to outside customers by a particular segment. Should it be necessary, there will be intercompany transactions to present the direct revenues in the appropriate segment results. The Company’s significant sources of revenue include:</w:t>
      </w:r>
    </w:p>
    <w:p>
      <w:pPr>
        <w:spacing w:after="0" w:line="110"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contribute to the revenues of the Environmental Services operating segment. Revenues for these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generated from fees charged for waste material management and disposal services including onsite environmental management services, collection and transportation, packaging, recycling, treatment and disposal of waste and remediation projects. These services handle hazardous and/or non-hazardous waste, including per- and polyfluoroalkyl substances (“PFAS”). Revenue is primarily generated by short-term projects, most of which are governed by master service agreements that are long-term in nature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1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Industrial Services</w:t>
      </w:r>
      <w:r>
        <w:rPr>
          <w:rFonts w:ascii="Times New Roman" w:cs="Times New Roman" w:eastAsia="Times New Roman" w:hAnsi="Times New Roman"/>
          <w:sz w:val="18"/>
          <w:szCs w:val="18"/>
          <w:color w:val="auto"/>
        </w:rPr>
        <w:t>—Industrial Services contribute to the revenues of the Environmental Services operating segment. These revenues are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from industrial and specialty services provided to refineries, chemical plants, manufacturing facilities, power generation companies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1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and Emergency Response Services, which includes contributions from Hepaco Blocker,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(collectively, “HEPACO”) since its acquisition on March 22, 2024, contribute to the revenues of the Environmental Services 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environmental remediation, railcar cleaning, manhole/vault clean outs, product recovery and transfer and vacuum services. Additional services include filtration, water treatment services and wetland restoration.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2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contribute both to the Environmental Services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and the SKSS operating segment.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SKSS operating segment. Due to the complementary nature of these products and services and their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some cross-overs of Safety-Kleen Environmental Services revenue streams between the Environmental Services and SKSS operating segments.</w:t>
      </w:r>
    </w:p>
    <w:p>
      <w:pPr>
        <w:spacing w:after="0" w:line="15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—Safety-Kleen Oil related sales contribute to the revenues of the SKSS segment. These revenues are generated from bulk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high-quality base and blended lubricating oils to many industries, including major oil brands, lubricant blenders and manufacturers, blended lubricant distributors and government agencies. The business also sells recycled fuel oil to asphalt plants, industrial plants and pulp and paper companies. The used oil is also processed into vacuum gas oil which can be further re-refined into lubricant base oils or sold directly into the marine diesel oil fuel market. By-products coming off the refinery are a mixture of light end distillates and asphalt flux that are sold into various markets. Revenue for oil products is recognized at a point in time, upon the transfer of control. Generally, control transfers when the products are delivered to the customer.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third-party revenue disaggregated by source of revenue and geography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20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1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1,208,770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194,110</w:t>
            </w:r>
          </w:p>
        </w:tc>
        <w:tc>
          <w:tcPr>
            <w:tcW w:w="120" w:type="dxa"/>
            <w:vAlign w:val="bottom"/>
          </w:tcPr>
          <w:p>
            <w:pPr>
              <w:spacing w:after="0"/>
              <w:rPr>
                <w:sz w:val="19"/>
                <w:szCs w:val="19"/>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219,706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1,549,854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1,330,059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219,706</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left="93"/>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2,537,097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2,981,804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2,537,097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444,521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left="53"/>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Safety-Kleen</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2,228,786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2,655,688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1,015,357</w:t>
            </w: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162,215</w:t>
            </w:r>
          </w:p>
        </w:tc>
      </w:tr>
      <w:tr>
        <w:trPr>
          <w:trHeight w:val="229"/>
        </w:trPr>
        <w:tc>
          <w:tcPr>
            <w:tcW w:w="7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88,545</w:t>
            </w:r>
          </w:p>
        </w:tc>
      </w:tr>
    </w:tbl>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are generally fully recognized in the subsequent three-month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4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 March 22, 2024, the Company acquired HEPACO for an all-cash purchase price of $392.2 million, net of cash acquired. The acquisition of HEPACO expanded the Environmental Services segment’s field services business.</w:t>
      </w:r>
    </w:p>
    <w:p>
      <w:pPr>
        <w:spacing w:after="0" w:line="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2025. The allocation of the purchase price was based on estimates of the fair value of assets acquired and liabilities assumed as of March 22, 2024. The following table summarizes the preliminary and final determinations and recognition of assets acquired and liabilities assumed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544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2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60" w:type="dxa"/>
            <w:vAlign w:val="bottom"/>
          </w:tcPr>
          <w:p>
            <w:pPr>
              <w:spacing w:after="0"/>
              <w:rPr>
                <w:sz w:val="16"/>
                <w:szCs w:val="16"/>
                <w:color w:val="auto"/>
              </w:rPr>
            </w:pPr>
          </w:p>
        </w:tc>
        <w:tc>
          <w:tcPr>
            <w:tcW w:w="1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Final Allocation At</w:t>
            </w:r>
          </w:p>
        </w:tc>
      </w:tr>
      <w:tr>
        <w:trPr>
          <w:trHeight w:val="239"/>
        </w:trPr>
        <w:tc>
          <w:tcPr>
            <w:tcW w:w="5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20"/>
                <w:szCs w:val="20"/>
                <w:color w:val="auto"/>
              </w:rPr>
            </w:pPr>
          </w:p>
        </w:tc>
        <w:tc>
          <w:tcPr>
            <w:tcW w:w="19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Acquisition Date</w:t>
            </w: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68,216</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47,510</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130,500</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9,385</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(30,602)</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(16,305)</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205,122</w:t>
            </w:r>
          </w:p>
        </w:tc>
      </w:tr>
      <w:tr>
        <w:trPr>
          <w:trHeight w:val="257"/>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187,057</w:t>
            </w:r>
          </w:p>
        </w:tc>
      </w:tr>
      <w:tr>
        <w:trPr>
          <w:trHeight w:val="275"/>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392,179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seven and 20 years with a weighted average useful life of approximately 19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assembled workforce and growth potential that the Company expects to realize from the acquisition. Goodwill generated from the acquisition is not deductible for tax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operations of HEPACO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March 1, 2024, the Company acquired Noble Oil Services, Inc and its subsidiaries (collectively, “Noble”) for an all-cash purchase price of $68.7 million, net of cash acquired. The acquisition of Noble expanded the SKSS segment’s oil collection operations in the southeastern region of the United States while also adding incremental production from the re-refinery owned and operated by the acquired company.</w:t>
      </w:r>
    </w:p>
    <w:p>
      <w:pPr>
        <w:spacing w:after="0" w:line="9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finalized the purchase accounting for this acquisition in the first quarter of 2025. The allocation of the purchase price was based on estimates of the fair value of assets acquired and liabilities assumed as of March 1, 2024. The following table summarizes the preliminary and final determinations and recognition of assets acquired and liabilities assumed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At Acquisition Date As</w:t>
            </w:r>
          </w:p>
        </w:tc>
        <w:tc>
          <w:tcPr>
            <w:tcW w:w="120" w:type="dxa"/>
            <w:vAlign w:val="bottom"/>
          </w:tcPr>
          <w:p>
            <w:pPr>
              <w:spacing w:after="0"/>
              <w:rPr>
                <w:sz w:val="17"/>
                <w:szCs w:val="17"/>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Measurement Period</w:t>
            </w:r>
          </w:p>
        </w:tc>
        <w:tc>
          <w:tcPr>
            <w:tcW w:w="260" w:type="dxa"/>
            <w:vAlign w:val="bottom"/>
          </w:tcPr>
          <w:p>
            <w:pPr>
              <w:spacing w:after="0"/>
              <w:rPr>
                <w:sz w:val="17"/>
                <w:szCs w:val="17"/>
                <w:color w:val="auto"/>
              </w:rPr>
            </w:pPr>
          </w:p>
        </w:tc>
        <w:tc>
          <w:tcPr>
            <w:tcW w:w="1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Final Allocation At</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Reported December 31,</w:t>
            </w: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60" w:type="dxa"/>
            <w:vAlign w:val="bottom"/>
          </w:tcPr>
          <w:p>
            <w:pPr>
              <w:spacing w:after="0"/>
              <w:rPr>
                <w:sz w:val="19"/>
                <w:szCs w:val="19"/>
                <w:color w:val="auto"/>
              </w:rPr>
            </w:pPr>
          </w:p>
        </w:tc>
        <w:tc>
          <w:tcPr>
            <w:tcW w:w="19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Acquisition Date</w:t>
            </w:r>
          </w:p>
        </w:tc>
        <w:tc>
          <w:tcPr>
            <w:tcW w:w="0" w:type="dxa"/>
            <w:vAlign w:val="bottom"/>
          </w:tcPr>
          <w:p>
            <w:pPr>
              <w:spacing w:after="0"/>
              <w:rPr>
                <w:sz w:val="1"/>
                <w:szCs w:val="1"/>
                <w:color w:val="auto"/>
              </w:rPr>
            </w:pPr>
          </w:p>
        </w:tc>
      </w:tr>
      <w:tr>
        <w:trPr>
          <w:trHeight w:val="23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55,650</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5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62,584</w:t>
            </w:r>
          </w:p>
        </w:tc>
        <w:tc>
          <w:tcPr>
            <w:tcW w:w="0" w:type="dxa"/>
            <w:vAlign w:val="bottom"/>
          </w:tcPr>
          <w:p>
            <w:pPr>
              <w:spacing w:after="0"/>
              <w:rPr>
                <w:sz w:val="1"/>
                <w:szCs w:val="1"/>
                <w:color w:val="auto"/>
              </w:rPr>
            </w:pPr>
          </w:p>
        </w:tc>
      </w:tr>
      <w:tr>
        <w:trPr>
          <w:trHeight w:val="22"/>
        </w:trPr>
        <w:tc>
          <w:tcPr>
            <w:tcW w:w="5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Other intangible assets acquired include customer relationships and trademarks/tradenames and are anticipated to have estimated useful lives of between seven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operating synergies and assembled workforce that the Company expects to realize from the acquisition. Goodwill generated from the acquisition is deductible for tax purposes.</w:t>
      </w:r>
    </w:p>
    <w:p>
      <w:pPr>
        <w:spacing w:after="0" w:line="102"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The operations of Noble are included in the Company’s financial statements as of the date of acquisition. Pro forma revenue and earnings amounts on a combined basis as if this acquisition had been completed on January 1, 2024 are immaterial to the consolidated financial statements of the Company.</w:t>
      </w:r>
    </w:p>
    <w:p>
      <w:pPr>
        <w:spacing w:after="0" w:line="7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2024, the Company completed the acquisition of three additional privately-owned businesses for $17.1 million in total cash consideration. The operations of the acquired businesses were consolidated into the Environmental Services and SKSS segments. The acquisitions of the acquired businesses were not material in 2024 to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200,905</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18,302</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258,138</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719,439</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1,455,530</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2,635,319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2,600,085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70,305</w:t>
            </w:r>
          </w:p>
        </w:tc>
      </w:tr>
      <w:tr>
        <w:trPr>
          <w:trHeight w:val="223"/>
        </w:trPr>
        <w:tc>
          <w:tcPr>
            <w:tcW w:w="7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5,503,753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5,326,393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2,878,452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2,507,101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2,447,941</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44"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in each period.</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$288.6 million and $230.5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$9.2 million in each period.</w:t>
      </w:r>
    </w:p>
    <w:p>
      <w:pPr>
        <w:spacing w:after="0" w:line="1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$102.6 million and $201.2 million for the three and six months ended June 30, 2025, respectively. Depreciation expense, inclusive of landfill and finance lease amortization, was $86.5 million and $168.7 million for the three and six months ended June 30, 2024, respectively. For the three and six months ended June 30, 2025, capitalized interest recorded by the Company was negligible. For the three and six months ended June 30, 2024, the Company recorded $2.9 million and $5.3 million, respectively, of capitalized interest mainly due to the construction of a new incinerator in Kimball, Nebraska.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six months ended June 30, 2025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0" w:type="dxa"/>
            <w:vAlign w:val="bottom"/>
          </w:tcPr>
          <w:p>
            <w:pPr>
              <w:spacing w:after="0"/>
              <w:rPr>
                <w:sz w:val="1"/>
                <w:szCs w:val="1"/>
                <w:color w:val="auto"/>
              </w:rPr>
            </w:pPr>
          </w:p>
        </w:tc>
      </w:tr>
      <w:tr>
        <w:trPr>
          <w:trHeight w:val="214"/>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1,477,199</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1,479,805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June 30, 2025, no such triggering events were identified.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December 31, 2024, the Company’s intangible assets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3"/>
                <w:szCs w:val="13"/>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3"/>
                <w:szCs w:val="13"/>
                <w:color w:val="auto"/>
              </w:rPr>
            </w:pPr>
          </w:p>
        </w:tc>
        <w:tc>
          <w:tcPr>
            <w:tcW w:w="8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440,669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73,826</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582,477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1,132,983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455,803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677,180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1,129,073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427,086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701,987</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customer and supplier relationships and other intangible assets was $13.7 million and $27.0 million in the three and six months ended June 30, 2025, respectively. Amortization expense of permits, customer and supplier relationships and other intangible assets was $14.0 million and $26.9 million in the three and six months ended June 30, 2024, respectively.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June 30, 2025 was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Expected Amortization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(six months)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49,414</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48,049</w:t>
            </w:r>
          </w:p>
        </w:tc>
        <w:tc>
          <w:tcPr>
            <w:tcW w:w="0" w:type="dxa"/>
            <w:vAlign w:val="bottom"/>
          </w:tcPr>
          <w:p>
            <w:pPr>
              <w:spacing w:after="0"/>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334,598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557,190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7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7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20"/>
                <w:szCs w:val="20"/>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376,585</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62"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2025 through June 30, 2025 were as follows (in thousands):</w:t>
      </w:r>
    </w:p>
    <w:tbl>
      <w:tblPr>
        <w:tblLayout w:type="fixed"/>
        <w:tblInd w:w="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60"/>
              <w:spacing w:after="0" w:line="165" w:lineRule="exact"/>
              <w:rPr>
                <w:sz w:val="20"/>
                <w:szCs w:val="20"/>
                <w:color w:val="auto"/>
              </w:rPr>
            </w:pPr>
            <w:r>
              <w:rPr>
                <w:rFonts w:ascii="Times New Roman" w:cs="Times New Roman" w:eastAsia="Times New Roman" w:hAnsi="Times New Roman"/>
                <w:sz w:val="16"/>
                <w:szCs w:val="16"/>
                <w:b w:val="1"/>
                <w:bCs w:val="1"/>
                <w:color w:val="auto"/>
              </w:rPr>
              <w:t>Landfill</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balance sheet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2025, there were no significant benefits or charges resulting from changes in estimates for closure and post-closure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2025 through June 30, 2025 were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 from a prior period acquisition</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consolidated statement of operations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180"/>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2025, the Company decreased its remedial liability for a site by approximately $10 million due to its conclusion that loss was no longer probable based on recent evaluation of available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260" w:firstLine="8"/>
        <w:spacing w:after="0" w:line="417" w:lineRule="auto"/>
        <w:tabs>
          <w:tab w:leader="none" w:pos="3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 Long-term Debt</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is a summary of the Company’s long-term debt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7760" w:type="dxa"/>
            <w:vAlign w:val="bottom"/>
            <w:tcBorders>
              <w:top w:val="single" w:sz="8" w:color="CCEEFF"/>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b w:val="1"/>
                <w:bCs w:val="1"/>
                <w:color w:val="auto"/>
              </w:rPr>
              <w:t>Current Portion of Long-Term Debt:</w:t>
            </w:r>
          </w:p>
        </w:tc>
        <w:tc>
          <w:tcPr>
            <w:tcW w:w="2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Secured senior term loans</w:t>
            </w:r>
          </w:p>
        </w:tc>
        <w:tc>
          <w:tcPr>
            <w:tcW w:w="492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due October 8, 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1,449,796</w:t>
            </w:r>
          </w:p>
        </w:tc>
      </w:tr>
      <w:tr>
        <w:trPr>
          <w:trHeight w:val="230"/>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6.375%, due February 1, 2031 (“2031 Notes”)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par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2,794,796</w:t>
            </w: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 and discount, net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at carrying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4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Company’s significant financing arrangements are described in Note 12, “Financing Arrangements,” in the Company’s Annual Report on Form 10-K for the year ended December 31, 2024 and there have been no material changes to the arrangements described therein. As of June 30, 2025 and December 31, 2024, the estimated fair value of the Company's outstanding long-term debt, including the current portion, was $2.8 billion.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2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$600.0 million revolving credit facility under which the Company had no outstanding loan balance as of June 30, 2025 or December 31, 2024. As of June 30, 2025, the Company had $452.1 million available to borrow under the revolving credit facility and outstanding letters of credit were $147.9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the interest rate on the Company’s senior secured term loans is variable, the Company has effectively fixed the interest rate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aggregate principal amount of the term loans outstanding by entering into interest rate swap agreements in 2022 with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million (“2022 Swaps”). Under the terms of the 2022 Swaps, the Company receives interest based on the one-month SOFR index and pays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weighted annual interest rate of 1.965%, resulting in an effective interest rate of 3.71% when considering the 1.75% interest rate margin of the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For the six months ended June 30, 2025, including the 1.75% interest rate margin, the effective annual interest rate of this $600.0 million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was approximately 3.71%. The 2022 Swaps will expire on September 30, 2027.</w:t>
      </w:r>
    </w:p>
    <w:p>
      <w:pPr>
        <w:spacing w:after="0" w:line="13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derivative instruments as either assets or liabilities on the balance sheet at fair value. As of June 30, 2025 and December 31, 2024, the Company has recorded a derivative asset with a fair value of $19.2 million and $32.4 million, respectively, within Other long-term assets on the consolidated balance sheets in connection with the 2022 Swaps.</w:t>
      </w:r>
    </w:p>
    <w:p>
      <w:pPr>
        <w:spacing w:after="0" w:line="9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 ineffectiveness has been identified on the 2022 Swaps and, therefore, the change in fair value is recorded in stockholders’ equity as a component of accumulated other comprehensive loss. Amounts are reclassified from accumulated other comprehensive loss into interest expense on the unaudited consolidated statement of operations in the same period or periods during which the hedged transactions affect earnings.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(EPS) is based on the weighted-average number of common shares outstanding. The computation of diluted EPS is based on the weighted-average number of common shares outstanding and potential dilutive common shares during the period as determined by using the treasury stock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0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203,112</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53,931</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impact of equity awards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54,231</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5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50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table above, potentially dilutive shares include the dilutive effect of unvested restricted stock awards and employee stock purchase plan (“ESPP”) rights (collectively referred to as “equity awards”). Potentially dilutive shares whose effect would have been antidilutive are excluded from the computation of diluted earnings per share. The Company included all outstanding performance awards, restricted stock awards and ESPP rights in the calculation of diluted earnings per share except as shown in the table below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12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restricted stock awards</w:t>
            </w:r>
          </w:p>
        </w:tc>
        <w:tc>
          <w:tcPr>
            <w:tcW w:w="10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76"/>
        </w:trPr>
        <w:tc>
          <w:tcPr>
            <w:tcW w:w="6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stock awards for which performance criteria was not</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43"/>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attained at reporting date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62" w:lineRule="exact"/>
        <w:rPr>
          <w:sz w:val="20"/>
          <w:szCs w:val="20"/>
          <w:color w:val="auto"/>
        </w:rPr>
      </w:pPr>
    </w:p>
    <w:p>
      <w:pPr>
        <w:ind w:right="420" w:firstLine="648"/>
        <w:spacing w:after="0" w:line="275"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six months ended June 30, 2025 were as follows (in thousands):</w:t>
      </w:r>
    </w:p>
    <w:tbl>
      <w:tblPr>
        <w:tblLayout w:type="fixed"/>
        <w:tblInd w:w="0" w:type="dxa"/>
        <w:tblCellMar>
          <w:top w:w="0" w:type="dxa"/>
          <w:left w:w="0" w:type="dxa"/>
          <w:bottom w:w="0" w:type="dxa"/>
          <w:right w:w="0" w:type="dxa"/>
        </w:tblCellMar>
      </w:tblPr>
      <w:tr>
        <w:trPr>
          <w:trHeight w:val="165"/>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136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13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on Available-</w:t>
            </w:r>
          </w:p>
        </w:tc>
        <w:tc>
          <w:tcPr>
            <w:tcW w:w="13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on Fair Value of</w:t>
            </w:r>
          </w:p>
        </w:tc>
        <w:tc>
          <w:tcPr>
            <w:tcW w:w="13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For-Sale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Interest Rate</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on Pension</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(213,635)</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(provision) benefit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580" w:firstLine="648"/>
        <w:spacing w:after="0" w:line="275" w:lineRule="auto"/>
        <w:rPr>
          <w:sz w:val="20"/>
          <w:szCs w:val="20"/>
          <w:color w:val="auto"/>
        </w:rPr>
      </w:pPr>
      <w:r>
        <w:rPr>
          <w:rFonts w:ascii="Times New Roman" w:cs="Times New Roman" w:eastAsia="Times New Roman" w:hAnsi="Times New Roman"/>
          <w:sz w:val="18"/>
          <w:szCs w:val="18"/>
          <w:color w:val="auto"/>
        </w:rPr>
        <w:t>The amount realized in the unaudited consolidated statement of operations during the three and six months ended June 30, 2025 which was reclassified out of accumulated other comprehensive loss was as follows (in thousands):</w:t>
      </w:r>
    </w:p>
    <w:tbl>
      <w:tblPr>
        <w:tblLayout w:type="fixed"/>
        <w:tblInd w:w="0" w:type="dxa"/>
        <w:tblCellMar>
          <w:top w:w="0" w:type="dxa"/>
          <w:left w:w="0" w:type="dxa"/>
          <w:bottom w:w="0" w:type="dxa"/>
          <w:right w:w="0" w:type="dxa"/>
        </w:tblCellMar>
      </w:tblPr>
      <w:tr>
        <w:trPr>
          <w:trHeight w:val="165"/>
        </w:trPr>
        <w:tc>
          <w:tcPr>
            <w:tcW w:w="386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Component of Accumulated Other Comprehensive</w:t>
            </w:r>
          </w:p>
        </w:tc>
        <w:tc>
          <w:tcPr>
            <w:tcW w:w="140" w:type="dxa"/>
            <w:vAlign w:val="bottom"/>
          </w:tcPr>
          <w:p>
            <w:pPr>
              <w:spacing w:after="0"/>
              <w:rPr>
                <w:sz w:val="14"/>
                <w:szCs w:val="14"/>
                <w:color w:val="auto"/>
              </w:rPr>
            </w:pPr>
          </w:p>
        </w:tc>
        <w:tc>
          <w:tcPr>
            <w:tcW w:w="180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9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 June</w:t>
            </w:r>
          </w:p>
        </w:tc>
        <w:tc>
          <w:tcPr>
            <w:tcW w:w="3500" w:type="dxa"/>
            <w:vAlign w:val="bottom"/>
            <w:vMerge w:val="restart"/>
          </w:tcPr>
          <w:p>
            <w:pPr>
              <w:ind w:left="14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0" w:type="dxa"/>
            <w:vAlign w:val="bottom"/>
          </w:tcPr>
          <w:p>
            <w:pPr>
              <w:spacing w:after="0"/>
              <w:rPr>
                <w:sz w:val="1"/>
                <w:szCs w:val="1"/>
                <w:color w:val="auto"/>
              </w:rPr>
            </w:pPr>
          </w:p>
        </w:tc>
      </w:tr>
      <w:tr>
        <w:trPr>
          <w:trHeight w:val="214"/>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8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10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7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Unrealized Gain on Fair Value of Interest Rate</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shd w:val="clear" w:color="auto" w:fill="CCEEFF"/>
          </w:tcPr>
          <w:p>
            <w:pPr>
              <w:spacing w:after="0"/>
              <w:rPr>
                <w:sz w:val="21"/>
                <w:szCs w:val="21"/>
                <w:color w:val="auto"/>
              </w:rPr>
            </w:pP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Total stock-based compensation cost recognized for the three and six months ended June 30, 2025 was $6.1 million and $13.7 million, respectively. Total stock-based compensation cost recognized for the three and six months ended June 30, 2024 was $8.5 million and $14.9 million, respectively. The total income tax benefit recognized in the unaudited consolidated statements of operations from stock-based compensation expense for the three and six months ended June 30, 2025 was $0.9 million and $2.2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million, respectively. The total income tax benefit recognized in the unaudited consolidated statements of operations from stock-based compensation expense for the three and six months ended June 30, 2024 was $1.5 million and $2.7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six months ended June 30,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As of June 30, 2025, there was $44.7 million of total unrecognized compensation cost arising from restricted stock awards. This cost is expected to be recognized over a weighted average period of 2.3 years. The total fair value of restricted stock vested during the three and six months ended June 30, 2025 was $7.1 million and $22.1 million, respectively. The total fair value of restricted stock vested during the three and six months ended June 30, 2024 was $7.2 million and $10.9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Awards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and Human Capital Committee of the Company’s board of directors prior to or at the date of grant. The performance stock awards are earned based on achieving certain revenue, Adjusted EBITDA, Adjusted EBITDA Margin and Return on Invested Capital targets set forth in the applicable award agreements. Performance stock awards include continued service conditions through vesting.</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six months ended June 30,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Stock</w:t>
            </w:r>
          </w:p>
        </w:tc>
        <w:tc>
          <w:tcPr>
            <w:tcW w:w="15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Times New Roman" w:cs="Times New Roman" w:eastAsia="Times New Roman" w:hAnsi="Times New Roman"/>
                <w:sz w:val="16"/>
                <w:szCs w:val="16"/>
                <w:b w:val="1"/>
                <w:bCs w:val="1"/>
                <w:color w:val="auto"/>
              </w:rPr>
              <w:t>Grant-Date</w:t>
            </w:r>
          </w:p>
        </w:tc>
        <w:tc>
          <w:tcPr>
            <w:tcW w:w="0" w:type="dxa"/>
            <w:vAlign w:val="bottom"/>
          </w:tcPr>
          <w:p>
            <w:pPr>
              <w:spacing w:after="0"/>
              <w:rPr>
                <w:sz w:val="1"/>
                <w:szCs w:val="1"/>
                <w:color w:val="auto"/>
              </w:rPr>
            </w:pPr>
          </w:p>
        </w:tc>
      </w:tr>
      <w:tr>
        <w:trPr>
          <w:trHeight w:val="214"/>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180" w:hanging="328"/>
        <w:spacing w:after="0" w:line="260" w:lineRule="auto"/>
        <w:tabs>
          <w:tab w:leader="none" w:pos="5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granted activity for performance stock awards is recorded based on the target performance level of 100%. The actual number of performance share awards earned for the 2025 performance stock grants could range from 0% to 200% of target depending on the achievement of the pre-established performance goals.</w:t>
      </w:r>
    </w:p>
    <w:p>
      <w:pPr>
        <w:spacing w:after="0" w:line="11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there was $9.9 million of total unrecognized compensation cost arising from performance stock awards achieved or deemed probable of vesting. No performance awards vested during each of the three months ended June 30, 2025 and June 30, 2024. The total fair value of performance awards vested during the six months ended June 30, 2025 and June 30, 2024 was $6.6 million and $3.7 million,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Clean Harbors Employee Stock Purchase Plan (the “ESPP”) provides a means for eligible employees of the Company to authorize after-tax payroll deductions on a voluntary basis to be used for the periodic purchase of the Company's common stock at a 10% discount to its fair market value. The purchase price paid by the employees will be 90% of the lower of the closing price of the Company's common stock on (i) the first trading day of the offering period or (ii) the last trading day of the offering period. The contribution periods run from January to June and July to December with share issuances under the ESPP occurring on the closest business day on or prior to June 30 and December 31. There were 16,266 shares issued under the plan during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At June 30, 2025 and December 31, 2024, the Company had recorded reserves of $17.2 million and $29.8 million, respectively, for actual or probable liabilities related to the legal and administrative proceedings in which the Company was then involved, the principal of which are described below. As of June 30, 2025 and December 31, 2024, the $17.2 million and $29.8 million, respectively, of reserves consisted of (i) $9.6 million and $23.3 million, respectively, related to pending legal or administrative proceedings, including Superfund liabilities, which were included in remedial liabilities on the consolidated balance sheets, and (ii) $7.6 million and $6.5 million, respectively, primarily related to federal, state and provincial enforcement actions, which were included in accrued expenses on the consolidated balance sheets.</w:t>
      </w:r>
    </w:p>
    <w:p>
      <w:pPr>
        <w:spacing w:after="0" w:line="1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w:t>
      </w:r>
    </w:p>
    <w:p>
      <w:pPr>
        <w:spacing w:after="0" w:line="14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principal legal and administrative proceedings in which the Company was involved, or which had been terminated during 2025, relate to Safety-Kleen product liability cases and Superfund proceedings.</w:t>
      </w:r>
    </w:p>
    <w:p>
      <w:pPr>
        <w:spacing w:after="0" w:line="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Safety-Kleen Product Liability Cases: </w:t>
      </w:r>
      <w:r>
        <w:rPr>
          <w:rFonts w:ascii="Times New Roman" w:cs="Times New Roman" w:eastAsia="Times New Roman" w:hAnsi="Times New Roman"/>
          <w:sz w:val="18"/>
          <w:szCs w:val="18"/>
          <w:color w:val="auto"/>
        </w:rPr>
        <w:t>Safety-Kleen, Inc. (“Safety-Kleen”), which is a legal entity acquired by the Company in 2012,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as a defendant in certain product liability cases that are currently pending in various courts and jurisdictions throughout the United States. As of June 30, 2025, there were approximately 70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1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June 30, 2025. From January 1, 2025 to June 30, 2025, seven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Superfund Proceedings: </w:t>
      </w:r>
      <w:r>
        <w:rPr>
          <w:rFonts w:ascii="Times New Roman" w:cs="Times New Roman" w:eastAsia="Times New Roman" w:hAnsi="Times New Roman"/>
          <w:sz w:val="18"/>
          <w:szCs w:val="18"/>
          <w:color w:val="auto"/>
        </w:rPr>
        <w:t>The Company has been notified that either the Company or the prior owners of certain facilities the Company has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have been identified as potentially responsible parties (“PRPs”) or potential PRPs of indemnification obligations in connection with 132 sites which are subject to or are proposed to become subject to proceedings under federal or state Superfund laws. Of the 132 Superfund related sites, six involve facilities that are now owned or leased by the Company and 126 involve third-party sites which received waste potentially shipped by the Company or the prior owners of certain facilities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Company has since acquired. Of the 126 third-party sites, 30 are now settled, 12 are currently requiring expenditures on remediation and 84 are not currently requiring expenditures on remediation.</w:t>
      </w:r>
    </w:p>
    <w:p>
      <w:pPr>
        <w:spacing w:after="0" w:line="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132 Superfund related sites.</w:t>
      </w:r>
    </w:p>
    <w:p>
      <w:pPr>
        <w:spacing w:after="0" w:line="12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Of the 126 third-party sites at which the Company has been notified it is a PRP or potential PRP or may have indemnification obligations, the Company has indemnification agreements at a total of 18 sites. These agreements indemnify the Company with respect to any liability at the 18 sites for waste disposed prior to the Company’s acquisition of the former subsidiaries of Waste Management, Inc. and McKesson Corporation which had shipped waste to those sites. Accordingly, the indemnifying parties are paying all costs of defending those subsidiaries in those 18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126 third-party sites discussed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48"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From time to time, the Company pays fines or penalties in regulatory proceedings relating primarily to waste treatment, storage or disposal facilities. As of June 30, 2025 and December 31, 2024, there were two proceedings for which the Company believed it was possible that the sanctions could equal or exceed $1.0 million. As of the date of these financial statements, the Company believes that the fines or other penalties in these or any of the other regulatory proceedings will, individually or in the aggregate, not have a material effect on its financial condition, results of operations or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4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operating decision maker (“CODM”),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Although such transactions are excluded from the business segment results, they are included in reported consolidated earnings.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reconcile third-party revenues to direct revenues by Reportable Segment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6"/>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2025</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219,706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1,549,765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1,549,854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(21,976)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197,730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1,549,854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255,322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1,552,620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(12,085)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243,237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1,552,719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2025</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444,521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2,981,804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(24,051)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420,470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Environmental</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Safety-Kleen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5"/>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Sustainability</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4"/>
                <w:szCs w:val="14"/>
                <w:color w:val="auto"/>
              </w:rPr>
            </w:pPr>
          </w:p>
        </w:tc>
        <w:tc>
          <w:tcPr>
            <w:tcW w:w="116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2,458,577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470,636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 (expense), net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447,320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2,929,414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CODM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transactions not deemed representative of fundamental segment results and other expense, net. Transactions between the segments are accounted for at the Company’s best estimate based on similar transactions with outside customers.</w:t>
      </w:r>
    </w:p>
    <w:p>
      <w:pPr>
        <w:spacing w:after="0" w:line="1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CODM uses Adjusted EBITDA to enhance their understanding of segment operating performance, which represents the Company’s performance in the ordinary, ongoing and customary course of operations. The reportable segment operating performance Adjusted EBITDA is used by the CODM to make key operating decisions such as the allocation of resources. Total assets by segment are not used by the CODM to assess the performance of, or allocate resources to, the Company’s segments. Therefore total assets by segment are not disclosed.</w:t>
      </w:r>
    </w:p>
    <w:p>
      <w:pPr>
        <w:spacing w:after="0" w:line="9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total Reportable Segment Adjusted EBITDA and the relevant significant segment expenses provided to the CODM by reported segment (in thousands):</w:t>
      </w:r>
    </w:p>
    <w:p>
      <w:pPr>
        <w:spacing w:after="0" w:line="13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3"/>
                <w:szCs w:val="13"/>
                <w:color w:val="auto"/>
              </w:rPr>
            </w:pPr>
          </w:p>
        </w:tc>
        <w:tc>
          <w:tcPr>
            <w:tcW w:w="1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Reportable</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1,352,035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1,549,765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1,021,438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414,507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6"/>
          <w:szCs w:val="16"/>
          <w:b w:val="1"/>
          <w:bCs w:val="1"/>
          <w:color w:val="auto"/>
        </w:rPr>
        <w:t>For the Three Months Ended June 30,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3"/>
                <w:szCs w:val="13"/>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1,309,383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1,552,620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1,024,139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359,915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411,391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7"/>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2025</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2"/>
                <w:szCs w:val="12"/>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6"/>
                <w:szCs w:val="16"/>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2,981,618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1,720,813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2,038,818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225,450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650,785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717,350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8"/>
        </w:trPr>
        <w:tc>
          <w:tcPr>
            <w:tcW w:w="6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7"/>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2024</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Safety-Kleen</w:t>
            </w:r>
          </w:p>
        </w:tc>
        <w:tc>
          <w:tcPr>
            <w:tcW w:w="160" w:type="dxa"/>
            <w:vAlign w:val="bottom"/>
          </w:tcPr>
          <w:p>
            <w:pPr>
              <w:spacing w:after="0"/>
              <w:rPr>
                <w:sz w:val="12"/>
                <w:szCs w:val="12"/>
                <w:color w:val="auto"/>
              </w:rPr>
            </w:pPr>
          </w:p>
        </w:tc>
        <w:tc>
          <w:tcPr>
            <w:tcW w:w="13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Total Reportable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Sustainability</w:t>
            </w: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2,481,893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2,929,213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231,723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624,390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705,566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Reportable Segment Adjusted EBITDA reconciled to income from operations before provision for income taxes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8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359,915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650,785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624,390</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Safety-Kleen Sustainability Solutions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81,176</w:t>
            </w:r>
          </w:p>
        </w:tc>
      </w:tr>
      <w:tr>
        <w:trPr>
          <w:trHeight w:val="223"/>
        </w:trPr>
        <w:tc>
          <w:tcPr>
            <w:tcW w:w="5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705,566</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5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Costs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147,655</w:t>
            </w:r>
          </w:p>
        </w:tc>
      </w:tr>
      <w:tr>
        <w:trPr>
          <w:trHeight w:val="230"/>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30"/>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r>
      <w:tr>
        <w:trPr>
          <w:trHeight w:val="223"/>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340,968</w:t>
            </w:r>
          </w:p>
        </w:tc>
      </w:tr>
      <w:tr>
        <w:trPr>
          <w:trHeight w:val="229"/>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30"/>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64,988</w:t>
            </w:r>
          </w:p>
        </w:tc>
      </w:tr>
      <w:tr>
        <w:trPr>
          <w:trHeight w:val="248"/>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 before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0" w:lineRule="exact"/>
        <w:rPr>
          <w:sz w:val="20"/>
          <w:szCs w:val="20"/>
          <w:color w:val="auto"/>
        </w:rPr>
      </w:pPr>
    </w:p>
    <w:p>
      <w:pPr>
        <w:ind w:left="660" w:hanging="328"/>
        <w:spacing w:after="0" w:line="254" w:lineRule="auto"/>
        <w:tabs>
          <w:tab w:leader="none" w:pos="7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Costs include certain revenue, cost of revenues and selling, general and administrative expenses not managed through the Company’s operating segments. These costs are not captured within the Company’s Reportable Segment Adjusted EBITDA but are included in the Company’s total Adjusted EBITDA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 use of the words “believes,” “expects,” “intends,” “anticipates,” “plans to,” “seeks,” “aims,” “will,” “should,” “estimates,” “projects,” “may,” “likely,” “potential” or similar expressions. Such statements may include, but are not limited to, statements about our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capital spending, growth opportunities, expectations, challenges and other statements that are not historical facts. Such statements are based upon the beliefs and expectations of our management as of the date of this report only and are subject to certain risks and uncertainties that could cause actual results, performance or achievements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our business; negative economic, industry or other developments, including market volatility or economic downturns; risks associated with our assumptions relating to expansion of our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we serve; changes in statutory and regulatory requirements and risks relating to extensive environmental laws and regulations; risks associated with existing and potential litigation; risks associated with our identification and execution of strategic acquisitions and divestitures and their related liabilities; risks relating to the availability and sufficiency of our insurance coverage, self-insurance, surety bonds, letters of credit and other forms of financial assurance; impact of new tax legislation or changes in tax regulations and interpretations; the imposition of trade sanctions or tariffs; fluctuations in interest rates and foreign currency exchange rates; risks relating to our indebtedness and covenants in our debt agreements; risks associated with certain anti-takeover provisions under the Massachusetts Business Corporation Act and our By-Laws; and those items discussed elsewhere in this report or identified as “Risk Factors” in our Annual Report on Form 10-K filed with the Securities and Exchange Commission (“SEC”) on February 19, 2025, and in other documents we file from time to time with the SEC. Forward-looking statements are neither historical facts nor assurances of future performance. Therefore, readers are cautioned not to place undue reliance on these forward-looking statements, which reflect management’s opinions only as of the date hereof. Our actual results and financial condition may differ materially from those indicated in the forward-looking statements. We undertake no obligation to revise or publicly release the results of any revision to these forward-looking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Everywhere industry meets the environment, we strive to provide eco-friendly services and products that protect and restore North America’s natural environment. We believe we operate, in the aggregate, the largest number of hazardous waste incinerators, landfills and treatment, storage and disposal facilities (“TSDFs”) in North America. We serve over 350,000 customers, including the majority of Fortune 500 companies, across various markets including chemical and manufacturing, as well as numerous government agencies. These customers rely on us to safely deliver a broad range of services, including, but not limited to end-to-end hazardous waste management, emergency response, industrial cleaning and maintenance and recycling services. We are also a leading provider of parts cleaning and related environmental services to general manufacturing, automotive and commercial customers in North America and the largest re-refiner and recycler of used oil in North America.</w:t>
      </w:r>
    </w:p>
    <w:p>
      <w:pPr>
        <w:spacing w:after="0" w:line="12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 non-GAAP measure which is reconciled to our GAAP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95" w:lineRule="exact"/>
        <w:rPr>
          <w:sz w:val="20"/>
          <w:szCs w:val="20"/>
          <w:color w:val="auto"/>
        </w:rPr>
      </w:pPr>
    </w:p>
    <w:p>
      <w:pPr>
        <w:ind w:left="980" w:right="140" w:hanging="324"/>
        <w:spacing w:after="0" w:line="25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The Environmental Services segment results are driven by the customer demand for our wide variety of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volume of waste managed and project work requiring responsible waste handling and disposal.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20"/>
        <w:spacing w:after="0" w:line="253" w:lineRule="auto"/>
        <w:rPr>
          <w:sz w:val="20"/>
          <w:szCs w:val="20"/>
          <w:color w:val="auto"/>
        </w:rPr>
      </w:pPr>
      <w:r>
        <w:rPr>
          <w:rFonts w:ascii="Times New Roman" w:cs="Times New Roman" w:eastAsia="Times New Roman" w:hAnsi="Times New Roman"/>
          <w:sz w:val="18"/>
          <w:szCs w:val="18"/>
          <w:color w:val="auto"/>
        </w:rPr>
        <w:t>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The results and integration of the acquired operations of HEPACO, which we acquired in March 2024, also impact the overall segment results as we integrated this business into our Field Services operations.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North American GDP, U.S. industrial production, economic conditions in the general manufacturing, chemical and automotive markets, including efforts and economic incentives to increase domestic operations, available capacity at waste disposal outlets, demand for industrial cleaning and related industrial services, weather conditions, efficiency of our operations, technology, changing regulations, competition, market pricing of our services, costs incurred to deliver our services and the management of our related operating costs.</w:t>
      </w:r>
    </w:p>
    <w:p>
      <w:pPr>
        <w:spacing w:after="0" w:line="118" w:lineRule="exact"/>
        <w:rPr>
          <w:sz w:val="20"/>
          <w:szCs w:val="20"/>
          <w:color w:val="auto"/>
        </w:rPr>
      </w:pPr>
    </w:p>
    <w:p>
      <w:pPr>
        <w:ind w:left="980" w:hanging="324"/>
        <w:spacing w:after="0" w:line="252" w:lineRule="auto"/>
        <w:tabs>
          <w:tab w:leader="none" w:pos="975"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 xml:space="preserve">Safety-Kleen Sustainability Solutions - </w:t>
      </w:r>
      <w:r>
        <w:rPr>
          <w:rFonts w:ascii="Times New Roman" w:cs="Times New Roman" w:eastAsia="Times New Roman" w:hAnsi="Times New Roman"/>
          <w:sz w:val="18"/>
          <w:szCs w:val="18"/>
          <w:color w:val="auto"/>
        </w:rPr>
        <w:t>The Safety-Kleen Sustainability Solutions (“SKSS”) segment results are impacted by our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for high-quality, environmentally responsible recycled oil products and their demand for our related service and product offerings. SKSS offers high-quality recycled base and blended oil products and other automotive and industrial lubricants to end users including fleet customers, distributors, manufacturers of oil products and industrial plants. Segment results are impacted by market pricing, overall demand and the mix of our oil products sales. Segment results are also predicated on the demand for other SKSS product and service offerings including collection services for used oil, used oil filters and other automotive fluids. The used oil collected is used as feedstock in our oil re-refining to produce our base and blended oil products and other hydraulic oils, lubricants and recycled fuel oil or are integrated into our recycling and disposal network. The results and integration of the acquired operations of Noble also impact the overall segment results. In operating the business and evaluating performance, management tracks the volumes and relative percentages of base and blended oil sales along with various pricing metrics associated with the commodity driven margin between product pricing and the overall revenue generation and costs associated with the collection of used oil. Levels of activity and ultimate performance associated with this segment can be impacted by economic conditions in the manufacturing and automotive services markets, efficiency of our operations, technology, weather conditions, changing regulations, competition and the management of our related operating costs. Overall product pricing as well as revenues generated and/or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Total direct revenues for the three and six months ended June 30, 2025 were $1,549.9 million and $2,981.8 million, compared with $1,552.7 million and $2,929.4 million for the three and six months ended June 30, 2024, respectively. For the three months ended June 30, 2025, our Environmental Services segment direct revenues increased $42.7 million or 3.3% from the comparable period in 2024, driven by strong growth in Safety-Kleen core services and Technical Services, offset by fewer large scale emergency response events for our Field and Emergency Response Services operations. For the six months ended June 30, 2025, our Environmental Services segment direct revenues increased $79.3 million or 3.2% from the comparable period in 2024, driven by growth in Field and Emergency Response Services, specifically incremental contributions from the acquisition of HEPACO, as well as growth in our Technical Services and Safety-Kleen core services, offset by lower contributions from the Industrial Services organization. For the three and six months ended June 30, 2025, our SKSS segment direct revenues decreased $45.5 million and $26.9 million or 18.7% and 6.0%, respectively, from the comparable periods in 2024, driven by lower sales of base and blended oil products. These decreases were partially offset by higher charge for oil revenue and incremental contributions from Noble. Foreign currency translation of our Canadian operations negatively impacted our consolidated direct revenues by $1.8 million and $10.0 million in the three and six months ended June 30, 2025, respectively, compared to the same periods in 2024.</w:t>
      </w:r>
    </w:p>
    <w:p>
      <w:pPr>
        <w:spacing w:after="0" w:line="12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Income from operations for the three and six months ended June 30, 2025 was $210.3 million and $321.9 million, compared with $215.5 million and $341.0 million in the three and six months ended June 30, 2024, representing decreases of 2.4% and 5.6% respectively, primarily due to increased depreciation and amortization expense in 2025, as compared to the comparable periods in 2024. Net income for the three and six months ended June 30, 2025 was $126.9 million and $185.6 million, decreases of $6.4 million and $17.5 million, or 4.8% and 8.6% as compared with net income of $133.3 million and $203.1 million in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we evaluate the operating performance of our segments, increased $8.4 million and $13.2 million or 2.6% and 2.4%, from $327.8 million and $557.9 million in the three and six months ended June 30, 2024 to $336.2 million and $571.1 million in the three and six months ended June 30, 2025. Additional information regarding Adjusted EBITDA, which is a non-GAAP measure, including a reconciliation of net income to Adjusted EBITDA, appears below under </w:t>
      </w:r>
      <w:r>
        <w:rPr>
          <w:rFonts w:ascii="Times New Roman" w:cs="Times New Roman" w:eastAsia="Times New Roman" w:hAnsi="Times New Roman"/>
          <w:sz w:val="18"/>
          <w:szCs w:val="18"/>
          <w:i w:val="1"/>
          <w:iCs w:val="1"/>
          <w:color w:val="auto"/>
        </w:rPr>
        <w:t>“Adjusted EBITDA.”</w:t>
      </w:r>
    </w:p>
    <w:p>
      <w:pPr>
        <w:spacing w:after="0" w:line="11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six months ended June 30, 2025 decreased $24.9 million from $234.6 million in 2024 to $209.6 million in 2025 primarily due to increased working capital balances. Adjusted free cash flow, which management uses to measure our financial strength and ability to generate cash, was an inflow of $17.4 million in the six months ended June 30, 2025 as compared to an outflow of $34.1 million in the comparable period of 2024, mainly due to lower cash paid for additions to property, plant and equipment. Additional information regarding adjusted free cash flow, which is a non-GAAP measure, including a reconciliation of net cash from operating activities to adjusted free cash flow, appears below under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Free Cash Flow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62"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Summary of Operations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40" w:type="dxa"/>
            <w:vAlign w:val="bottom"/>
          </w:tcPr>
          <w:p>
            <w:pPr>
              <w:spacing w:after="0"/>
              <w:rPr>
                <w:sz w:val="24"/>
                <w:szCs w:val="24"/>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13"/>
        </w:trPr>
        <w:tc>
          <w:tcPr>
            <w:tcW w:w="204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Direct Revenues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1,352,035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1,309,383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42,652</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2,561,148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2,481,893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79,255</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197,730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243,237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(45,507)</w:t>
            </w:r>
          </w:p>
        </w:tc>
        <w:tc>
          <w:tcPr>
            <w:tcW w:w="98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(18.7)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420,470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447,320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(26,850)</w:t>
            </w:r>
          </w:p>
        </w:tc>
        <w:tc>
          <w:tcPr>
            <w:tcW w:w="98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N/M</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1,549,854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1,552,719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(2,865)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(0.2)</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2,981,804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2,929,414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52,390</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1.8</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880,871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853,705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27,166</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1,720,813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1,666,603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54,210</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162"/>
        </w:trPr>
        <w:tc>
          <w:tcPr>
            <w:tcW w:w="2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40" w:type="dxa"/>
            <w:vAlign w:val="bottom"/>
          </w:tcPr>
          <w:p>
            <w:pPr>
              <w:spacing w:after="0"/>
              <w:rPr>
                <w:sz w:val="14"/>
                <w:szCs w:val="14"/>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140,567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170,434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(29,867)</w:t>
            </w:r>
          </w:p>
        </w:tc>
        <w:tc>
          <w:tcPr>
            <w:tcW w:w="9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8"/>
              </w:rPr>
              <w:t>(17.5)</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318,005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325,321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(7,316)</w:t>
            </w:r>
          </w:p>
        </w:tc>
        <w:tc>
          <w:tcPr>
            <w:tcW w:w="9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N/M</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1,033,497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1,035,542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(2,045)</w:t>
            </w:r>
          </w:p>
        </w:tc>
        <w:tc>
          <w:tcPr>
            <w:tcW w:w="9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(0.2)</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2,055,381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2,006,612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48,769</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2.4</w:t>
            </w: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Selling, General &amp;</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Administrative Expenses </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95,763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7"/>
              </w:rPr>
              <w:t>(0.8)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189,550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190,900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(1,350)</w:t>
            </w:r>
          </w:p>
        </w:tc>
        <w:tc>
          <w:tcPr>
            <w:tcW w:w="98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Safety-Kleen Sustainability</w:t>
            </w: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21,327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(2,477)</w:t>
            </w:r>
          </w:p>
        </w:tc>
        <w:tc>
          <w:tcPr>
            <w:tcW w:w="98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(11.6)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35,900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40,823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(4,923)</w:t>
            </w:r>
          </w:p>
        </w:tc>
        <w:tc>
          <w:tcPr>
            <w:tcW w:w="98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66,300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72,271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(5,971)</w:t>
            </w:r>
          </w:p>
        </w:tc>
        <w:tc>
          <w:tcPr>
            <w:tcW w:w="9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7"/>
              </w:rPr>
              <w:t>(8.3)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129,882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133,168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(3,286)</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180,120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189,361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(9,241)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(4.9)</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355,332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364,891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(9,559)</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(2.6)</w:t>
            </w:r>
          </w:p>
        </w:tc>
        <w:tc>
          <w:tcPr>
            <w:tcW w:w="0" w:type="dxa"/>
            <w:vAlign w:val="bottom"/>
          </w:tcPr>
          <w:p>
            <w:pPr>
              <w:spacing w:after="0"/>
              <w:rPr>
                <w:sz w:val="1"/>
                <w:szCs w:val="1"/>
                <w:color w:val="auto"/>
              </w:rPr>
            </w:pPr>
          </w:p>
        </w:tc>
      </w:tr>
      <w:tr>
        <w:trPr>
          <w:trHeight w:val="207"/>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Environmental Services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359,915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16,279</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650,785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624,390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26,395</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62"/>
        </w:trPr>
        <w:tc>
          <w:tcPr>
            <w:tcW w:w="20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40" w:type="dxa"/>
            <w:vAlign w:val="bottom"/>
          </w:tcPr>
          <w:p>
            <w:pPr>
              <w:spacing w:after="0"/>
              <w:rPr>
                <w:sz w:val="14"/>
                <w:szCs w:val="14"/>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38,313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51,476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(13,163)</w:t>
            </w:r>
          </w:p>
        </w:tc>
        <w:tc>
          <w:tcPr>
            <w:tcW w:w="9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8"/>
              </w:rPr>
              <w:t>(25.6)</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66,565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81,176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(14,611)</w:t>
            </w:r>
          </w:p>
        </w:tc>
        <w:tc>
          <w:tcPr>
            <w:tcW w:w="980" w:type="dxa"/>
            <w:vAlign w:val="bottom"/>
            <w:gridSpan w:val="2"/>
            <w:vMerge w:val="restart"/>
          </w:tcPr>
          <w:p>
            <w:pPr>
              <w:jc w:val="center"/>
              <w:ind w:left="19"/>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(78,270)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(146,259)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(147,655)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1,396</w:t>
            </w:r>
          </w:p>
        </w:tc>
        <w:tc>
          <w:tcPr>
            <w:tcW w:w="98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0.9</w:t>
            </w:r>
          </w:p>
        </w:tc>
        <w:tc>
          <w:tcPr>
            <w:tcW w:w="0" w:type="dxa"/>
            <w:vAlign w:val="bottom"/>
          </w:tcPr>
          <w:p>
            <w:pPr>
              <w:spacing w:after="0"/>
              <w:rPr>
                <w:sz w:val="1"/>
                <w:szCs w:val="1"/>
                <w:color w:val="auto"/>
              </w:rPr>
            </w:pPr>
          </w:p>
        </w:tc>
      </w:tr>
      <w:tr>
        <w:trPr>
          <w:trHeight w:val="208"/>
        </w:trPr>
        <w:tc>
          <w:tcPr>
            <w:tcW w:w="2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336,237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327,816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8,421</w:t>
            </w:r>
          </w:p>
        </w:tc>
        <w:tc>
          <w:tcPr>
            <w:tcW w:w="98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2.6%</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571,091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557,911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13,180</w:t>
            </w:r>
          </w:p>
        </w:tc>
        <w:tc>
          <w:tcPr>
            <w:tcW w:w="98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2.4%</w:t>
            </w:r>
          </w:p>
        </w:tc>
        <w:tc>
          <w:tcPr>
            <w:tcW w:w="0" w:type="dxa"/>
            <w:vAlign w:val="bottom"/>
          </w:tcPr>
          <w:p>
            <w:pPr>
              <w:spacing w:after="0"/>
              <w:rPr>
                <w:sz w:val="1"/>
                <w:szCs w:val="1"/>
                <w:color w:val="auto"/>
              </w:rPr>
            </w:pPr>
          </w:p>
        </w:tc>
      </w:tr>
      <w:tr>
        <w:trPr>
          <w:trHeight w:val="144"/>
        </w:trPr>
        <w:tc>
          <w:tcPr>
            <w:tcW w:w="20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Adjusted EBITDA as a % of</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Environmental Services </w:t>
            </w:r>
            <w:r>
              <w:rPr>
                <w:rFonts w:ascii="Times New Roman" w:cs="Times New Roman" w:eastAsia="Times New Roman" w:hAnsi="Times New Roman"/>
                <w:sz w:val="21"/>
                <w:szCs w:val="21"/>
                <w:color w:val="auto"/>
                <w:vertAlign w:val="superscript"/>
              </w:rPr>
              <w:t>(4)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Safety-Kleen Sustainability</w:t>
            </w: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Solutions </w:t>
            </w:r>
            <w:r>
              <w:rPr>
                <w:rFonts w:ascii="Times New Roman" w:cs="Times New Roman" w:eastAsia="Times New Roman" w:hAnsi="Times New Roman"/>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Corporate </w:t>
            </w:r>
            <w:r>
              <w:rPr>
                <w:rFonts w:ascii="Times New Roman" w:cs="Times New Roman" w:eastAsia="Times New Roman" w:hAnsi="Times New Roman"/>
                <w:sz w:val="21"/>
                <w:szCs w:val="21"/>
                <w:color w:val="auto"/>
                <w:vertAlign w:val="superscript"/>
              </w:rPr>
              <w:t>(5)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0.2 %</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revenues are allocated to the segment performing the provided service or selling the product.</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revenues are shown exclusive of (i) accretion of environmental liabilities and (ii) depreciation and amortization which are presented separately on the Consolidated Statements of Operations.</w:t>
      </w:r>
    </w:p>
    <w:p>
      <w:pPr>
        <w:ind w:left="660" w:right="60" w:hanging="328"/>
        <w:spacing w:after="0" w:line="250"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are shown exclusive of stock-based compensation which is presented in Selling, general and administrative expenses on the Company’s Consolidated Statements of Operations but is not included in the Company’s measurement of Adjusted EBITDA. See Adjusted EBITDA section below for a reconciliation of net income to Adjusted EBITDA.</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individual segment direct revenue.</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a percentage of total Company direct revenue.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6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There are many factors which can impact our revenues including, but not limited to: overall levels of industrial activity and economic growth in North America, competitive industry pricing, overall market incineration capacity including captive incineration closures, changes in the regulatory environment including those related to per- and polyfluoroalkyl substances (“PFAS”), impacts of acquisitions and divestitures, the level of emergency response services, government infrastructure investment, reshoring of domestic manufacturing, existence or non-existence of large scale environmental waste and remediation projects, weather related events, the number of parts washers placed at customer sites, miles driven and related lubricant demand, base and blended oil pricing, market supply for base oil products, market changes relative to the collection of used oil and foreign currency fluctuations. In addition, customer efforts to minimize hazardous waste and changes in regulation can impact our revenues.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8"/>
        </w:trPr>
        <w:tc>
          <w:tcPr>
            <w:tcW w:w="2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4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0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7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1,352,035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1,309,383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42,652</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2,561,148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2,481,893</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79,255</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June 30, 2025 increased $42.7 million from the comparable period in 2024, driven by contributions across our service lines. Revenues for Safety-Kleen core service offerings for the three months ended June 30, 2025 grew by $21.0 million from the comparable period in 2024 due to improved overall pricing and demand for our containerized waste, vacuum and parts washer services. Technical services revenue increased $19.8 million from the comparable period in the prior year with contributions across our portfolio of waste disposal services, including increased volumes at our incinerator facilities. On a comparative basis and excluding the impacts of the new incinerator in Kimball, Nebraska, which is not expected to be running at full utilization until 2026, utilization at our incinerators was 89% in the three months ended June 30, 2025 as compared to 88% in the same period in 2024. Including the new Kimball incinerator, utilization at our incinerators was 86% during the three months ended June 30, 2025. Field and emergency response service revenues decreased $10.1 million driven by fewer large-scale emergency response events in the three months ended June 30, 2025 as compared to the same period in 2024. Direct revenues for Canadian operations of the Environmental Services segment decreased by $1.5 million due to foreign currency translation.</w:t>
      </w:r>
    </w:p>
    <w:p>
      <w:pPr>
        <w:spacing w:after="0" w:line="11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six months ended June 30, 2025 increased $79.3 million from the comparable period in 2024 driven by acquisitive growth and incremental revenues from our legacy operations. Field and emergency response service revenues for the six months ended June 30, 2025 increased $42.1 million from the comparable period in 2024 driven by incremental revenue from the acquisition of HEPACO in late March 2024, partially offset by fewer large-scale emergency response events in the current year period. Technical services revenue increased $38.5 million from the comparable prior year period driven primarily by higher incineration volumes. On a comparative basis and excluding the impacts of the new incinerator in Kimball, Nebraska, utilization at our incinerators was 89% in the first six months of 2025 as compared to 83% in the same period in 2024. Including the new Kimball incinerator, utilization at our incinerators was 84% during the six months ended June 30, 2025. Revenues from Safety-Kleen core services for the six months ended June 30, 2025 grew by $32.9 million from the comparable period in 2024 due to improved pricing for our containerized waste, vacuum and parts washer services. Revenue from our industrial services operations declined $34.9 million due to lower turnaround activity and related high-value services, predominately early in 2025 when compared to 2024. Direct revenues for Canadian operations of the Environmental Services segment decreased by $8.0 million due to foreign currency translation.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5"/>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8"/>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00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60" w:type="dxa"/>
            <w:vAlign w:val="bottom"/>
            <w:tcBorders>
              <w:top w:val="single" w:sz="8" w:color="auto"/>
            </w:tcBorders>
          </w:tcPr>
          <w:p>
            <w:pPr>
              <w:jc w:val="right"/>
              <w:ind w:right="27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04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197,730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243,237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(45,507)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420,470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447,320</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(26,850)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2025, SKSS direct revenues decreased $45.5 million compared to the same period in 2024. Revenues from the sale of base and blended oil products decreased $32.7 million and $15.5 million, respectively, resulting from lower volumes sold and, to a lesser extent, lower pricing, and revenues from contract packaging services decreased $6.5 million from the same period in 2024. These decreases were partially offset by a $10.8 million increase in revenue from the collection of used oil as we increased the price we charge for these collection services starting in late 2024 and throughout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six months ended June 30, 2025, SKSS direct revenues decreased $26.9 million compared to the same period in 2024. Revenues from the sale of base and blended oil products decreased $38.6 million and $19.2 million, respectively, resulting from lower volumes sold and, to a lesser extent, lower pricing, and revenues from contract packaging services decreased $10.3 million from the same period in 2024. These decreases were partially offset by a $19.3 million increase in revenues from vacuum gas oil and specialty refinery products, driven by the acquisition of Noble in March 2024, and a $16.7 million increase in revenue from the collection of used oil attributed to the higher pricing for these collection services noted above. Direct revenues for Canadian operations of the SKSS segment decreased by $1.9 million due to foreign currency translation.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4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believe that management of operating costs is vital to our ability to remain price competitive. We continue to experience inflationary pressures across several cost categories, but most notably related to internal and external labor, transportation, maintenance and energy related costs. We are also subject to uncertainties and cost increases due to the changing regulatory landscape, including trade restrictions and tariffs. We aim to manage these increases through constant cost monitoring and a focus on cost savings areas, including lowering employee turnover, as well as our overall customer pricing strategies designed to offset the inflationary impacts on our margins.</w:t>
      </w:r>
    </w:p>
    <w:p>
      <w:pPr>
        <w:spacing w:after="0" w:line="1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upgrade the quality and efficiency of our services through the development of new technology and continued modifications and expansion at our facilities while also leveraging certain fixed costs of our operating infrastructure. We invest in new business opportunities and aggressively implement strategic sourcing and logistics solutions, while also continuing to optimize our management and operating structure in an effort to manage our operating margins.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61"/>
        </w:trPr>
        <w:tc>
          <w:tcPr>
            <w:tcW w:w="19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jc w:val="right"/>
              <w:ind w:right="27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6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880,871</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853,705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27,166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1,720,813</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1,666,603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54,210</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175"/>
        </w:trPr>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Direct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June 30, 2025 increased $27.2 million from the comparable period in 2024, and remained consistent as a percentage of revenues. Commensurate with the revenue growth in the business, equipment and supply costs increased $9.1 million and labor and benefit related costs increased $8.9 million for the three months ended June 30, 2025 when compared to the three months ended June 30, 2024. The remaining cost increase was spread across various cost categories. Partially offsetting these cost increases was a decrease of $4.3 million in third-party labor costs for the three months ended June 30, 2025 when compared to the three months ended June 30, 2024 due to labor internalization efforts.</w:t>
      </w:r>
    </w:p>
    <w:p>
      <w:pPr>
        <w:spacing w:after="0" w:line="12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Environmental Services cost of revenues for the six months ended June 30, 2025 increased $54.2 million from the comparable period in 2024, and remained consistent as a percentage of revenues. Commensurate with the revenue growth in the business and the acquisition of HEPACO discussed above, labor and benefit related costs increased $34.8 million and equipment and supply costs increased $11.7 million for the six months ended June 30, 2025 when compared to the six months ended June 30, 2024. The remaining cost increase was spread across various cost categories and was largely driven by the HEPACO acquisition. Partially offsetting these cost increases was a decrease of $12.2 million in third-party labor costs due to labor internalization efforts.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62"/>
        </w:trPr>
        <w:tc>
          <w:tcPr>
            <w:tcW w:w="22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top w:val="single" w:sz="8" w:color="auto"/>
            </w:tcBorders>
          </w:tcPr>
          <w:p>
            <w:pPr>
              <w:jc w:val="right"/>
              <w:ind w:right="25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60" w:type="dxa"/>
            <w:vAlign w:val="bottom"/>
            <w:gridSpan w:val="3"/>
          </w:tcPr>
          <w:p>
            <w:pPr>
              <w:jc w:val="center"/>
              <w:ind w:right="29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140,567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170,434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(29,867)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318,005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325,321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(7,316)</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SKSS cost of revenues for the three months ended June 30, 2025 decreased $29.9 million from the comparable period in 2024. The overall cost decreases were driven by the lower sales volumes, discussed above, and by lower acquisition costs of used oil feedstock in the three months ended June 30, 2025 compared to the prior period. As a percentage of revenues, these costs increased 1.0%, primarily due to market-related volume and pricing decreases discussed above in the SKSS direct revenues section.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SKSS cost of revenues for the six months ended June 30, 2025 decreased $7.3 million from the comparable period in 2024 but increased 2.9% as a percentage of revenues. The overall cost decrease was driven by the lower sales volumes, discussed above, and by lower acquisition costs of used oil feedstock in the six months ended June 30, 2025 compared to the prior period. These decreases were partially offset by incremental expenses from the Noble acquisition. As a percentage of revenues, these costs increased primarily due to market-related volume and pricing decreases discussed above in the SKSS direct revenues section and the overall mix of products sold during the six months ended June 30, 2025 as compared to the same period in the prior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aim to manage our selling, general and administrative (“SG&amp;A”) expenses in line with the overall performance of our segments and corresponding revenue levels. Our goal is to achieve this through enhanced technology, process improvements and strategic expense management. Expanding our support functions globally has led to both profitability and productivity improvements. We believe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SG&amp;A expenses set forth below exclude stock-based compensation expense, which is presented in SG&amp;A on the Company’s Consolidated Statement of Operations but is not included in the Company’s measurement of Adjusted EBITDA. For a discussion of significant changes in consolidated stock-based compensation expense, please refer to the separate section below.</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61"/>
        </w:trPr>
        <w:tc>
          <w:tcPr>
            <w:tcW w:w="23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94,970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95,763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189,550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190,900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June 30, 2025 remained relatively consistent with the comparable period in 2024, both in absolute dollars and as a percentage of revenues. Strategic headcount management actions implemented early in the second quarter of 2025 helped to partially offset rising costs, including inflation-driven increases in labor expenses.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six months ended June 30, 2025 decreased $1.4 million from the comparable period in 2024, and remained relatively consistent as a percentage of revenues. The results for the six months ended June 30, 2025 include the impact of reducing the estimated costs to remediate a site by approximately $10 million in the first quarter of 2025 to reflect our conclusion that a loss was no longer probable based on recent evaluation of available evidence. This benefit was partially offset by higher labor and benefits related costs of $11.7 million as a result of the HEPACO acquisition and other investments in our employees.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 Sustainability Solutions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8"/>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Borders>
              <w:top w:val="single" w:sz="8" w:color="auto"/>
            </w:tcBorders>
          </w:tcPr>
          <w:p>
            <w:pPr>
              <w:jc w:val="right"/>
              <w:ind w:right="2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6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21,327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35,900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40,823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(4,923)</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SKSS SG&amp;A expenses for the three months ended June 30, 2025 decreased $2.5 million and, despite the revenue decreases noted above, remained relatively consistent, as a percentage of revenues, when compared to the same period in 2024. Labor and benefit related costs decreased $2.6 million in the three months ended June 30, 2025 when compared to the same period in 2024, mainly driven by cost reduction initiatives that were executed late in 2024 and strategic headcount management actions implemented early in the second quarter of 2025.</w:t>
      </w:r>
    </w:p>
    <w:p>
      <w:pPr>
        <w:spacing w:after="0" w:line="9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SKSS SG&amp;A expenses for the six months ended June 30, 2025 decreased $4.9 million and, despite the revenue decreases noted above, remained relatively consistent, as a percentage of revenues, when compared to the same period in 2024. Labor and benefit related costs decreased $4.2 million in the six months ended June 30, 2025 when compared to the same period in 2024, mainly driven by the cost reduction initiatives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62"/>
        </w:trPr>
        <w:tc>
          <w:tcPr>
            <w:tcW w:w="22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66,300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72,271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129,882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133,168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2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 a % of Total Company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manage our Corporate SG&amp;A expenses commensurate with the overall total Company performance and direct revenue levels. Corporate SG&amp;A expenses for the three months ended June 30, 2025 decreased $6.0 million when compared to the same period in the prior year and remained relatively consistent as a percentage of total Company revenues. The overall decrease in Corporate SG&amp;A expenses for the three months ended June 30, 2025 when compared to the prior year was primarily driven by $5.2 million of lower environmental and legal reserve related costs, including a $2.9 million increase in a remedial liability for a Superfund site which occurred in the three months ended June 30, 2024 and did not recur in 2025. During the three months ended June 30, 2025 strategic headcount management actions implemented early in the second quarter of 2025 helped to partially offset rising costs, including inflation-driven increases in labor costs.</w:t>
      </w:r>
    </w:p>
    <w:p>
      <w:pPr>
        <w:spacing w:after="0" w:line="121"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Corporate SG&amp;A expenses for the six months ended June 30, 2025 decreased $3.3 million when compared to the same period in the prior year and remained consistent as a percentage of total Company revenues. The decrease in Corporate SG&amp;A expenses was primarily driven by $5.3 million of lower environmental and legal reserve related cost, noted above, partially offset by increased spending on systems investments and severance and integration costs of $4.2 million as compared to $3.1 million in the same period in 2024. During the six months ended June 30, 2025 strategic headcount management actions implemented early in the second quarter of 2025 helped to partially offset rising costs, including inflation-driven increases in labor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4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As reflected in the reconciliation below, we define Adjusted EBITDA as net income plus accretion of environmental liabilities, stock-based compensation, depreciation and amortization, net other expense, net interest expense and provision for income taxes.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1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being managed.</w:t>
      </w:r>
    </w:p>
    <w:p>
      <w:pPr>
        <w:spacing w:after="0" w:line="10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7"/>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5"/>
          </w:tcPr>
          <w:p>
            <w:pPr>
              <w:jc w:val="center"/>
              <w:ind w:left="5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4"/>
        </w:trPr>
        <w:tc>
          <w:tcPr>
            <w:tcW w:w="3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126,905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203,112</w:t>
            </w:r>
          </w:p>
        </w:tc>
      </w:tr>
      <w:tr>
        <w:trPr>
          <w:trHeight w:val="23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3,591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3,304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6,521</w:t>
            </w:r>
          </w:p>
        </w:tc>
      </w:tr>
      <w:tr>
        <w:trPr>
          <w:trHeight w:val="22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6,063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14,853</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116,285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195,569</w:t>
            </w: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1,308</w:t>
            </w:r>
          </w:p>
        </w:tc>
      </w:tr>
      <w:tr>
        <w:trPr>
          <w:trHeight w:val="22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37,106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64,988</w:t>
            </w:r>
          </w:p>
        </w:tc>
      </w:tr>
      <w:tr>
        <w:trPr>
          <w:trHeight w:val="23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45,684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61,614</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71,560</w:t>
            </w:r>
          </w:p>
        </w:tc>
      </w:tr>
      <w:tr>
        <w:trPr>
          <w:trHeight w:val="223"/>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336,237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327,816</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571,091</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557,911</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44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3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7"/>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5"/>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7"/>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2025 over 2024</w:t>
            </w:r>
          </w:p>
        </w:tc>
      </w:tr>
      <w:tr>
        <w:trPr>
          <w:trHeight w:val="21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98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(2,452)</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bl>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for the three and six months ended June 30, 2025 decreased $2.5 million and $1.2 million, respectively, due to higher expense in 2024 for the achievement of performance awards granted in prior periods coupled with a longer recognition period for performance awards granted in 2025 and higher forfeitures in 2025. These expense decreases were partially offset by higher expense for the ESPP which commenced in July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8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4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9"/>
        </w:trPr>
        <w:tc>
          <w:tcPr>
            <w:tcW w:w="2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9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420" w:type="dxa"/>
            <w:vAlign w:val="bottom"/>
            <w:tcBorders>
              <w:top w:val="single" w:sz="8" w:color="auto"/>
            </w:tcBorders>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9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27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81"/>
        </w:trPr>
        <w:tc>
          <w:tcPr>
            <w:tcW w:w="26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Depreciation of fixed assets and</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7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of landfills and finance</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102,573</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86,472</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0" w:type="dxa"/>
            <w:vAlign w:val="bottom"/>
          </w:tcPr>
          <w:p>
            <w:pPr>
              <w:spacing w:after="0"/>
              <w:rPr>
                <w:sz w:val="1"/>
                <w:szCs w:val="1"/>
                <w:color w:val="auto"/>
              </w:rPr>
            </w:pPr>
          </w:p>
        </w:tc>
      </w:tr>
      <w:tr>
        <w:trPr>
          <w:trHeight w:val="225"/>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15,781</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18.6 %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201,240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41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15.7 %</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
        </w:trPr>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40" w:space="480"/>
            <w:col w:w="4820"/>
          </w:cols>
          <w:pgMar w:left="320" w:top="121" w:right="339" w:bottom="1440" w:gutter="0" w:footer="0" w:header="0"/>
          <w:type w:val="continuous"/>
        </w:sectPr>
      </w:pPr>
    </w:p>
    <w:p>
      <w:pPr>
        <w:spacing w:after="0" w:line="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June 30, 2025 increased by $15.8 million from the comparable period in 2024 due to depreciation for the Kimball incinerator, which was placed in service in December 2024, incremental depreciation for assets placed in service to support the growth of the business, higher amortization of landfill assets due to increased volumes and incremental finance lease amortization.</w:t>
      </w:r>
    </w:p>
    <w:p>
      <w:pPr>
        <w:spacing w:after="0" w:line="95" w:lineRule="exact"/>
        <w:rPr>
          <w:sz w:val="20"/>
          <w:szCs w:val="20"/>
          <w:color w:val="auto"/>
        </w:rPr>
      </w:pPr>
    </w:p>
    <w:p>
      <w:pPr>
        <w:jc w:val="both"/>
        <w:ind w:right="400"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six months ended June 30, 2025 increased by $32.7 million from the comparable period in 2024 due to depreciation of fixed assets and amortization of intangible assets acquired from the March 2024 HEPACO and Noble acquisitions, depreciation for the Kimball incinerator, which was placed in service in December 2024, incremental depreciation for assets placed in service to support the growth of the business, higher amortization of landfill assets due to increased volumes and incremental finance lease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 of Interest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gridSpan w:val="5"/>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8"/>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8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 expense, net of interest</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of interest income for the three months ended June 30, 2025 remained relatively consistent with the comparable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3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Interest expense, net of interest income for the six months ended June 30, 2025 increased $8.2 million from the comparable period in 2024 primarily due to higher levels of outstanding debt during the period resulting from the issuance of incremental debt on March 22, 2024. Interest expense was partially offset by a $2.8 million increase in interest income in the six months ended June 30, 2025 compared to the same period in 2024.</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the effective interest rate on our debt was 5.3%. For the remainder of 2025, we expect interest expense, net of interest income to remain relatively consistent with the prior year. For additional information regarding our current portfolio of long-term debt, see Note 11, “Financing Arrangements,” to the accompanying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2025 over 2024</w:t>
            </w:r>
          </w:p>
        </w:tc>
        <w:tc>
          <w:tcPr>
            <w:tcW w:w="0" w:type="dxa"/>
            <w:vAlign w:val="bottom"/>
          </w:tcPr>
          <w:p>
            <w:pPr>
              <w:spacing w:after="0"/>
              <w:rPr>
                <w:sz w:val="1"/>
                <w:szCs w:val="1"/>
                <w:color w:val="auto"/>
              </w:rPr>
            </w:pPr>
          </w:p>
        </w:tc>
      </w:tr>
      <w:tr>
        <w:trPr>
          <w:trHeight w:val="158"/>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tcPr>
          <w:p>
            <w:pPr>
              <w:jc w:val="right"/>
              <w:ind w:right="31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12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6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45,684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61,614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71,560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(9,946)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1.0 %</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June 30, 2025, the provision for income taxes and our effective tax rate were relatively consistent with the same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w:t>
      </w:r>
    </w:p>
    <w:p>
      <w:pPr>
        <w:spacing w:after="0" w:line="12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the provision for income taxes decreased $9.9 million compared to the same period in 2024. This decrease was driven by both lower pre-tax income as well as a reduced effective tax rate in 2025. The decrease in our effective tax rate in the six months ended June 30, 2025 was driven by the write-off of a deferred tax asset with a full valuation allowance associated with the remedial liability change in estimate discussed above, which occurred in the first quarter of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as of the date of this report.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3"/>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0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ind w:left="59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209,645</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234,594</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(200,742)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rPr>
              <w:t>(730,670)</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from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(101,169)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455,503</w:t>
            </w: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for the six months ended June 30, 2025 was $209.6 million as compared to $234.6 million in the same period of 2024. This $24.9 million decrease in operating cash flows was attributable to an increase in working capital balances for the six months ended June 30, 2025 compared to the same period in 2024, partially offset by lower cash payments for income taxes.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$200.7 million, a decrease of $529.9 million from the comparable period in 2024. In the six months ended June 30, 2024, we paid $477.2 million for acquisitions, including the purchase of HEPACO and Noble. Additions to property, plant and equipment decreased $64.3 million, primarily due to notable project spend of $40.4 million on the Kimball incinerator strategic project in the six months ended June 30, 2024. Partially offsetting these lower cash outflows was an $11.7 million lower cash inflow due to the timing of transactions within our wholly owned captive insurance company.</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from financing activities</w:t>
      </w:r>
    </w:p>
    <w:p>
      <w:pPr>
        <w:spacing w:after="0" w:line="160"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Net cash used in financing activities for the six months ended June 30, 2025 was $101.2 million, as compared to net cash from financing activities of $455.5 million for the six months ended June 30, 2024. The primary difference in financing activities was the incurrence of term loans net of discount and deferred financing costs of $491.2 million in 2024 to fund the acquisitions executed during the period. Additionally, in 2025, the Company paid $56.8 million more for repurchases of common stock, $5.9 million for tax payments on withholdings of vested restricted stock and $5.3 million more in finance lease payments. Partially offsetting these incremental financing cash outflows in 2025 was the receipt of $3.4 million in proceeds from the ESPP.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Management considers adjusted free cash flow, a non-GAAP measure, to be a measure of liquidity which provides useful information to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When necessary, management adjusts for the cash impact of items derived from non-operating activities. Additionally, adjusted free cash flow excludes significant one-time growth investments, as they are not indicative of free cash flow generation for the current period. For 2025, these significant one-time growth investments include the build out of a hub facility in Phoenix Arizona which is expected to cost approximately $15 million in 2025 and, from which we expect to realize future long-term benefits.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6"/>
        </w:trPr>
        <w:tc>
          <w:tcPr>
            <w:tcW w:w="8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209,645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234,594</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(273,023)</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investment in Phoenix Hub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Capital Resources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At June 30, 2025, cash and cash equivalents and marketable securities totaled $699.1 million, compared to $789.8 million at December 31, 2024. At June 30, 2025, cash and cash equivalents held by our Canadian subsidiaries totaled $91.6 million. The cash and cash equivalents and marketable securities balance for our U.S. operations was $607.5 million at June 30, 2025. Our U.S. operations had net operating cash inflows of $223.1 million for the six months ended June 30, 2025.</w:t>
      </w:r>
    </w:p>
    <w:p>
      <w:pPr>
        <w:spacing w:after="0" w:line="9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maintain a $600.0 million revolving credit facility of which, as of June 30, 2025, approximately $452.1 million was available to borrow under the facility, with letters of credit of $147.9 million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Capital Requirements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Capital expenditures during the first six months of 2025 were $208.7 million as compared to $273.0 million during the first six months of 2024. Notable project spend in 2024 included investments of $40.4 million in our Kimball incinerator facility and $15.4 million in our Baltimore, Maryland facility. In 2025, notable project spend includes $12.4 million spent for the purchase of a building for our Phoenix hub project. The remaining decrease in capital expenditures in the six months ended June 30, 2025 as compared to June 30, 2024 is due to the timing of expenditures. Overall, we expect that 2025 capital spending, net of disposals, will be in the range of $360.0 million to $390.0 million including the long-term growth investment of approximately $15 million for the Phoenix hub.</w:t>
      </w:r>
    </w:p>
    <w:p>
      <w:pPr>
        <w:spacing w:after="0" w:line="120" w:lineRule="exact"/>
        <w:rPr>
          <w:sz w:val="20"/>
          <w:szCs w:val="20"/>
          <w:color w:val="auto"/>
        </w:rPr>
      </w:pPr>
    </w:p>
    <w:p>
      <w:pPr>
        <w:ind w:right="480" w:firstLine="648"/>
        <w:spacing w:after="0" w:line="312" w:lineRule="auto"/>
        <w:rPr>
          <w:sz w:val="20"/>
          <w:szCs w:val="20"/>
          <w:color w:val="auto"/>
        </w:rPr>
      </w:pPr>
      <w:r>
        <w:rPr>
          <w:rFonts w:ascii="Times New Roman" w:cs="Times New Roman" w:eastAsia="Times New Roman" w:hAnsi="Times New Roman"/>
          <w:sz w:val="17"/>
          <w:szCs w:val="17"/>
          <w:color w:val="auto"/>
        </w:rPr>
        <w:t>We anticipate that the remaining 2025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4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2025, our financing arrangements include (i) $545.0 million of 4.875% senior unsecured notes due 2027, (ii) $1.5 billion of senior secured term loans due 2028, (iii) $300.0 million of 5.125% senior unsecured notes due 2029 and (iv) $500.0 million of 6.375% senior unsecured notes due 2031. As noted above, we also maintain our $600.0 million revolving credit facility with no amounts owed as of June 30, 2025.</w:t>
      </w:r>
    </w:p>
    <w:p>
      <w:pPr>
        <w:spacing w:after="0" w:line="108"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of these arrangements are discussed further in Note 11, “Financing Arrangements,” to the accompanying unaudited consolidated financial statements.</w:t>
      </w:r>
    </w:p>
    <w:p>
      <w:pPr>
        <w:spacing w:after="0" w:line="94"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we were in compliance with the covenants of all of our debt agreements, and we believe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approved a plan to repurchase up to $1.1 billion of the Company’s common stock. During the three and six months ended June 30, 2025, the Company repurchased and retired 61,657 and 318,130 shares, respectively, of the Company’s common stock for total expenditures of $11.8 million and $66.8 million, respectively. During the three and six months ended June 30, 2024, the Company repurchased and retired 23,397 and 50,662 shares, respectively, of the Company’s common stock for total expenditures of $5.0 million and $10.0 million, respectively.</w:t>
      </w:r>
    </w:p>
    <w:p>
      <w:pPr>
        <w:spacing w:after="0" w:line="11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From the board’s approval of the repurchase plan through June 30, 2025, the Company has repurchased and retired a total of approximately 9.1 million shares of its common stock for $667.6 million under the board-approved plan, and, as of June 30, 2025, an additional $432.4 million remained available for the repurchase of shares.</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Pr>
          <w:p>
            <w:pPr>
              <w:spacing w:after="0"/>
              <w:rPr>
                <w:sz w:val="18"/>
                <w:szCs w:val="18"/>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18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(12,433)</w:t>
            </w:r>
          </w:p>
        </w:tc>
        <w:tc>
          <w:tcPr>
            <w:tcW w:w="1940" w:type="dxa"/>
            <w:vAlign w:val="bottom"/>
            <w:tcBorders>
              <w:bottom w:val="single" w:sz="8" w:color="CCEEFF"/>
            </w:tcBorders>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(11.1)</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liabilities as of June 30, 2025 were $236.2 million, a decrease of $5.3 million compared to December 31, 2024. During the six months ended June 30, 2025, the environmental liability balance decreased due to reductions in environmental liability estimates of $8.0 million and expenditures of $7.1 million. The reduction in environmental liability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was primarily driven by a decrease of approximately $10 million in the remedial liability for a site based on our conclusion that loss was no longer probable based on recent evaluation of available evidence. This change was recorded in the first quarter of 2025.These decreases were partially offset by accretion of $7.2 million and new environmental liabilities, including those recognized as a result of recent acquisitions, of $2.1 million.</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June 30, 2025, there were $147.9 million outstanding letters of credit. See Note 11, “Financing Arrangements,” to the accompanying unaudited consolidated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first six months of 2025, there were no material changes to the information provided under the heading “Critical Accounting Estimates” included in our Annual Report on Form 10-K for the year ended December 31, 2024. For more information regarding our accounting policies, please refer to Note 2, “Significant Accounting Policies” to the accompanying unaudited consolidated financial statements.</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the first six months of 2025, there were no material changes to the information provided under Item 7A. “Quantitative and Qualitative Disclosures about Market Risk” in the Company’s Annual Report on Form 10-K for the year ended December 31, 2024.</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June 30, 2025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quarter 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15, “Commitments and Contingencies,” to the unaudited consolidated financial statements included in Item 1 of this report, which description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from the information provided in Item 1A. in the Company's Annual Report on Form 10-K for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08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15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Purchased </w:t>
            </w:r>
            <w:r>
              <w:rPr>
                <w:rFonts w:ascii="Times New Roman" w:cs="Times New Roman" w:eastAsia="Times New Roman" w:hAnsi="Times New Roman"/>
                <w:sz w:val="21"/>
                <w:szCs w:val="21"/>
                <w:color w:val="auto"/>
                <w:w w:val="95"/>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through April 30,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432,383</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 through May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432,383</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through June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432,383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69,811</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660" w:right="720" w:hanging="328"/>
        <w:spacing w:after="0" w:line="255" w:lineRule="auto"/>
        <w:tabs>
          <w:tab w:leader="none" w:pos="7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8,154 shares withheld by us from employees to satisfy employee tax obligations upon vesting of restricted stock granted to our employees under the Company’s equity incentive plans.</w:t>
      </w:r>
    </w:p>
    <w:p>
      <w:pPr>
        <w:ind w:left="660" w:right="20" w:hanging="328"/>
        <w:spacing w:after="0" w:line="250" w:lineRule="auto"/>
        <w:tabs>
          <w:tab w:leader="none" w:pos="7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Company’s stock repurchase program includes the commissions paid to brokers.</w:t>
      </w:r>
    </w:p>
    <w:p>
      <w:pPr>
        <w:ind w:left="660" w:right="20" w:hanging="328"/>
        <w:spacing w:after="0" w:line="251" w:lineRule="auto"/>
        <w:tabs>
          <w:tab w:leader="none" w:pos="7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stock repurchases are made pursuant to the stock repurchase plan, which was most recently authorized by the board of directors on December 5, 2024, to repurchase up to $1.1 billion of the Company’s common stock. The stock repurchase plan will expire when all of the available allotted funds under the stock repurchase plan are depleted. As of June 30, 2025, the amount available for repurchase under the board-approved plan is $432.4 million.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As part of our share repurchase program, we maintain a repurchase plan in accordance with Rule 10b5-1 promulgated under the Exchange Act. During the three months ended June 30, 2025, 61,657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62" w:lineRule="exact"/>
        <w:rPr>
          <w:sz w:val="20"/>
          <w:szCs w:val="20"/>
          <w:color w:val="auto"/>
        </w:rPr>
      </w:pPr>
    </w:p>
    <w:p>
      <w:pPr>
        <w:ind w:right="380" w:firstLine="648"/>
        <w:spacing w:after="0" w:line="312" w:lineRule="auto"/>
        <w:rPr>
          <w:sz w:val="20"/>
          <w:szCs w:val="20"/>
          <w:color w:val="auto"/>
        </w:rPr>
      </w:pPr>
      <w:r>
        <w:rPr>
          <w:rFonts w:ascii="Times New Roman" w:cs="Times New Roman" w:eastAsia="Times New Roman" w:hAnsi="Times New Roman"/>
          <w:sz w:val="17"/>
          <w:szCs w:val="17"/>
          <w:color w:val="auto"/>
        </w:rPr>
        <w:t>During the quarter ended June 30, 2025, no director or “officer” (as defined in Rule 16a-1(f)) of Clean Harbors, Inc. adopted, modified or terminated a “Rule 10b5-1 trading arrangement” or “non-Rule 10b5-1 trading arrangement,” as each term is defined in Item 408(a) of Regulation S-K.</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Item No.</w:t>
            </w: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183"/>
        </w:trPr>
        <w:tc>
          <w:tcPr>
            <w:tcW w:w="10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31.1+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Rule 13a-14a/15d-14(a) Certification of the Co-CEO Michael L. Battles</w:t>
            </w:r>
          </w:p>
        </w:tc>
        <w:tc>
          <w:tcPr>
            <w:tcW w:w="4800" w:type="dxa"/>
            <w:vAlign w:val="bottom"/>
            <w:gridSpan w:val="2"/>
          </w:tcPr>
          <w:p>
            <w:pPr>
              <w:spacing w:after="0"/>
              <w:rPr>
                <w:sz w:val="15"/>
                <w:szCs w:val="15"/>
                <w:color w:val="auto"/>
              </w:rPr>
            </w:pPr>
          </w:p>
        </w:tc>
      </w:tr>
      <w:tr>
        <w:trPr>
          <w:trHeight w:val="26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Co-CEO Eric W. Gerstenberg</w:t>
            </w:r>
          </w:p>
        </w:tc>
      </w:tr>
      <w:tr>
        <w:trPr>
          <w:trHeight w:val="26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Rule 13a-14a/15d-14(a) Certification of the CFO Eric J. Dugas</w:t>
            </w:r>
          </w:p>
        </w:tc>
        <w:tc>
          <w:tcPr>
            <w:tcW w:w="4680" w:type="dxa"/>
            <w:vAlign w:val="bottom"/>
          </w:tcPr>
          <w:p>
            <w:pPr>
              <w:spacing w:after="0"/>
              <w:rPr>
                <w:sz w:val="22"/>
                <w:szCs w:val="22"/>
                <w:color w:val="auto"/>
              </w:rPr>
            </w:pPr>
          </w:p>
        </w:tc>
      </w:tr>
      <w:tr>
        <w:trPr>
          <w:trHeight w:val="264"/>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2"/>
                <w:szCs w:val="22"/>
                <w:color w:val="auto"/>
              </w:rPr>
            </w:pPr>
          </w:p>
        </w:tc>
        <w:tc>
          <w:tcPr>
            <w:tcW w:w="4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5460" w:type="dxa"/>
            <w:vAlign w:val="bottom"/>
            <w:gridSpan w:val="3"/>
          </w:tcPr>
          <w:p>
            <w:pPr>
              <w:spacing w:after="0"/>
              <w:rPr>
                <w:sz w:val="22"/>
                <w:szCs w:val="22"/>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r>
      <w:tr>
        <w:trPr>
          <w:trHeight w:val="304"/>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0" w:lineRule="exact"/>
        <w:rPr>
          <w:sz w:val="20"/>
          <w:szCs w:val="20"/>
          <w:color w:val="auto"/>
        </w:rPr>
      </w:pPr>
    </w:p>
    <w:p>
      <w:pPr>
        <w:ind w:left="280" w:hanging="272"/>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2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8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77" w:lineRule="exact"/>
        <w:rPr>
          <w:sz w:val="20"/>
          <w:szCs w:val="20"/>
          <w:color w:val="auto"/>
        </w:rPr>
      </w:pPr>
    </w:p>
    <w:p>
      <w:pPr>
        <w:ind w:left="5500"/>
        <w:spacing w:after="0"/>
        <w:tabs>
          <w:tab w:leader="none" w:pos="7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30, 2025</w:t>
      </w:r>
    </w:p>
    <w:p>
      <w:pPr>
        <w:spacing w:after="0" w:line="77" w:lineRule="exact"/>
        <w:rPr>
          <w:sz w:val="20"/>
          <w:szCs w:val="20"/>
          <w:color w:val="auto"/>
        </w:rPr>
      </w:pPr>
    </w:p>
    <w:p>
      <w:pPr>
        <w:ind w:left="5500"/>
        <w:spacing w:after="0"/>
        <w:tabs>
          <w:tab w:leader="none" w:pos="7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30, 2025</w:t>
      </w:r>
    </w:p>
    <w:p>
      <w:pPr>
        <w:spacing w:after="0" w:line="77" w:lineRule="exact"/>
        <w:rPr>
          <w:sz w:val="20"/>
          <w:szCs w:val="20"/>
          <w:color w:val="auto"/>
        </w:rPr>
      </w:pPr>
    </w:p>
    <w:p>
      <w:pPr>
        <w:ind w:left="550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July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40"/>
          </w:cols>
          <w:pgMar w:left="320" w:top="121" w:right="10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Eric W. Gerstenberg</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Co-Chief Executive Officer and Co-President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Eric J. Dugas</w:t>
      </w:r>
    </w:p>
    <w:p>
      <w:pPr>
        <w:spacing w:after="0" w:line="3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June 30, 2025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1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L. BATTLES</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Michael L. Battles</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459"/>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W. GERSTENBERG</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W. Gerstenberg</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and Co-President</w:t>
            </w:r>
          </w:p>
        </w:tc>
      </w:tr>
      <w:tr>
        <w:trPr>
          <w:trHeight w:val="486"/>
        </w:trPr>
        <w:tc>
          <w:tcPr>
            <w:tcW w:w="5340" w:type="dxa"/>
            <w:vAlign w:val="bottom"/>
          </w:tcPr>
          <w:p>
            <w:pPr>
              <w:ind w:left="5060"/>
              <w:spacing w:after="0"/>
              <w:rPr>
                <w:sz w:val="20"/>
                <w:szCs w:val="20"/>
                <w:color w:val="auto"/>
              </w:rPr>
            </w:pPr>
            <w:r>
              <w:rPr>
                <w:rFonts w:ascii="Times New Roman" w:cs="Times New Roman" w:eastAsia="Times New Roman" w:hAnsi="Times New Roman"/>
                <w:sz w:val="18"/>
                <w:szCs w:val="18"/>
                <w:color w:val="auto"/>
                <w:w w:val="99"/>
              </w:rPr>
              <w:t>By:</w:t>
            </w: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ERIC J. DUGAS</w:t>
            </w:r>
          </w:p>
        </w:tc>
      </w:tr>
      <w:tr>
        <w:trPr>
          <w:trHeight w:val="214"/>
        </w:trPr>
        <w:tc>
          <w:tcPr>
            <w:tcW w:w="534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Eric J. Dugas</w:t>
            </w: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2025</w:t>
            </w:r>
          </w:p>
        </w:tc>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5"/>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2025-07-30T10:15:32Z</dcterms:created>
  <dcterms:modified xsi:type="dcterms:W3CDTF">2025-07-30T10:15:32Z</dcterms:modified>
</cp:coreProperties>
</file>