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pacing w:after="0" w:line="87"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ectPr>
          <w:pgSz w:w="11900" w:h="16838" w:orient="portrait"/>
          <w:cols w:equalWidth="0" w:num="1">
            <w:col w:w="11200"/>
          </w:cols>
          <w:pgMar w:left="320" w:top="229" w:right="379" w:bottom="1440" w:gutter="0" w:footer="0" w:header="0"/>
        </w:sectPr>
      </w:pPr>
    </w:p>
    <w:p>
      <w:pPr>
        <w:spacing w:after="0" w:line="33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29" w:right="379" w:bottom="1440" w:gutter="0" w:footer="0" w:header="0"/>
          <w:type w:val="continuous"/>
        </w:sectPr>
      </w:pP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00"/>
          </w:cols>
          <w:pgMar w:left="320" w:top="229" w:right="379" w:bottom="1440" w:gutter="0" w:footer="0" w:header="0"/>
          <w:type w:val="continuous"/>
        </w:sectPr>
      </w:pPr>
    </w:p>
    <w:p>
      <w:pPr>
        <w:spacing w:after="0" w:line="1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3220" w:type="dxa"/>
            <w:vAlign w:val="bottom"/>
            <w:gridSpan w:val="2"/>
            <w:vMerge w:val="continue"/>
          </w:tcPr>
          <w:p>
            <w:pPr>
              <w:spacing w:after="0"/>
              <w:rPr>
                <w:sz w:val="20"/>
                <w:szCs w:val="20"/>
                <w:color w:val="auto"/>
              </w:rPr>
            </w:pPr>
          </w:p>
        </w:tc>
        <w:tc>
          <w:tcPr>
            <w:tcW w:w="3240" w:type="dxa"/>
            <w:vAlign w:val="bottom"/>
            <w:gridSpan w:val="2"/>
            <w:vMerge w:val="continue"/>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80" w:firstLine="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1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540" w:space="100"/>
            <w:col w:w="3300" w:space="720"/>
            <w:col w:w="3540"/>
          </w:cols>
          <w:pgMar w:left="320" w:top="229" w:right="379" w:bottom="1440" w:gutter="0" w:footer="0" w:header="0"/>
          <w:type w:val="continuous"/>
        </w:sectPr>
      </w:pPr>
    </w:p>
    <w:p>
      <w:pPr>
        <w:spacing w:after="0" w:line="3" w:lineRule="exact"/>
        <w:rPr>
          <w:sz w:val="24"/>
          <w:szCs w:val="24"/>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April 29, 2022 was 54,429,614.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630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630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 Unaudited Financial Statements</w:t>
            </w:r>
          </w:p>
        </w:tc>
        <w:tc>
          <w:tcPr>
            <w:tcW w:w="3080" w:type="dxa"/>
            <w:vAlign w:val="bottom"/>
            <w:tcBorders>
              <w:top w:val="single" w:sz="8" w:color="0000FF"/>
            </w:tcBorders>
            <w:gridSpan w:val="8"/>
          </w:tcPr>
          <w:p>
            <w:pPr>
              <w:spacing w:after="0"/>
              <w:rPr>
                <w:sz w:val="22"/>
                <w:szCs w:val="22"/>
                <w:color w:val="auto"/>
              </w:rPr>
            </w:pPr>
          </w:p>
        </w:tc>
        <w:tc>
          <w:tcPr>
            <w:tcW w:w="3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1020" w:type="dxa"/>
            <w:vAlign w:val="bottom"/>
            <w:tcBorders>
              <w:top w:val="single" w:sz="8" w:color="0000FF"/>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2"/>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8"/>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452,575</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81,724</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aggregating $45,373 and $40,140, respectively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792,734</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250,692</w:t>
            </w:r>
          </w:p>
        </w:tc>
      </w:tr>
      <w:tr>
        <w:trPr>
          <w:trHeight w:val="229"/>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68,483</w:t>
            </w:r>
          </w:p>
        </w:tc>
      </w:tr>
      <w:tr>
        <w:trPr>
          <w:trHeight w:val="223"/>
        </w:trPr>
        <w:tc>
          <w:tcPr>
            <w:tcW w:w="8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1,741,171</w:t>
            </w:r>
          </w:p>
        </w:tc>
      </w:tr>
      <w:tr>
        <w:trPr>
          <w:trHeight w:val="223"/>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r>
      <w:tr>
        <w:trPr>
          <w:trHeight w:val="21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161,797</w:t>
            </w: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1,227,042</w:t>
            </w:r>
          </w:p>
        </w:tc>
      </w:tr>
      <w:tr>
        <w:trPr>
          <w:trHeight w:val="229"/>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644,912</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r>
      <w:tr>
        <w:trPr>
          <w:trHeight w:val="223"/>
        </w:trPr>
        <w:tc>
          <w:tcPr>
            <w:tcW w:w="81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2,037,467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2,049,353</w:t>
            </w:r>
          </w:p>
        </w:tc>
      </w:tr>
      <w:tr>
        <w:trPr>
          <w:trHeight w:val="248"/>
        </w:trPr>
        <w:tc>
          <w:tcPr>
            <w:tcW w:w="8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5,653,699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359,866</w:t>
            </w: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83,749</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391,414</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r>
      <w:tr>
        <w:trPr>
          <w:trHeight w:val="23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r>
      <w:tr>
        <w:trPr>
          <w:trHeight w:val="223"/>
        </w:trPr>
        <w:tc>
          <w:tcPr>
            <w:tcW w:w="8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925,314</w:t>
            </w:r>
          </w:p>
        </w:tc>
      </w:tr>
      <w:tr>
        <w:trPr>
          <w:trHeight w:val="21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$7,808 and $12,015, respectively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87,088</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Remedial liabilities, less current portion of $18,585 and $13,121, respectively</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98,752</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2,517,024</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117,991</w:t>
            </w: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314,853</w:t>
            </w:r>
          </w:p>
        </w:tc>
      </w:tr>
      <w:tr>
        <w:trPr>
          <w:trHeight w:val="23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78,790</w:t>
            </w:r>
          </w:p>
        </w:tc>
      </w:tr>
      <w:tr>
        <w:trPr>
          <w:trHeight w:val="223"/>
        </w:trPr>
        <w:tc>
          <w:tcPr>
            <w:tcW w:w="8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3,214,498</w:t>
            </w:r>
          </w:p>
        </w:tc>
      </w:tr>
      <w:tr>
        <w:trPr>
          <w:trHeight w:val="21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16)</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80,000,000 shares; issued and outstanding 54,414,189 and 54,419,321 shares, respectively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536,377</w:t>
            </w:r>
          </w:p>
        </w:tc>
      </w:tr>
      <w:tr>
        <w:trPr>
          <w:trHeight w:val="229"/>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r>
      <w:tr>
        <w:trPr>
          <w:trHeight w:val="230"/>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earnings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1,218,292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1,172,978</w:t>
            </w:r>
          </w:p>
        </w:tc>
      </w:tr>
      <w:tr>
        <w:trPr>
          <w:trHeight w:val="223"/>
        </w:trPr>
        <w:tc>
          <w:tcPr>
            <w:tcW w:w="8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r>
      <w:tr>
        <w:trPr>
          <w:trHeight w:val="223"/>
        </w:trPr>
        <w:tc>
          <w:tcPr>
            <w:tcW w:w="8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5,726,257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5,653,699</w:t>
            </w:r>
          </w:p>
        </w:tc>
      </w:tr>
      <w:tr>
        <w:trPr>
          <w:trHeight w:val="20"/>
        </w:trPr>
        <w:tc>
          <w:tcPr>
            <w:tcW w:w="8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942,061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662,708</w:t>
            </w: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145,440</w:t>
            </w:r>
          </w:p>
        </w:tc>
        <w:tc>
          <w:tcPr>
            <w:tcW w:w="0" w:type="dxa"/>
            <w:vAlign w:val="bottom"/>
          </w:tcPr>
          <w:p>
            <w:pPr>
              <w:spacing w:after="0"/>
              <w:rPr>
                <w:sz w:val="1"/>
                <w:szCs w:val="1"/>
                <w:color w:val="auto"/>
              </w:rPr>
            </w:pPr>
          </w:p>
        </w:tc>
      </w:tr>
      <w:tr>
        <w:trPr>
          <w:trHeight w:val="223"/>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1,169,109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808,148</w:t>
            </w: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450,338</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110,198</w:t>
            </w:r>
          </w:p>
        </w:tc>
        <w:tc>
          <w:tcPr>
            <w:tcW w:w="0" w:type="dxa"/>
            <w:vAlign w:val="bottom"/>
          </w:tcPr>
          <w:p>
            <w:pPr>
              <w:spacing w:after="0"/>
              <w:rPr>
                <w:sz w:val="1"/>
                <w:szCs w:val="1"/>
                <w:color w:val="auto"/>
              </w:rPr>
            </w:pPr>
          </w:p>
        </w:tc>
      </w:tr>
      <w:tr>
        <w:trPr>
          <w:trHeight w:val="223"/>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560,536</w:t>
            </w:r>
          </w:p>
        </w:tc>
        <w:tc>
          <w:tcPr>
            <w:tcW w:w="0" w:type="dxa"/>
            <w:vAlign w:val="bottom"/>
          </w:tcPr>
          <w:p>
            <w:pPr>
              <w:spacing w:after="0"/>
              <w:rPr>
                <w:sz w:val="1"/>
                <w:szCs w:val="1"/>
                <w:color w:val="auto"/>
              </w:rPr>
            </w:pPr>
          </w:p>
        </w:tc>
      </w:tr>
      <w:tr>
        <w:trPr>
          <w:trHeight w:val="223"/>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121,641</w:t>
            </w:r>
          </w:p>
        </w:tc>
        <w:tc>
          <w:tcPr>
            <w:tcW w:w="0" w:type="dxa"/>
            <w:vAlign w:val="bottom"/>
          </w:tcPr>
          <w:p>
            <w:pPr>
              <w:spacing w:after="0"/>
              <w:rPr>
                <w:sz w:val="1"/>
                <w:szCs w:val="1"/>
                <w:color w:val="auto"/>
              </w:rPr>
            </w:pPr>
          </w:p>
        </w:tc>
      </w:tr>
      <w:tr>
        <w:trPr>
          <w:trHeight w:val="229"/>
        </w:trPr>
        <w:tc>
          <w:tcPr>
            <w:tcW w:w="8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72,163</w:t>
            </w:r>
          </w:p>
        </w:tc>
        <w:tc>
          <w:tcPr>
            <w:tcW w:w="0" w:type="dxa"/>
            <w:vAlign w:val="bottom"/>
          </w:tcPr>
          <w:p>
            <w:pPr>
              <w:spacing w:after="0"/>
              <w:rPr>
                <w:sz w:val="1"/>
                <w:szCs w:val="1"/>
                <w:color w:val="auto"/>
              </w:rPr>
            </w:pPr>
          </w:p>
        </w:tc>
      </w:tr>
      <w:tr>
        <w:trPr>
          <w:trHeight w:val="223"/>
        </w:trPr>
        <w:tc>
          <w:tcPr>
            <w:tcW w:w="8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50,855</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30"/>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$493 and $479, respectively</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0" w:type="dxa"/>
            <w:vAlign w:val="bottom"/>
          </w:tcPr>
          <w:p>
            <w:pPr>
              <w:spacing w:after="0"/>
              <w:rPr>
                <w:sz w:val="1"/>
                <w:szCs w:val="1"/>
                <w:color w:val="auto"/>
              </w:rPr>
            </w:pPr>
          </w:p>
        </w:tc>
      </w:tr>
      <w:tr>
        <w:trPr>
          <w:trHeight w:val="223"/>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0" w:type="dxa"/>
            <w:vAlign w:val="bottom"/>
          </w:tcPr>
          <w:p>
            <w:pPr>
              <w:spacing w:after="0"/>
              <w:rPr>
                <w:sz w:val="1"/>
                <w:szCs w:val="1"/>
                <w:color w:val="auto"/>
              </w:rPr>
            </w:pPr>
          </w:p>
        </w:tc>
      </w:tr>
      <w:tr>
        <w:trPr>
          <w:trHeight w:val="230"/>
        </w:trPr>
        <w:tc>
          <w:tcPr>
            <w:tcW w:w="8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0" w:type="dxa"/>
            <w:vAlign w:val="bottom"/>
          </w:tcPr>
          <w:p>
            <w:pPr>
              <w:spacing w:after="0"/>
              <w:rPr>
                <w:sz w:val="1"/>
                <w:szCs w:val="1"/>
                <w:color w:val="auto"/>
              </w:rPr>
            </w:pPr>
          </w:p>
        </w:tc>
      </w:tr>
      <w:tr>
        <w:trPr>
          <w:trHeight w:val="248"/>
        </w:trPr>
        <w:tc>
          <w:tcPr>
            <w:tcW w:w="8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54,723</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54,672</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55,043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r>
      <w:tr>
        <w:trPr>
          <w:trHeight w:val="2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interest rate hedge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losses on interest rate hedge included in net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29"/>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Unfunded pension liability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r>
      <w:tr>
        <w:trPr>
          <w:trHeight w:val="223"/>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flows (used in)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120" w:type="dxa"/>
            <w:vAlign w:val="bottom"/>
          </w:tcPr>
          <w:p>
            <w:pPr>
              <w:spacing w:after="0"/>
              <w:rPr>
                <w:sz w:val="18"/>
                <w:szCs w:val="18"/>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213"/>
        </w:trPr>
        <w:tc>
          <w:tcPr>
            <w:tcW w:w="8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22,179</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from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103,000</w:t>
            </w:r>
          </w:p>
        </w:tc>
        <w:tc>
          <w:tcPr>
            <w:tcW w:w="0" w:type="dxa"/>
            <w:vAlign w:val="bottom"/>
          </w:tcPr>
          <w:p>
            <w:pPr>
              <w:spacing w:after="0"/>
              <w:rPr>
                <w:sz w:val="1"/>
                <w:szCs w:val="1"/>
                <w:color w:val="auto"/>
              </w:rPr>
            </w:pPr>
          </w:p>
        </w:tc>
      </w:tr>
      <w:tr>
        <w:trPr>
          <w:trHeight w:val="19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(41,913)</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(22,918)</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20,375</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(42,980)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(86,737)</w:t>
            </w:r>
          </w:p>
        </w:tc>
        <w:tc>
          <w:tcPr>
            <w:tcW w:w="0" w:type="dxa"/>
            <w:vAlign w:val="bottom"/>
          </w:tcPr>
          <w:p>
            <w:pPr>
              <w:spacing w:after="0"/>
              <w:rPr>
                <w:sz w:val="1"/>
                <w:szCs w:val="1"/>
                <w:color w:val="auto"/>
              </w:rPr>
            </w:pPr>
          </w:p>
        </w:tc>
      </w:tr>
      <w:tr>
        <w:trPr>
          <w:trHeight w:val="19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(26,546)</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(40,620)</w:t>
            </w:r>
          </w:p>
        </w:tc>
        <w:tc>
          <w:tcPr>
            <w:tcW w:w="0" w:type="dxa"/>
            <w:vAlign w:val="bottom"/>
          </w:tcPr>
          <w:p>
            <w:pPr>
              <w:spacing w:after="0"/>
              <w:rPr>
                <w:sz w:val="1"/>
                <w:szCs w:val="1"/>
                <w:color w:val="auto"/>
              </w:rPr>
            </w:pPr>
          </w:p>
        </w:tc>
      </w:tr>
      <w:tr>
        <w:trPr>
          <w:trHeight w:val="207"/>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(22,718)</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452,575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519,101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339,584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33,697</w:t>
            </w:r>
          </w:p>
        </w:tc>
        <w:tc>
          <w:tcPr>
            <w:tcW w:w="120" w:type="dxa"/>
            <w:vAlign w:val="bottom"/>
          </w:tcPr>
          <w:p>
            <w:pPr>
              <w:spacing w:after="0"/>
              <w:rPr>
                <w:sz w:val="18"/>
                <w:szCs w:val="18"/>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27,507</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0" w:type="dxa"/>
            <w:vAlign w:val="bottom"/>
          </w:tcPr>
          <w:p>
            <w:pPr>
              <w:spacing w:after="0"/>
              <w:rPr>
                <w:sz w:val="1"/>
                <w:szCs w:val="1"/>
                <w:color w:val="auto"/>
              </w:rPr>
            </w:pPr>
          </w:p>
        </w:tc>
      </w:tr>
      <w:tr>
        <w:trPr>
          <w:trHeight w:val="213"/>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0" w:type="dxa"/>
            <w:vAlign w:val="bottom"/>
          </w:tcPr>
          <w:p>
            <w:pPr>
              <w:spacing w:after="0"/>
              <w:rPr>
                <w:sz w:val="1"/>
                <w:szCs w:val="1"/>
                <w:color w:val="auto"/>
              </w:rPr>
            </w:pPr>
          </w:p>
        </w:tc>
      </w:tr>
      <w:tr>
        <w:trPr>
          <w:trHeight w:val="213"/>
        </w:trPr>
        <w:tc>
          <w:tcPr>
            <w:tcW w:w="8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Remedial liability assumed in acquisition of property, plant and equipment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0" w:type="dxa"/>
            <w:vAlign w:val="bottom"/>
          </w:tcPr>
          <w:p>
            <w:pPr>
              <w:spacing w:after="0"/>
              <w:rPr>
                <w:sz w:val="1"/>
                <w:szCs w:val="1"/>
                <w:color w:val="auto"/>
              </w:rPr>
            </w:pPr>
          </w:p>
        </w:tc>
      </w:tr>
      <w:tr>
        <w:trPr>
          <w:trHeight w:val="210"/>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9,205</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2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20" w:type="dxa"/>
            <w:vAlign w:val="bottom"/>
            <w:vMerge w:val="restart"/>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5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82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580" w:type="dxa"/>
            <w:vAlign w:val="bottom"/>
          </w:tcPr>
          <w:p>
            <w:pPr>
              <w:spacing w:after="0"/>
              <w:rPr>
                <w:sz w:val="17"/>
                <w:szCs w:val="17"/>
                <w:color w:val="auto"/>
              </w:rPr>
            </w:pPr>
          </w:p>
        </w:tc>
        <w:tc>
          <w:tcPr>
            <w:tcW w:w="8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1,513,887</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1,593,237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0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vMerge w:val="restart"/>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5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tcPr>
          <w:p>
            <w:pPr>
              <w:jc w:val="center"/>
              <w:ind w:left="281"/>
              <w:spacing w:after="0" w:line="146"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1,341,551</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184"/>
        </w:trPr>
        <w:tc>
          <w:tcPr>
            <w:tcW w:w="358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1,348,450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4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2021. There have been no material changes in these policies or their application.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Company’s third-party revenues are disaggregated by geographic location and source of revenue as management believes these categories depict how revenue and cash flows are affected by economic factors. The Company's significant sources of revenue include:</w:t>
      </w:r>
    </w:p>
    <w:p>
      <w:pPr>
        <w:spacing w:after="0" w:line="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28"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contribute to the revenues of the Environmental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large remediation projects, demolition, spill cleanup on land and water, railcar cleaning, hydro excavation, manhole/vault clean outs, product recovery and transfer and vacuum services. Additional services include filtration and water treatment services. Response services for environmental emergencies of any scale range from man-made disasters such as oil spills to natural disasters such as hurricanes. Emergency response services also include contagion disinfection, decontamination and disposal services most recently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9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Industrial Services and Other</w:t>
      </w:r>
      <w:r>
        <w:rPr>
          <w:rFonts w:ascii="Times New Roman" w:cs="Times New Roman" w:eastAsia="Times New Roman" w:hAnsi="Times New Roman"/>
          <w:sz w:val="18"/>
          <w:szCs w:val="18"/>
          <w:color w:val="auto"/>
        </w:rPr>
        <w:t>—Industrial Services contribute to the revenues of the Environmental Services operating segment. These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primarily generated from industrial and specialty services provided to refineries, mines, upgraders, chemical plants, pulp and paper mills, manufacturing facilities, power generation facilities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Safety-Kleen Sustainability Solutions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11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Safety-Kleen Sustainability Solutions segment. These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834,678</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940,798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228,239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1,169,109</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Field and Emergency Response Services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Industrial Services and Other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940,798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228,239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1,169,109</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58" w:lineRule="exact"/>
        <w:rPr>
          <w:sz w:val="20"/>
          <w:szCs w:val="20"/>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$28.0 million of third-party revenues from the operations of the HydroChemPSC business</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$156.1 million of third-party revenues from the operations of the HydroChemPSC business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80" w:type="dxa"/>
            <w:vAlign w:val="bottom"/>
          </w:tcPr>
          <w:p>
            <w:pPr>
              <w:spacing w:after="0"/>
              <w:rPr>
                <w:sz w:val="14"/>
                <w:szCs w:val="14"/>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575,508</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652,878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155,191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652,878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155,191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808,148</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792,734</w:t>
            </w:r>
          </w:p>
        </w:tc>
      </w:tr>
      <w:tr>
        <w:trPr>
          <w:trHeight w:val="229"/>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r>
      <w:tr>
        <w:trPr>
          <w:trHeight w:val="230"/>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83,749</w:t>
            </w:r>
          </w:p>
        </w:tc>
      </w:tr>
    </w:tbl>
    <w:p>
      <w:pPr>
        <w:spacing w:after="0" w:line="21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48"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On October 8, 2021, the Company completed the acquisition of LJ Energy Services Intermediate Holding Corp. and its subsidiaries (collectively, “HydroChemPSC”), a privately-owned company, for an all-cash purchase price of approximately $1.23 billion. HydroChemPSC is a leading U.S. provider of industrial cleaning, specialty maintenance and utilities services. These operations enhance and have been integrated into the Company's Environmental Services segment. During the three months ended March 31, 2022, the Company received $5.0 million after finalizing the acquisition date working capital balances, which decreased the overall purchase price.</w:t>
      </w:r>
    </w:p>
    <w:p>
      <w:pPr>
        <w:spacing w:after="0" w:line="11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was based on estimates of the fair value of assets acquired and liabilities assumed as of October 8, 2021. The Company continues to obtain information to complete the valuation of these balances and the associated income tax accounting. Measurement period adjustments reflect new information obtained about facts and circumstances that existed as of the acquisition date, including the adjustment for the monies received for the working capital finalization noted above. The components and allocation of the purchase price consist of the following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Acquisition Date As</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At Acquisition Date</w:t>
            </w:r>
          </w:p>
        </w:tc>
      </w:tr>
      <w:tr>
        <w:trPr>
          <w:trHeight w:val="162"/>
        </w:trPr>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 December 31,</w:t>
            </w:r>
          </w:p>
        </w:tc>
        <w:tc>
          <w:tcPr>
            <w:tcW w:w="16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20" w:type="dxa"/>
            <w:vAlign w:val="bottom"/>
          </w:tcPr>
          <w:p>
            <w:pPr>
              <w:spacing w:after="0"/>
              <w:rPr>
                <w:sz w:val="14"/>
                <w:szCs w:val="14"/>
                <w:color w:val="auto"/>
              </w:rPr>
            </w:pPr>
          </w:p>
        </w:tc>
        <w:tc>
          <w:tcPr>
            <w:tcW w:w="1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 Reported March 31,</w:t>
            </w:r>
          </w:p>
        </w:tc>
      </w:tr>
      <w:tr>
        <w:trPr>
          <w:trHeight w:val="204"/>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7"/>
                <w:szCs w:val="17"/>
                <w:color w:val="auto"/>
              </w:rPr>
            </w:pPr>
          </w:p>
        </w:tc>
        <w:tc>
          <w:tcPr>
            <w:tcW w:w="1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131,605</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313,540</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289,000</w:t>
            </w:r>
          </w:p>
        </w:tc>
      </w:tr>
      <w:tr>
        <w:trPr>
          <w:trHeight w:val="25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34,415</w:t>
            </w:r>
          </w:p>
        </w:tc>
      </w:tr>
      <w:tr>
        <w:trPr>
          <w:trHeight w:val="25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(116,522)</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r>
      <w:tr>
        <w:trPr>
          <w:trHeight w:val="25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(26,344)</w:t>
            </w:r>
          </w:p>
        </w:tc>
      </w:tr>
      <w:tr>
        <w:trPr>
          <w:trHeight w:val="25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(83,472)</w:t>
            </w:r>
          </w:p>
        </w:tc>
      </w:tr>
      <w:tr>
        <w:trPr>
          <w:trHeight w:val="25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3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548,507</w:t>
            </w:r>
          </w:p>
        </w:tc>
      </w:tr>
      <w:tr>
        <w:trPr>
          <w:trHeight w:val="257"/>
        </w:trPr>
        <w:tc>
          <w:tcPr>
            <w:tcW w:w="592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3"/>
                <w:szCs w:val="23"/>
                <w:color w:val="auto"/>
                <w:vertAlign w:val="superscript"/>
              </w:rPr>
              <w:t>(i)</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683,463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676,906</w:t>
            </w:r>
          </w:p>
        </w:tc>
      </w:tr>
      <w:tr>
        <w:trPr>
          <w:trHeight w:val="27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1,225,413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58" w:lineRule="exact"/>
        <w:rPr>
          <w:sz w:val="20"/>
          <w:szCs w:val="20"/>
          <w:color w:val="auto"/>
        </w:rPr>
      </w:pPr>
    </w:p>
    <w:p>
      <w:pPr>
        <w:ind w:right="60" w:firstLine="656"/>
        <w:spacing w:after="0" w:line="266" w:lineRule="auto"/>
        <w:tabs>
          <w:tab w:leader="none" w:pos="8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fair value of the net assets acquired over the purchase price. Goodwill of $676.9 million was assigned to the Environmental Sales &amp; Service reporting unit and is attributable to the future economic benefits arising from the acquired operations, synergies and the acquired workforce of HydroChemPSC. None of the goodwill related to this acquisition will be deductible for tax purposes.</w:t>
      </w:r>
    </w:p>
    <w:p>
      <w:pPr>
        <w:spacing w:after="0" w:line="10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HydroChemPSC's results of operations have been included in the Company's financial statements for the period subsequent to the completion of the acquisition on October 8, 2021. The following unaudited supplemental pro-forma data presents consolidated information as if the acquisition had occurred on January 1, 2021 (in thousands):</w:t>
      </w:r>
    </w:p>
    <w:p>
      <w:pPr>
        <w:spacing w:after="0" w:line="142"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March 31,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combined revenues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986,188</w:t>
            </w:r>
          </w:p>
        </w:tc>
      </w:tr>
      <w:tr>
        <w:trPr>
          <w:trHeight w:val="234"/>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combined net income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27,552</w:t>
            </w:r>
          </w:p>
        </w:tc>
      </w:tr>
    </w:tbl>
    <w:p>
      <w:pPr>
        <w:spacing w:after="0" w:line="24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 forma results do not include any costs incurred directly attributable to the acquisition of HydroChemPSC. The pro forma results do reflect impacts resulting from the issuance of $1.0 billion senior secured term loans issued in connection with the acquisition assuming interest rates in effect at the time of the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not necessarily indicative of the Company's consolidated operating results that would have been reported had the transactions been completed as described herein, nor is such information necessarily indicative of the Company's consolidated results for any future period. Interest expense used in calculating the pro forma net income did not contemplate the interest rate swap that the Company put in place in early 2022.</w:t>
      </w:r>
    </w:p>
    <w:p>
      <w:pPr>
        <w:spacing w:after="0" w:line="112"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HydroChemPSC acquisition, on March 27, 2021, the Company acquired a privately-owned business for $22.8 million cash consideration. The acquired company increases the Safety-Kleen Sustainability Solutions segment's network within the south central United States. In connection with this acquisition, a final goodwill amount of $16.3 million was recognized.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personal protective equipment and other general supplies used in our normal day-to-day operations. Other inventories consist primarily of parts washer components, cleaning fluids, absorbents and automotive fluids, such as windshield washer fluid and antifreeze.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165,010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205,873</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551,795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 equipment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127,680</w:t>
            </w: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912,836</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2,116,923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2,092,395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60,447</w:t>
            </w:r>
          </w:p>
        </w:tc>
      </w:tr>
      <w:tr>
        <w:trPr>
          <w:trHeight w:val="223"/>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4,224,951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4,141,585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2,343,409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2,278,410</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1,881,542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1,863,175</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and $8.9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$82.4 million and $77.7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$9.3 million in both periods.</w:t>
      </w:r>
    </w:p>
    <w:p>
      <w:pPr>
        <w:spacing w:after="0" w:line="13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$72.1 million and $64.6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three months ended March 31, 2022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1,227,042</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1,079,648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1,221,399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March 31, 2022, no such triggering events were identified.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and December 31, 2021, the Company's intangible assets consisted of the following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3"/>
                <w:szCs w:val="13"/>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361,698</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74,912</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521,721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982,931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981,455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644,912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$12.2 million and $7.6 million in the three months ended March 31, 2022 and 2021, respectively.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March 31, 2022 was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(nine months)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44,826</w:t>
            </w:r>
          </w:p>
        </w:tc>
        <w:tc>
          <w:tcPr>
            <w:tcW w:w="0" w:type="dxa"/>
            <w:vAlign w:val="bottom"/>
          </w:tcPr>
          <w:p>
            <w:pPr>
              <w:spacing w:after="0"/>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38,132</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77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2022 through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100,699</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2022, there were no significant charges or benefits resulting from changes in estimates for closure and post-closure liabilities.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asset retirement obligations incurred during the first three months of 2022 were discounted at the credit-adjusted risk-free rate of 5.37%.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2022 through March 31, 2022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assumed in acquisition of real estate</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 from a prior period acquisition</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2022, there were no significant benefits or charges resulting from changes in estimates for remedial liabilities. The $13.1 million liability assumed in acquisition relates to real estate that the Company acquired in 2022. In purchasing the property, the Company assumed a known associated remedial liability, which was contemplated in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260" w:firstLine="8"/>
        <w:spacing w:after="0" w:line="417" w:lineRule="auto"/>
        <w:tabs>
          <w:tab w:leader="none" w:pos="33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20" w:type="dxa"/>
            <w:vAlign w:val="bottom"/>
          </w:tcPr>
          <w:p>
            <w:pPr>
              <w:spacing w:after="0"/>
              <w:rPr>
                <w:sz w:val="17"/>
                <w:szCs w:val="17"/>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7"/>
                <w:szCs w:val="17"/>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Debt:</w:t>
            </w:r>
          </w:p>
        </w:tc>
        <w:tc>
          <w:tcPr>
            <w:tcW w:w="640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June 30, 2024 ("2024 Term Loans")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712,091</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 ("2028 Term Loans")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2,542,707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2,547,091</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w:t>
            </w:r>
          </w:p>
        </w:tc>
      </w:tr>
      <w:tr>
        <w:trPr>
          <w:trHeight w:val="223"/>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2,517,024</w:t>
            </w:r>
          </w:p>
        </w:tc>
      </w:tr>
      <w:tr>
        <w:trPr>
          <w:trHeight w:val="21"/>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estimated fair value of the Company’s outstanding long-term debt, including the current portion, was $2.5 billion and $2.6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0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$400.0 million revolving credit facility under which the Company had no outstanding loan balances as of March 31, 2022 and December 31, 2021. As of March 31, 2022, the Company had $290.3 million available to borrow under the revolving credit facility and outstanding letters of credit were $109.7 million. Subject to certain conditions, this credit facility will expire in October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4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Although the interest rates on the Term Loans are variable, the Company has effectively fixed the interest rate on $350.0 million principal of the outstanding 2024 Term Loans by entering into interest rate swap agreements in 2018 with a notional amount of $350.0 million ("2018 Swaps"). Under the terms of the 2018 Swaps, the Company receives interest based on the one-month LIBOR index and pays interest at a weighted average rate of approximately 2.92%, resulting in a fixed effective annual interest rate of approximately 4.67%.</w:t>
      </w:r>
    </w:p>
    <w:p>
      <w:pPr>
        <w:spacing w:after="0" w:line="11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January 2022, the Company entered into interest rate swap agreements ("2022 Swaps") with a notional amount of $600.0 million to effectively fix the interest rate on $600.0 million principal of the outstanding 2028 Term Loans. Under the terms of the 2022 Swaps' agreements, the Company will receive interest based upon the variable rates on the 2028 Term Loans and pay a fixed amount of interest. The fixed rate on these instruments is 0.931% through June 30, 2023 and then increases to 1.9645% from July 1, 2023 through September 30, 2027. The variable rate on these instruments is designed to both mirror the current 2028 Term Loan interest payments and the successor rate upon the eventual sunsetting of the LIBOR rate. Under the terms of the 2022 Swaps, the Company currently receives interest based on one-month LIBOR index and pays interest at a weighted average rate of 0.931%, resulting in a fixed effective annual interest rate of approximately 2.931%.</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both the 2018 Swaps and the 2022 Swaps (collectively referred to as the “Swaps”) as cash flow hedges. The Company recognizes the fair value of the derivative instruments by counterparty as either a net asset, included in Other Assets, or net liability, included in Accrued expenses and other current liabilities, on the consolidated balance sheets. As of March 31, 2022, the Company recorded a related derivative asset with a fair value of $16.6 million and a related derivative liability with a fair value of $1.6 million. As of December 31, 2021, the derivative liability totaled $17.4 million.</w:t>
      </w:r>
    </w:p>
    <w:p>
      <w:pPr>
        <w:spacing w:after="0" w:line="1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Swaps are measured using discounted cash flow valuation methodologies based upon the yield curves of the relevant variable rate indexes that are observable at commonly quoted intervals for the term of the Swaps and as such is considered a Level 2 measure according to the fair value hierarchy.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 The Company’s effective tax rate for the three months ended March 31, 2022 was 27.8%, compared to 31.5%, respectively, for the comparable period in 2021.</w:t>
      </w:r>
    </w:p>
    <w:p>
      <w:pPr>
        <w:spacing w:after="0" w:line="106"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and December 31, 2021, the Company had recorded $3.7 million and $5.5 million, respectively, of gross liabilities for unrecognized tax benefits and $1.9 million and $2.3 million, respectively, of accrued interest.</w:t>
      </w: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40" w:type="dxa"/>
            <w:vAlign w:val="bottom"/>
          </w:tcPr>
          <w:p>
            <w:pPr>
              <w:spacing w:after="0"/>
              <w:rPr>
                <w:sz w:val="18"/>
                <w:szCs w:val="18"/>
                <w:color w:val="auto"/>
              </w:rPr>
            </w:pPr>
          </w:p>
        </w:tc>
        <w:tc>
          <w:tcPr>
            <w:tcW w:w="2520" w:type="dxa"/>
            <w:vAlign w:val="bottom"/>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Pr>
          <w:p>
            <w:pPr>
              <w:spacing w:after="0"/>
              <w:rPr>
                <w:sz w:val="18"/>
                <w:szCs w:val="18"/>
                <w:color w:val="auto"/>
              </w:rPr>
            </w:pPr>
          </w:p>
        </w:tc>
      </w:tr>
      <w:tr>
        <w:trPr>
          <w:trHeight w:val="219"/>
        </w:trPr>
        <w:tc>
          <w:tcPr>
            <w:tcW w:w="8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80" w:type="dxa"/>
            <w:vAlign w:val="bottom"/>
            <w:tcBorders>
              <w:bottom w:val="single" w:sz="8" w:color="auto"/>
            </w:tcBorders>
          </w:tcPr>
          <w:p>
            <w:pPr>
              <w:spacing w:after="0"/>
              <w:rPr>
                <w:sz w:val="19"/>
                <w:szCs w:val="19"/>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45,314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21,736</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54,408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54,723</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outstanding stock awards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54,672</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55,043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03"/>
        </w:trPr>
        <w:tc>
          <w:tcPr>
            <w:tcW w:w="81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920" w:type="dxa"/>
            <w:vAlign w:val="bottom"/>
            <w:tcBorders>
              <w:bottom w:val="single" w:sz="8" w:color="auto"/>
            </w:tcBorders>
          </w:tcPr>
          <w:p>
            <w:pPr>
              <w:jc w:val="right"/>
              <w:ind w:right="734"/>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3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0.40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9"/>
        </w:trPr>
        <w:tc>
          <w:tcPr>
            <w:tcW w:w="8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all then outstanding performance awards and restricted stock awards were included in the calculation of diluted earnings per share except for 153,985 and 34,219, respectively, of performance stock awards for which the performance criteria were not attained at the reporting dates and 19,500 and 6,000, respectively, of restricted stock awards which were excluded as their inclusion would have an antidilutive effect.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48"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three months ended March 31, 2022 were as follows (in thousands):</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Gain on</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Available-For-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40" w:type="dxa"/>
            <w:vAlign w:val="bottom"/>
          </w:tcPr>
          <w:p>
            <w:pPr>
              <w:spacing w:after="0"/>
              <w:rPr>
                <w:sz w:val="14"/>
                <w:szCs w:val="14"/>
                <w:color w:val="auto"/>
              </w:rPr>
            </w:pPr>
          </w:p>
        </w:tc>
        <w:tc>
          <w:tcPr>
            <w:tcW w:w="12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on Unfunded</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Sale Securities</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Hedge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Pension Liability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35,011</w:t>
            </w:r>
          </w:p>
        </w:tc>
        <w:tc>
          <w:tcPr>
            <w:tcW w:w="0" w:type="dxa"/>
            <w:vAlign w:val="bottom"/>
          </w:tcPr>
          <w:p>
            <w:pPr>
              <w:spacing w:after="0"/>
              <w:rPr>
                <w:sz w:val="1"/>
                <w:szCs w:val="1"/>
                <w:color w:val="auto"/>
              </w:rPr>
            </w:pPr>
          </w:p>
        </w:tc>
      </w:tr>
      <w:tr>
        <w:trPr>
          <w:trHeight w:val="184"/>
        </w:trPr>
        <w:tc>
          <w:tcPr>
            <w:tcW w:w="4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(provision)</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(162,163)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amount reclassified out of accumulated other comprehensive loss into the consolidated statement of operations, with presentation location, during the three months ended March 31, 2022 was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Other Comprehensive Income (Loss) Component</w:t>
            </w:r>
          </w:p>
        </w:tc>
        <w:tc>
          <w:tcPr>
            <w:tcW w:w="12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4620" w:type="dxa"/>
            <w:vAlign w:val="bottom"/>
            <w:vMerge w:val="restart"/>
          </w:tcPr>
          <w:p>
            <w:pPr>
              <w:ind w:left="20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4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Ended March 31, 2022</w:t>
            </w:r>
          </w:p>
        </w:tc>
        <w:tc>
          <w:tcPr>
            <w:tcW w:w="4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20" w:type="dxa"/>
            <w:vAlign w:val="bottom"/>
            <w:tcBorders>
              <w:top w:val="single" w:sz="8" w:color="CCEEFF"/>
            </w:tcBorders>
            <w:shd w:val="clear" w:color="auto" w:fill="CCEEFF"/>
          </w:tcPr>
          <w:p>
            <w:pPr>
              <w:spacing w:after="0"/>
              <w:rPr>
                <w:sz w:val="19"/>
                <w:szCs w:val="19"/>
                <w:color w:val="auto"/>
              </w:rPr>
            </w:pPr>
          </w:p>
        </w:tc>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cost charged to selling, general and administrative expenses for the three months ended March 31, 2022 and 2021 was $5.7 million and $3.5 million, respectively. The total income tax benefit recognized in the consolidated statements of operations from stock-based compensation expense for the three months ended March 31, 2022 and 2021 was $1.1 million and $0.7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three months ended March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there was $31.1 million of total unrecognized compensation cost arising from restricted stock awards. This cost is expected to be recognized over a weighted average period of 3.1 years. The total fair value of restricted stock vested during the three months ended March 31, 2022 and 2021 was $1.7 million and $4.0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4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Committee of the Company's Board of Directors prior to or at the date of grant. The vesting of the performance stock awards is based on achieving targets currently based on revenue, Adjusted EBITDA, Adjusted EBITDA Margin, Return on Invested Capital and Total Recordable Incident Rate. In addition, performance stock awards include continued service conditions.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three months ended March 31,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2022, there was $11.1 million of total unrecognized compensation cost arising from unvested performance stock awards deemed probable of vesting. The total fair value of performance awards vested during the three months ended March 31, 2022 and 2021 was $3.8 million and $6.4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14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March 31, 2022 and December 31, 2021, the Company had recorded reserves of $36.2 million and $36.1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March 31, 2022 and December 31, 2021, the $36.2 million and $36.1 million, respectively, of reserves consisted of (i) $24.0 million and $24.1 million, respectively, related to pending legal or administrative proceedings, including Superfund liabilities, which were included in remedial liabilities on the consolidated balance sheets, and (ii) $12.2 million and $12.0 million, respectively, primarily related to federal, state and provincial enforcement actions, which were included in accrued expenses and other current liabilities on the consolidated balance sheets.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2022, the Company's principal legal and administrative proceedings were as follows:</w:t>
      </w:r>
    </w:p>
    <w:p>
      <w:pPr>
        <w:spacing w:after="0" w:line="14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Ville Mercier. </w:t>
      </w:r>
      <w:r>
        <w:rPr>
          <w:rFonts w:ascii="Times New Roman" w:cs="Times New Roman" w:eastAsia="Times New Roman" w:hAnsi="Times New Roman"/>
          <w:sz w:val="18"/>
          <w:szCs w:val="18"/>
          <w:color w:val="auto"/>
        </w:rPr>
        <w:t>In September 2002, the Company acquired the stock of a subsidiary (the "Mercier Subsidiary") which owns a 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2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Safety-Kleen Legal Proceedings. </w:t>
      </w:r>
      <w:r>
        <w:rPr>
          <w:rFonts w:ascii="Times New Roman" w:cs="Times New Roman" w:eastAsia="Times New Roman" w:hAnsi="Times New Roman"/>
          <w:sz w:val="18"/>
          <w:szCs w:val="18"/>
          <w:color w:val="auto"/>
        </w:rPr>
        <w:t>On December 28, 2012, the Company acquired Safety-Kleen, Inc. ("Safety-Kleen") and thereby became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March 31, 2022 were as follows:</w:t>
      </w:r>
    </w:p>
    <w:p>
      <w:pPr>
        <w:spacing w:after="0" w:line="11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Liability Cases. </w:t>
      </w:r>
      <w:r>
        <w:rPr>
          <w:rFonts w:ascii="Times New Roman" w:cs="Times New Roman" w:eastAsia="Times New Roman" w:hAnsi="Times New Roman"/>
          <w:sz w:val="18"/>
          <w:szCs w:val="18"/>
          <w:color w:val="auto"/>
        </w:rPr>
        <w:t>Safety-Kleen has been named as a defendant in various lawsuits that are currently pending in various courts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throughout the United States, including approximately 61 proceedings (excluding cases which have been settled but not formally dismissed) as of March 31, 2022,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 contaminants that become entrained in the solvent during their use. In addition, certain claimants assert that Safety-Kleen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failed to adequately warn the product user of potential risks, including a historic failure to warn that solvent contains trace amounts of toxic or hazardous substances such as benzene.</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March 31, 2022. From January 1, 2022 to March 31, 2022, four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Superfund Proceedings</w:t>
      </w:r>
    </w:p>
    <w:p>
      <w:pPr>
        <w:spacing w:after="0" w:line="162"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The Company has been notified that either the Company or the prior owners of certain of the Company's facilities for which the Company may have certain indemnification obligations have been identified as potentially responsible parties ("PRPs") or potential PRPs in connection with 131 sites which are subject to or are proposed to become subject to proceedings under federal or state Superfund laws. Of the 131 Superfund related sites, six (including the BR Facility described below) involve facilities that are now owned or leased by the Company and 125 involve third-party sites to which either the Company or the prior owners of certain of the Company’s facilities shipped wastes. Of the 125 third-party sites, 30 are now settled, 15 are currently requiring expenditures on remediation and 80 are not currently requiring expenditures on remediation.</w:t>
      </w:r>
    </w:p>
    <w:p>
      <w:pPr>
        <w:spacing w:after="0" w:line="10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 million at three of the 131 Superfund related sites.</w:t>
      </w:r>
    </w:p>
    <w:p>
      <w:pPr>
        <w:spacing w:after="0" w:line="12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 Facility. </w:t>
      </w:r>
      <w:r>
        <w:rPr>
          <w:rFonts w:ascii="Times New Roman" w:cs="Times New Roman" w:eastAsia="Times New Roman" w:hAnsi="Times New Roman"/>
          <w:sz w:val="18"/>
          <w:szCs w:val="18"/>
          <w:color w:val="auto"/>
        </w:rPr>
        <w:t>The Company acquired in 2002 a former hazardous waste incinerator and landfill in Baton Rouge (the "BR Facility"),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feasibility study for Devil's Swamp under the order issued by the EPA at which point the feasibility study, with several remedial alternatives, was submitted to the EPA for review. During 2020, the EPA signed a Record of Decision which defined the remediation alternative selected and approved by the EPA and in return, the Company increased the estimated remedial liability for this inactive site by $3.3 million. Changes in the natural landscape and/or new information identified during the remediation could impact this estimate; however, any such changes are not expected to have a future material effect on the Company's financial position, liquidity or results of operation.</w:t>
      </w:r>
    </w:p>
    <w:p>
      <w:pPr>
        <w:spacing w:after="0" w:line="12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Third-Party Sites. </w:t>
      </w:r>
      <w:r>
        <w:rPr>
          <w:rFonts w:ascii="Times New Roman" w:cs="Times New Roman" w:eastAsia="Times New Roman" w:hAnsi="Times New Roman"/>
          <w:sz w:val="18"/>
          <w:szCs w:val="18"/>
          <w:color w:val="auto"/>
        </w:rPr>
        <w:t>Of the 125 third-party Superfund sites at which the Company has been notified it is a PRP or potential PRP or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obligations, the Company has an indemnification agreement at a total of 11 sites. These agreements indemnify the Company (which now includes Safety-Kleen) with respect to any liability at the 11 sites for waste disposed prior to the Company's (or Safety-Kleen's) acquisition of the former subsidiaries of Waste Management, McKesson and six other entity which had shipped wastes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ChemWaste, McKesson and one other entity, the Company does not have an indemnity agreement with respect to any of the 125 third-party sites discussed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March 31, 2022 and December 31, 2021, there were two proceeding for which the Company reasonably believes that the sanctions could equal or exceed $1.0 million. The Company believes that the fines or other penalties in these or any of the other regulatory proceedings will not, individually or in the aggregate, have a material effect on its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 (i) the Environmental Services segment and (ii) the Safety-Kleen Sustainability Solutions segment.</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Transactions between the segments are accounted for at the Company’s best estimate based on similar transactions with outside customers. The intersegment revenues are shown net. The operations not managed through the Company’s operating segments described above are recorded as “Corporate Items.”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third-party revenues to direct revenues for the three months ended March 31, 2022 and 2021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7"/>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7"/>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2021</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120" w:type="dxa"/>
            <w:vAlign w:val="bottom"/>
          </w:tcPr>
          <w:p>
            <w:pPr>
              <w:spacing w:after="0"/>
              <w:rPr>
                <w:sz w:val="13"/>
                <w:szCs w:val="13"/>
                <w:color w:val="auto"/>
              </w:rPr>
            </w:pPr>
          </w:p>
        </w:tc>
        <w:tc>
          <w:tcPr>
            <w:tcW w:w="12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Intersegment</w:t>
            </w:r>
          </w:p>
        </w:tc>
        <w:tc>
          <w:tcPr>
            <w:tcW w:w="12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8"/>
              </w:rPr>
              <w:t>Direct revenues</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revenues</w:t>
            </w: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654,602</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153,467</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1,169,109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1,169,109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provision for income taxes and excludes other gains, losses or non-cash charges not deemed representative of fundamental segment results and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8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1"/>
        </w:trPr>
        <w:tc>
          <w:tcPr>
            <w:tcW w:w="8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183,602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140,254</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31,632</w:t>
            </w: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(42,435)</w:t>
            </w: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129,451</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72,163</w:t>
            </w:r>
          </w:p>
        </w:tc>
      </w:tr>
      <w:tr>
        <w:trPr>
          <w:trHeight w:val="22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50,855</w:t>
            </w: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3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17,918</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8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those items identified as "Risk Factors,” in this report under Item 1A and in our Annual Report on Form 10-K filed with the Securities and Exchange Commission ("SEC") on February 23, 2022,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Clean Harbors undertakes no obligation to revise or publicly release the results of any revision to these forward-looking statements other than through its filings with the SEC, which may be viewed in the "Investors" section of the Clean Harbors website.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believe we are also the largest re-refiner and recycler of used oil in North America and the largest provider of parts washer and related environmental services to commercial, industrial and automotive customers in North America.</w:t>
      </w:r>
    </w:p>
    <w:p>
      <w:pPr>
        <w:spacing w:after="0" w:line="1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08" w:lineRule="exact"/>
        <w:rPr>
          <w:sz w:val="20"/>
          <w:szCs w:val="20"/>
          <w:color w:val="auto"/>
        </w:rPr>
      </w:pPr>
    </w:p>
    <w:p>
      <w:pPr>
        <w:ind w:left="980" w:right="80" w:hanging="324"/>
        <w:spacing w:after="0" w:line="253"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customer demand for waste services, waste volumes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generated by such services and project work for which waste handling and/or disposal is required. Environmental Services results are also impacted by the demand for planned and unplanned industrial related cleaning and maintenance services at customer sites and environmental cleanup services on a scheduled or emergency basis, including response to national events such as major chemical spills, natural disasters, or other events where immediate and specialized services are required, including our contagion disinfection, decontamination and disposal services. With the addition of the Safety-Kleen core service offerings, (e.g. containerized waste disposal, parts washer and vacuum services), the Environmental Services results are further impacted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number of parts washer services performed, among other key metrics. Levels of activity and ultimate performance associated with this segment can be impacted by several factors including overall U.S. GDP, U.S. industrial production, economic conditions in the automotive, manufacturing and other industrial markets, weather conditions, efficiency of our operations, technology, changing regulations, competition, market pricing of our services, costs incurred to deliver our services and the management of our related operating costs.</w:t>
      </w:r>
    </w:p>
    <w:p>
      <w:pPr>
        <w:spacing w:after="0" w:line="117" w:lineRule="exact"/>
        <w:rPr>
          <w:rFonts w:ascii="Times New Roman" w:cs="Times New Roman" w:eastAsia="Times New Roman" w:hAnsi="Times New Roman"/>
          <w:sz w:val="18"/>
          <w:szCs w:val="18"/>
          <w:color w:val="auto"/>
        </w:rPr>
      </w:pPr>
    </w:p>
    <w:p>
      <w:pPr>
        <w:ind w:left="980" w:right="60" w:hanging="324"/>
        <w:spacing w:after="0" w:line="26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Safety-Kleen Sustainability Solutions segment results are impacted by our customers' demand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high-quality, environmentally responsible recycled oil products and their demand for our related service offerings and products. Safety-Kleen Sustainability Solutions offers high quality recycled base and blended oil products to end users including fleet customers, distributors and manufacturers of oil products. Segment results 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right="20"/>
        <w:spacing w:after="0" w:line="252" w:lineRule="auto"/>
        <w:rPr>
          <w:sz w:val="20"/>
          <w:szCs w:val="20"/>
          <w:color w:val="auto"/>
        </w:rPr>
      </w:pPr>
      <w:r>
        <w:rPr>
          <w:rFonts w:ascii="Times New Roman" w:cs="Times New Roman" w:eastAsia="Times New Roman" w:hAnsi="Times New Roman"/>
          <w:sz w:val="18"/>
          <w:szCs w:val="18"/>
          <w:color w:val="auto"/>
        </w:rPr>
        <w:t>impacted by overall demand as well as product mix as it relates to these oil products. Segment results are also predicated on the demand for the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the management of our related operating costs and the availability of raw materials including used oil and additives.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 and other regulations related to the burning of used motor oil as a fuel, both impact the premium the segment can charge for used oil collections.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3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Total revenues for the three months ended March 31, 2022 were $1,169.1 million, compared with $808.1 million for the three months ended March 31, 2021. Our Environmental Services segment direct revenues increased $292.8 million or 44.7% from the comparable period in 2021. Our acquisition of HydroChemPSC on October 8, 2021 contributed to increases in both our industrial services and field and emergency response service offerings within the Environmental Services segment with core organic growth also contributing to the overall increase. In the three months ended March 31, 2022, our Safety-Kleen Sustainability Solutions segment direct revenues increased $68.1 million or 44.4% from the comparable period in 2021 predominately due to higher pricing of our base and blended oil products.</w:t>
      </w:r>
    </w:p>
    <w:p>
      <w:pPr>
        <w:spacing w:after="0" w:line="106"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In the three months ended March 31, 2022, costs have increased in both the Environmental Services and Safety-Kleen Sustainability Solutions segments when comparing to the prior year given the increase in business levels, revenue mix and inflationary pressures seen across several cost categories.</w:t>
      </w:r>
    </w:p>
    <w:p>
      <w:pPr>
        <w:spacing w:after="0" w:line="7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reported income from operations for the three months ended March 31, 2022 of $87.1 million, compared with $50.9 million in the three months ended March 31, 2021, and net income for the three months ended March 31, 2022 of $45.3 million, compared with net income of $21.7 million in the three months ended March 31, 2021. The increases in these earnings measures were 71.3% and 108.5% respectively.</w:t>
      </w:r>
    </w:p>
    <w:p>
      <w:pPr>
        <w:spacing w:after="0" w:line="1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our segments are evaluated, increased 39.2% to $180.3 million in the three months ended March 31, 2022 from $129.5 million in the three months ended March 31, 2021. This improved performance was primarily driven by the increased revenue levels noted above, and strong spread management as it relates to the pricing of base oil products and used motor oil collection services in the Safety-Kleen Sustainability Solutions segment. Additional information, including a reconciliation of Adjusted EBITDA to net income, appears below under </w:t>
      </w:r>
      <w:r>
        <w:rPr>
          <w:rFonts w:ascii="Times New Roman" w:cs="Times New Roman" w:eastAsia="Times New Roman" w:hAnsi="Times New Roman"/>
          <w:sz w:val="18"/>
          <w:szCs w:val="18"/>
          <w:i w:val="1"/>
          <w:iCs w:val="1"/>
          <w:color w:val="auto"/>
        </w:rPr>
        <w:t>"Adjusted EBITDA."</w:t>
      </w:r>
    </w:p>
    <w:p>
      <w:pPr>
        <w:spacing w:after="0" w:line="1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three months ended March 31, 2022 was $38.6 million, as compared to net cash from operating activities of $103.0 million in the comparable period of 2021. Adjusted free cash flow, which management uses to measure our financial strength and ability to generate cash, was an outflow of $107.6 million in the three months ended March 31, 2022 as compared to positive adjusted free cash flow of $62.3 million in the comparable period of 2021. These expected decreases in our cash flows were the result of an increase in working capital, comparatively higher incentive compensation and interest payments and higher levels of cash spending on the acquisition of property, plant and equipment, partially offset by higher operating income. Additional information, including a reconciliation of adjusted free cash flow to net cash (used in) from operating activities, appears below under </w:t>
      </w:r>
      <w:r>
        <w:rPr>
          <w:rFonts w:ascii="Times New Roman" w:cs="Times New Roman" w:eastAsia="Times New Roman" w:hAnsi="Times New Roman"/>
          <w:sz w:val="18"/>
          <w:szCs w:val="18"/>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46"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primary financial measure by which we evaluate the performance of our segments is Adjusted EBITDA, as described below under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EBITDA"</w:t>
      </w:r>
      <w:r>
        <w:rPr>
          <w:rFonts w:ascii="Times New Roman" w:cs="Times New Roman" w:eastAsia="Times New Roman" w:hAnsi="Times New Roman"/>
          <w:sz w:val="18"/>
          <w:szCs w:val="18"/>
          <w:color w:val="auto"/>
        </w:rPr>
        <w:t>. The following table sets forth certain financial information associated with our results of operations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March 31, 2021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1"/>
        </w:trPr>
        <w:tc>
          <w:tcPr>
            <w:tcW w:w="5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8"/>
        </w:trPr>
        <w:tc>
          <w:tcPr>
            <w:tcW w:w="588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3"/>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947,445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654,602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292,843</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44.7%</w:t>
            </w:r>
          </w:p>
        </w:tc>
      </w:tr>
      <w:tr>
        <w:trPr>
          <w:trHeight w:val="21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221,592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153,467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68,125</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44.4</w:t>
            </w:r>
          </w:p>
        </w:tc>
      </w:tr>
      <w:tr>
        <w:trPr>
          <w:trHeight w:val="213"/>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12"/>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1,169,109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808,148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360,961</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44.7</w:t>
            </w:r>
          </w:p>
        </w:tc>
      </w:tr>
      <w:tr>
        <w:trPr>
          <w:trHeight w:val="216"/>
        </w:trPr>
        <w:tc>
          <w:tcPr>
            <w:tcW w:w="58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685,336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451,255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234,081</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51.9</w:t>
            </w:r>
          </w:p>
        </w:tc>
      </w:tr>
      <w:tr>
        <w:trPr>
          <w:trHeight w:val="213"/>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108,376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43,641</w:t>
            </w:r>
          </w:p>
        </w:tc>
        <w:tc>
          <w:tcPr>
            <w:tcW w:w="10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40.3</w:t>
            </w:r>
          </w:p>
        </w:tc>
      </w:tr>
      <w:tr>
        <w:trPr>
          <w:trHeight w:val="21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r>
      <w:tr>
        <w:trPr>
          <w:trHeight w:val="207"/>
        </w:trPr>
        <w:tc>
          <w:tcPr>
            <w:tcW w:w="58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843,389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560,536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282,853</w:t>
            </w:r>
          </w:p>
        </w:tc>
        <w:tc>
          <w:tcPr>
            <w:tcW w:w="10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50.5</w:t>
            </w: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&amp; Administrative Expenses: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78,507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63,093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15,414</w:t>
            </w:r>
          </w:p>
        </w:tc>
        <w:tc>
          <w:tcPr>
            <w:tcW w:w="10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24.4</w:t>
            </w:r>
          </w:p>
        </w:tc>
      </w:tr>
      <w:tr>
        <w:trPr>
          <w:trHeight w:val="21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17,698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13,459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4,239</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31.5</w:t>
            </w:r>
          </w:p>
        </w:tc>
      </w:tr>
      <w:tr>
        <w:trPr>
          <w:trHeight w:val="213"/>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54,968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45,089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9,879</w:t>
            </w:r>
          </w:p>
        </w:tc>
        <w:tc>
          <w:tcPr>
            <w:tcW w:w="10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21.9</w:t>
            </w:r>
          </w:p>
        </w:tc>
      </w:tr>
      <w:tr>
        <w:trPr>
          <w:trHeight w:val="212"/>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151,173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29,532</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24.3</w:t>
            </w:r>
          </w:p>
        </w:tc>
      </w:tr>
      <w:tr>
        <w:trPr>
          <w:trHeight w:val="21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183,602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140,254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43,348</w:t>
            </w:r>
          </w:p>
        </w:tc>
        <w:tc>
          <w:tcPr>
            <w:tcW w:w="10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30.9</w:t>
            </w:r>
          </w:p>
        </w:tc>
      </w:tr>
      <w:tr>
        <w:trPr>
          <w:trHeight w:val="213"/>
        </w:trPr>
        <w:tc>
          <w:tcPr>
            <w:tcW w:w="5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Safety-Kleen Sustainability Solutions</w:t>
            </w:r>
          </w:p>
        </w:tc>
        <w:tc>
          <w:tcPr>
            <w:tcW w:w="1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51,877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31,632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20,245</w:t>
            </w:r>
          </w:p>
        </w:tc>
        <w:tc>
          <w:tcPr>
            <w:tcW w:w="10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64.0</w:t>
            </w:r>
          </w:p>
        </w:tc>
      </w:tr>
      <w:tr>
        <w:trPr>
          <w:trHeight w:val="21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Items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(55,220)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(42,435)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(12,785)</w:t>
            </w:r>
          </w:p>
        </w:tc>
        <w:tc>
          <w:tcPr>
            <w:tcW w:w="10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8"/>
              </w:rPr>
              <w:t>(30.1)</w:t>
            </w:r>
          </w:p>
        </w:tc>
      </w:tr>
      <w:tr>
        <w:trPr>
          <w:trHeight w:val="207"/>
        </w:trPr>
        <w:tc>
          <w:tcPr>
            <w:tcW w:w="58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180,259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129,451</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50,808</w:t>
            </w:r>
          </w:p>
        </w:tc>
        <w:tc>
          <w:tcPr>
            <w:tcW w:w="10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39.2%</w:t>
            </w: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as a % of Direct Revenues: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140" w:type="dxa"/>
            <w:vAlign w:val="bottom"/>
          </w:tcPr>
          <w:p>
            <w:pPr>
              <w:spacing w:after="0"/>
              <w:rPr>
                <w:sz w:val="19"/>
                <w:szCs w:val="19"/>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9"/>
                <w:szCs w:val="19"/>
                <w:color w:val="auto"/>
              </w:rPr>
            </w:pPr>
          </w:p>
        </w:tc>
        <w:tc>
          <w:tcPr>
            <w:tcW w:w="14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0"/>
        </w:trPr>
        <w:tc>
          <w:tcPr>
            <w:tcW w:w="5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9"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340" w:hanging="328"/>
        <w:spacing w:after="0" w:line="260"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consolidated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There are many factors which have impacted and continue to impact our revenues including, but not limited to: overall levels of industrial activity and economic growth in North America, existence or non-existence of large scale environmental waste and remediation projects, competitive industry pricing, miles driven and related lubricant demand, impacts of acquisitions and divestitures, the level of emergency response services, weather related events, base and blended oil pricing, market changes relative to the collection of used oil, our ability to manage the spread between oil product prices and prices for the collection of used oil, the number of parts washers placed at customer sites and foreign currency translation. In addition, customer efforts to minimize hazardous waste and changes in regulation can also impact our revenues.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947,445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654,602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292,843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r>
    </w:tbl>
    <w:p>
      <w:pPr>
        <w:spacing w:after="0" w:line="30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March 31, 2022 increased $292.8 million from the comparable period in 2021 driven primarily from the incremental business from the HydroChemPSC operations within industrial service and field and emergency response service revenues coupled with organic growth across many service offerings. Direct revenues of our industrial service offerings increased $184.4 million of which approximately $155.8 million was generated by HydroChemPSC while the remainder was primarily due to increased demand for our core industrial services. Technical services revenues increased $63.8 million largely due to higher throughput at our facilities and increased pricing for our disposal services. Utilization at our incinerators increased to 85% in the first quarter of 2022 largely driven by fewer down days as compared utilization of 80% in the first quarter of 2021 when our incinerators were impacted by significant weather events. We also saw an increase in landfill volumes in the first quarter of 2022 as compared to the first quarter of 2021. Field and emergency response services revenues increased approximately $27.3 million despite a $19.5 million decrease in COVID-19 decontamination service revenues. This overall increase was both related to contributions from the HydroChemPSC business as well as organic growth in the legacy field services operations. Direct revenues for the Safety-Kleen core service offerings increased $16.9 million from the comparable period in 2021 due to improved pricing and greater demand for our containerized waste and vacuum services.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40" w:type="dxa"/>
            <w:vAlign w:val="bottom"/>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221,592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r>
    </w:tbl>
    <w:p>
      <w:pPr>
        <w:spacing w:after="0" w:line="198"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Safety-Kleen Sustainability Solutions direct revenues for the three months ended March 31, 2022 increased $68.1 million from the comparable period in 2021 predominately due to higher pricing of our base and blended oil products. Base oil sales revenues increased approximately $50.4 million, almost all of which was due to pricing as the volume sold was relatively flat to the comparable period in 2021. Revenues from our blended oil products increased $11.0 million due to pricing increases more than offsetting slightly lower volumes sold.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ability to manage operating costs is important to our ability to remain price competitive. We continue to experience the current macroeconomic inflationary pressures across several cost categories, but most notably related to internal and external labor, transportation, general supplies and energy related costs. We continue to manage these increases through constant cost monitoring as well as our overall customer pricing strategies designed to offset the negative inflationary impacts on our margins. We also continue to upgrade the quality and efficiency of our services through the development of new technology and continued modifications and expansion at our facilities, invest in new business opportunities and aggressively implement strategic sourcing and logistics solutions in the face of these inflationary pressures, while also continuing to optimize our management and operating structure in an effort to manage our operating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2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80" w:type="dxa"/>
            <w:vAlign w:val="bottom"/>
          </w:tcPr>
          <w:p>
            <w:pPr>
              <w:spacing w:after="0"/>
              <w:rPr>
                <w:sz w:val="18"/>
                <w:szCs w:val="18"/>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685,336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451,255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234,081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March 31, 2022 increased $234.1 million from the comparable period in 2021, primarily due to the increase in direct revenues noted above, including additional costs from the HydroChemPSC operations. Cost of revenues as a percentage of direct revenues increased 3.4% from the comparable period in the prior year mainly due to the mix of services, including lower COVID-19 decontamination services and the growth of our industrial services offerings which typically operate at margins lower than our waste disposal focused offerings. Inflationary pressures across several cost categories including labor, transportation, equipment and supply costs have also contributed to the increase of these costs as a percentage of revenues. Overall, labor and benefit related costs increased $110.1 million, equipment and supply costs increased $67.4 million and external transportation, vehicle and fuel related costs increased $40.4 million.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2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8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152,017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108,376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43,641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2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Safety-Kleen Sustainability Solutions cost of revenues for the three months ended March 31, 2022 increased $43.6 million from the comparable period in 2021. The cost of oil additives and other raw materials increased $31.7 million, nearly half of which was due to increased costs to obtain used oil through our used oil collection services. The increase in base oil pricing in the first quarter of 2022 as compared to the same period in 2021 has created a correlated increase in the cost we now pay for used oil feedstock. Other costs that contributed to the overall increase include the cost of external transportation, vehicle and fuel costs which increased $4.5 million and labor and benefit related costs which increased $2.5 million.</w:t>
      </w:r>
    </w:p>
    <w:p>
      <w:pPr>
        <w:spacing w:after="0" w:line="1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percentage of revenues, Safety-Kleen Sustainability Solutions costs of revenues improved by 2.0% in the three months ended March 31, 2022 as compared to the comparable period in 2021. This margin improvement was largely driven by the increased pricing of our products which outpaced the relative cost of revenues as the business continued to capitalize on the favorable market conditions and manage the spread between the pricing of products and the related costs to obtain the feedstock.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20" w:type="dxa"/>
            <w:vAlign w:val="bottom"/>
          </w:tcPr>
          <w:p>
            <w:pPr>
              <w:spacing w:after="0"/>
              <w:rPr>
                <w:sz w:val="18"/>
                <w:szCs w:val="18"/>
                <w:color w:val="auto"/>
              </w:rPr>
            </w:pPr>
          </w:p>
        </w:tc>
      </w:tr>
      <w:tr>
        <w:trPr>
          <w:trHeight w:val="216"/>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78,507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63,093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15,414</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34"/>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March 31, 2022 increased $15.4 million from the comparable period in 2021, most predominately due to an $11.0 million increase in labor and benefit related costs. The increased costs from the HydroChemPSC business operations drove a significant portion of the increase. As a percentage of revenue, however, the Environmental Services SG&amp;A improved by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6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17,698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9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Safety-Kleen Sustainability Solutions SG&amp;A expenses for the three months ended March 31, 2022 increased $4.2 million from the comparable periods in 2021 primarily attributable to the increases in direct revenues noted above. As a percentage of revenues, these costs remained relatively consistent in the three months ended March 31, 2022 when compared to the same period in the prior year. Overall, $3.4 million of the increase was specifically associated with labor and benefit related costs.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6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8"/>
                <w:szCs w:val="18"/>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54,968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45,089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Total Clean Harbors' Direct revenues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9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manage our Corporate Items SG&amp;A expenses commensurate with the overall total Company performance and direct revenue levels. Generally, as revenues increase, we would expect some increase in these costs. Corporate Items SG&amp;A expenses for the three months ended March 31, 2022 increased $9.9 million from the comparable period in 2021, however decreased as a percentage of total Clean Harbors' direct revenues. Overall, cost increases included a $6.2 million increase in labor and benefits related costs, including higher human resources related expenses, incentive compensation and stock based compensation costs. The higher stock based compensation costs are primarily driven by the timing of grants in 2022 as well as overall achievement of performance based awards. These increases were partially offset by the $3.0 million breakup fee received related to the termination of the proposed asset acquisition from Vertex Energy, Inc. The remaining net increase is spread across various cost categories.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500"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214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183,602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6"/>
              </w:rPr>
              <w:t>43,348</w:t>
            </w: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30.9 %</w:t>
            </w: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6"/>
              </w:rPr>
              <w:t>20,245</w:t>
            </w:r>
          </w:p>
        </w:tc>
        <w:tc>
          <w:tcPr>
            <w:tcW w:w="12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Items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(12,785)</w:t>
            </w:r>
          </w:p>
        </w:tc>
        <w:tc>
          <w:tcPr>
            <w:tcW w:w="128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(30.1)</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6"/>
              </w:rPr>
              <w:t>50,808</w:t>
            </w:r>
          </w:p>
        </w:tc>
        <w:tc>
          <w:tcPr>
            <w:tcW w:w="12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39.2 %</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our interpretation of such results with the board. We also compare our Adjusted EBITDA performance against internal targets as a key factor in determining cash and stock bonus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for executives and other employees, largely because we believe that this measure is indicative of how the fundamental business is performing and is being managed.</w:t>
      </w:r>
    </w:p>
    <w:p>
      <w:pPr>
        <w:spacing w:after="0" w:line="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4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5"/>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6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r>
      <w:tr>
        <w:trPr>
          <w:trHeight w:val="22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21,736</w:t>
            </w:r>
          </w:p>
        </w:tc>
        <w:tc>
          <w:tcPr>
            <w:tcW w:w="20" w:type="dxa"/>
            <w:vAlign w:val="bottom"/>
            <w:shd w:val="clear" w:color="auto" w:fill="CCEEFF"/>
          </w:tcPr>
          <w:p>
            <w:pPr>
              <w:spacing w:after="0"/>
              <w:rPr>
                <w:sz w:val="19"/>
                <w:szCs w:val="19"/>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2,953</w:t>
            </w:r>
          </w:p>
        </w:tc>
        <w:tc>
          <w:tcPr>
            <w:tcW w:w="20" w:type="dxa"/>
            <w:vAlign w:val="bottom"/>
          </w:tcPr>
          <w:p>
            <w:pPr>
              <w:spacing w:after="0"/>
              <w:rPr>
                <w:sz w:val="19"/>
                <w:szCs w:val="19"/>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3,480</w:t>
            </w:r>
          </w:p>
        </w:tc>
        <w:tc>
          <w:tcPr>
            <w:tcW w:w="20" w:type="dxa"/>
            <w:vAlign w:val="bottom"/>
            <w:shd w:val="clear" w:color="auto" w:fill="CCEEFF"/>
          </w:tcPr>
          <w:p>
            <w:pPr>
              <w:spacing w:after="0"/>
              <w:rPr>
                <w:sz w:val="19"/>
                <w:szCs w:val="19"/>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72,163</w:t>
            </w:r>
          </w:p>
        </w:tc>
        <w:tc>
          <w:tcPr>
            <w:tcW w:w="20" w:type="dxa"/>
            <w:vAlign w:val="bottom"/>
          </w:tcPr>
          <w:p>
            <w:pPr>
              <w:spacing w:after="0"/>
              <w:rPr>
                <w:sz w:val="19"/>
                <w:szCs w:val="19"/>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shd w:val="clear" w:color="auto" w:fill="CCEEFF"/>
          </w:tcPr>
          <w:p>
            <w:pPr>
              <w:spacing w:after="0"/>
              <w:rPr>
                <w:sz w:val="19"/>
                <w:szCs w:val="19"/>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17,918</w:t>
            </w:r>
          </w:p>
        </w:tc>
        <w:tc>
          <w:tcPr>
            <w:tcW w:w="20" w:type="dxa"/>
            <w:vAlign w:val="bottom"/>
          </w:tcPr>
          <w:p>
            <w:pPr>
              <w:spacing w:after="0"/>
              <w:rPr>
                <w:sz w:val="19"/>
                <w:szCs w:val="19"/>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9,973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180,259</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129,451</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0" w:type="dxa"/>
            <w:vAlign w:val="bottom"/>
            <w:shd w:val="clear" w:color="auto" w:fill="CCEEFF"/>
          </w:tcPr>
          <w:p>
            <w:pPr>
              <w:spacing w:after="0"/>
              <w:rPr>
                <w:sz w:val="19"/>
                <w:szCs w:val="19"/>
                <w:color w:val="auto"/>
              </w:rPr>
            </w:pPr>
          </w:p>
        </w:tc>
      </w:tr>
      <w:tr>
        <w:trPr>
          <w:trHeight w:val="45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2022 over 2021</w:t>
            </w:r>
          </w:p>
        </w:tc>
      </w:tr>
      <w:tr>
        <w:trPr>
          <w:trHeight w:val="214"/>
        </w:trPr>
        <w:tc>
          <w:tcPr>
            <w:tcW w:w="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 w:type="dxa"/>
            <w:vAlign w:val="bottom"/>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fixed assets and amortization of landfills and finance leases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7"/>
              </w:rPr>
              <w:t>11.6 %</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Permits and other intangibles amortization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12,135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16.8 %</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2022 increased by $12.1 million from the comparable periods in 2021 due the depreciation and amortization of the HydroChemPSC tangible and intangible assets which were acquired in in the fourth quarter of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2022 over 2021</w:t>
            </w:r>
          </w:p>
        </w:tc>
        <w:tc>
          <w:tcPr>
            <w:tcW w:w="0" w:type="dxa"/>
            <w:vAlign w:val="bottom"/>
          </w:tcPr>
          <w:p>
            <w:pPr>
              <w:spacing w:after="0"/>
              <w:rPr>
                <w:sz w:val="1"/>
                <w:szCs w:val="1"/>
                <w:color w:val="auto"/>
              </w:rPr>
            </w:pPr>
          </w:p>
        </w:tc>
      </w:tr>
      <w:tr>
        <w:trPr>
          <w:trHeight w:val="158"/>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3"/>
                <w:szCs w:val="13"/>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Pr>
          <w:p>
            <w:pPr>
              <w:jc w:val="right"/>
              <w:ind w:right="4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63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17,466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7,493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0" w:type="dxa"/>
            <w:vAlign w:val="bottom"/>
          </w:tcPr>
          <w:p>
            <w:pPr>
              <w:spacing w:after="0"/>
              <w:rPr>
                <w:sz w:val="1"/>
                <w:szCs w:val="1"/>
                <w:color w:val="auto"/>
              </w:rPr>
            </w:pP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2022 increased $7.5 million from the comparable period in 2021, due to an increase in income before provision for income taxes. Our effective tax rate for the three months ended March 31, 2022 decreased 3.7% when compared to the three months ended March 31, 2021. The decrease in our effective tax rate is largely due a decrease in unbenefited losses in certain of our Canadian entities.</w:t>
      </w:r>
    </w:p>
    <w:p>
      <w:pPr>
        <w:spacing w:after="0" w:line="9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In recent periods, certain Canadian entities which have historically generated net operating losses and for which we have recognized valuation allowances, have been operating at a profit. This recent profitability is due to operational improvements, tax strategies and government subsidies. As of March 31, 2022, we do not yet believe that sufficient positive evidence exists to support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that this return to profitability will continue for a sustained period. We will continue to evaluate this on an ongoing basis to determine when, if at all, to release some or all of the associated remaining valuation allowances.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3"/>
          </w:tcPr>
          <w:p>
            <w:pPr>
              <w:jc w:val="center"/>
              <w:ind w:left="5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60" w:type="dxa"/>
            <w:vAlign w:val="bottom"/>
            <w:tcBorders>
              <w:bottom w:val="single" w:sz="8" w:color="auto"/>
            </w:tcBorders>
          </w:tcPr>
          <w:p>
            <w:pPr>
              <w:spacing w:after="0"/>
              <w:rPr>
                <w:sz w:val="18"/>
                <w:szCs w:val="18"/>
                <w:color w:val="auto"/>
              </w:rPr>
            </w:pPr>
          </w:p>
        </w:tc>
      </w:tr>
      <w:tr>
        <w:trPr>
          <w:trHeight w:val="21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from 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103,000</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(86,737)</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(40,620)</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from operating activities</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$38.6 million as compared to net cash from operating activities of $103.0 million in the comparable period of 2021. The decrease in operating cash flows from the comparable period of 2021 was attributable to an increase in working capital and higher incentive compensation and interest payments in the first quarter of 2022, partially offset by greater levels of operating income.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6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2022 was $58.9 million, a decrease of $27.9 million from the comparable period in 2021. The decrease in net cash used in investing activities as compared to the same prior year period was primarily due to cash flows associated with our marketable securities which resulted in a cash inflow of $5.4 million in the first quarter of 2022 as compared to a cash outflow of $22.6 million in the first quarter of 2021. This $28.0 million change was mainly due to the timing of transactions within our wholly owned captive insurance company. Additionally, there was a $27.9 million decrease in acquisitions, net of cash acquired which encompassed a $5.0 million working capital adjustment received in the first quarter of 2022 related to the acquisition of HydroChemPSC. Partially offsetting these two net decreases was an increase of $28.4 million in additions to property, plant and equipment.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6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2022 was $16.1 million, as compared to $40.6 million in the comparable period in 2021. This decrease of $24.5 million was primarily due to a decrease in repurchases of common stock of $22.9 million during the first three months of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such as taxes paid in connection with divestitures, less additions to property, plant and equipment plus proceeds from sales or disposals of fixed assets. Adjusted free cash flow is not calculated identically by all companies, and therefore our measurements of adjusted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740" w:firstLine="648"/>
        <w:spacing w:after="0" w:line="275" w:lineRule="auto"/>
        <w:rPr>
          <w:sz w:val="20"/>
          <w:szCs w:val="20"/>
          <w:color w:val="auto"/>
        </w:rPr>
      </w:pPr>
      <w:r>
        <w:rPr>
          <w:rFonts w:ascii="Times New Roman" w:cs="Times New Roman" w:eastAsia="Times New Roman" w:hAnsi="Times New Roman"/>
          <w:sz w:val="18"/>
          <w:szCs w:val="18"/>
          <w:color w:val="auto"/>
        </w:rPr>
        <w:t>The following is a reconciliation from net cash (used in) from operating activities to adjusted free cash flow for the following periods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from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62,291</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4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At March 31, 2022, cash and cash equivalents and marketable securities totaled $414.9 million, compared to $534.3 million at December 31, 2021. At March 31, 2022, cash and cash equivalents held by our foreign subsidiaries totaled $39.9 million. The cash and cash equivalents and marketable securities balance for our U.S. operations was $375.0 million at March 31, 2022, and our U.S. operations had net operating cash outflows of $29.6 million for the three months ended March 31, 2022.</w:t>
      </w:r>
    </w:p>
    <w:p>
      <w:pPr>
        <w:spacing w:after="0" w:line="11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$400.0 million revolving credit facility of which, as of March 31, 2022, approximately $290.3 million was available to borrow and letters of credit under the credit facility in the amount of $109.7 million were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Capital expenditures during the first three months of 2022 were $70.3 million as compared to $41.9 million during the first three months of 2021. We anticipate that 2022 capital spending, net of disposals, will be in the range of $310.0 million to $330.0 million. This includes approximately $40.0 million to $45.0 million of capital spending for our new incinerator construction in Kimball, Nebraska, of which $4.6 million has been spent during the first three months of 2022.</w:t>
      </w:r>
    </w:p>
    <w:p>
      <w:pPr>
        <w:spacing w:after="0" w:line="11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always, unanticipated changes in environmental regulations could require us to make significant capital expenditures for our facilities and could adversely affect our results of operations and cash flow.</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our financing arrangements include (i) $717.7 million of senior secured term loans due 2024, (ii) $545.0 million of 4.875% senior unsecured notes due 2027, (iii) $997.5 million of senior secured term loans due 2028 and (iv) $300.0 million of 5.125% senior unsecured notes due 2029. We also maintain our $400.0 million revolving credit facility. As of March 31, 2022, under the revolving credit facility, we had no outstanding loan balance, $290.3 million available to borrow and outstanding letters of credit of $109.7 million.</w:t>
      </w:r>
    </w:p>
    <w:p>
      <w:pPr>
        <w:spacing w:after="0" w:line="11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11, “Financing Arrangements,” to our consolidated financial statements included in Item 8 of this report.</w:t>
      </w:r>
    </w:p>
    <w:p>
      <w:pPr>
        <w:spacing w:after="0" w:line="8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2021, we were in compliance with the covenants of all of our debt agreements, and we believe we will continue to meet such covenants.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The Company's common stock repurchases are made pursuant to the previously authorized board approved plan to repurchase up to $600.0 million of the Company's common stock. During each of the three months ended March 31, 2022 and March 31, 2021, the Company repurchased and retired a total of approximately 41.1 thousand and 300.0 thousand shares of the Company's common stock, respectively, for total expenditures of approximately $3.7 million and $26.5 million, respectively.</w:t>
      </w:r>
    </w:p>
    <w:p>
      <w:pPr>
        <w:spacing w:after="0" w:line="9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Through March 31, 2022, the Company has repurchased and retired a total of approximately 7.7 million shares of its common stock for approximately $448.3 million under this program. As of March 31, 2022, an additional $151.7 million remained available for repurchase of shares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Total environmental liabilities as of March 31, 2022 were $225.4 million, an increase of $14.5 million compared to December 31, 2021, primarily due to new liabilities, including those assumed in acquisition, of $14.0 million and accretion of $3.2 million, partially offset by expenditures of $3.6 million. The majority of the new liabilities relate to a real estate acquisition in 2022 for which we are assuming a remedial liability. The remedial liability was contemplated when arriving at the amount paid to acquire the property.</w:t>
      </w:r>
    </w:p>
    <w:p>
      <w:pPr>
        <w:spacing w:after="0" w:line="11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March 31, 2022, there were $109.7 million outstanding letters of credit. See Note 11, "Financing Arrangements," to our consolidated financial statements included in Item 8 of this report for further discussion of our standby letters of credit and other financing arrangements.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were no material changes in the first three months of 2022 to the information provided under the heading “Critical Accounting Policies and Estimates” included in our Annual Report on Form 10-K for the year ended December 31, 2021.</w:t>
      </w:r>
    </w:p>
    <w:p>
      <w:pPr>
        <w:spacing w:after="0" w:line="33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three months of 2022 to the information provided under Item 7A. “Quantitative and Qualitative Disclosures about Market Risk” in the Company's Annual Report on Form 10-K for the year ended December 31, 2021.</w:t>
      </w:r>
    </w:p>
    <w:p>
      <w:pPr>
        <w:spacing w:after="0" w:line="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March 31, 2022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three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16, “Commitments and Contingencies,” to the unaudited consolidated financial statements included in Item 1 of this report, which description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the Company's Annual Report on Form 10-K for the year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08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54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through January 31, 2022</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2022 through February 28, 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through March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151,748</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44" w:lineRule="exact"/>
        <w:rPr>
          <w:sz w:val="20"/>
          <w:szCs w:val="20"/>
          <w:color w:val="auto"/>
        </w:rPr>
      </w:pPr>
    </w:p>
    <w:p>
      <w:pPr>
        <w:ind w:left="660" w:right="620" w:hanging="328"/>
        <w:spacing w:after="0" w:line="261" w:lineRule="auto"/>
        <w:tabs>
          <w:tab w:leader="none" w:pos="7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18,100 shares withheld by us from employees to satisfy employee tax obligations upon vesting of restricted stock granted to our employees under the Company's equity incentive plans.</w:t>
      </w:r>
    </w:p>
    <w:p>
      <w:pPr>
        <w:ind w:left="720" w:hanging="388"/>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hanging="328"/>
        <w:spacing w:after="0" w:line="251" w:lineRule="auto"/>
        <w:tabs>
          <w:tab w:leader="none" w:pos="7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March 31, 2022, we repurchased 20,768 shares under the Rule 10b5-1 plan for a total of $1.9 million. Future repurchases will also be made as open market or privately negotiated transactions as described above. We have no obligation to repurchase stock under this program and may suspend or terminate the repurchase program at any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80" w:type="dxa"/>
            <w:vAlign w:val="bottom"/>
          </w:tcPr>
          <w:p>
            <w:pPr>
              <w:spacing w:after="0"/>
              <w:rPr>
                <w:sz w:val="20"/>
                <w:szCs w:val="20"/>
                <w:color w:val="auto"/>
              </w:rPr>
            </w:pPr>
          </w:p>
        </w:tc>
      </w:tr>
      <w:tr>
        <w:trPr>
          <w:trHeight w:val="341"/>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0" w:type="dxa"/>
            <w:vAlign w:val="bottom"/>
            <w:gridSpan w:val="4"/>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
        </w:trPr>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2"/>
        </w:trPr>
        <w:tc>
          <w:tcPr>
            <w:tcW w:w="760" w:type="dxa"/>
            <w:vAlign w:val="bottom"/>
          </w:tcPr>
          <w:p>
            <w:pPr>
              <w:jc w:val="center"/>
              <w:ind w:left="113"/>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Rule 13a-14a/15d-14(a) Certification of the CEO Alan S. McKim</w:t>
            </w:r>
          </w:p>
        </w:tc>
        <w:tc>
          <w:tcPr>
            <w:tcW w:w="36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7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the CFO Michael L. Battles</w:t>
            </w:r>
          </w:p>
        </w:tc>
        <w:tc>
          <w:tcPr>
            <w:tcW w:w="3660" w:type="dxa"/>
            <w:vAlign w:val="bottom"/>
            <w:gridSpan w:val="2"/>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64"/>
        </w:trPr>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32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Section 1350 Certifications</w:t>
            </w:r>
          </w:p>
        </w:tc>
        <w:tc>
          <w:tcPr>
            <w:tcW w:w="6600" w:type="dxa"/>
            <w:vAlign w:val="bottom"/>
            <w:gridSpan w:val="4"/>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59"/>
        </w:trPr>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6"/>
              </w:rPr>
              <w:t>101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80"/>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Form 10-Q of Clean Harbors, Inc. for the quarterly period ended March 31, 2022, formatted in iXBRL (Inline</w:t>
            </w:r>
          </w:p>
        </w:tc>
        <w:tc>
          <w:tcPr>
            <w:tcW w:w="148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eXtensible Business Reporting Language): (i) Consolidated Balance Sheets, (ii) Unaudited Consolidated</w:t>
            </w:r>
          </w:p>
        </w:tc>
        <w:tc>
          <w:tcPr>
            <w:tcW w:w="1480" w:type="dxa"/>
            <w:vAlign w:val="bottom"/>
          </w:tcPr>
          <w:p>
            <w:pPr>
              <w:spacing w:after="0"/>
              <w:rPr>
                <w:sz w:val="15"/>
                <w:szCs w:val="15"/>
                <w:color w:val="auto"/>
              </w:rPr>
            </w:pPr>
          </w:p>
        </w:tc>
      </w:tr>
      <w:tr>
        <w:trPr>
          <w:trHeight w:val="204"/>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auto"/>
              </w:rPr>
              <w:t>Statements of Operations, (iii) Unaudited Consolidated Statements of Comprehensive Income, (iv) Unaudited</w:t>
            </w:r>
          </w:p>
        </w:tc>
        <w:tc>
          <w:tcPr>
            <w:tcW w:w="1480" w:type="dxa"/>
            <w:vAlign w:val="bottom"/>
          </w:tcPr>
          <w:p>
            <w:pPr>
              <w:spacing w:after="0"/>
              <w:rPr>
                <w:sz w:val="17"/>
                <w:szCs w:val="17"/>
                <w:color w:val="auto"/>
              </w:rPr>
            </w:pPr>
          </w:p>
        </w:tc>
      </w:tr>
    </w:tbl>
    <w:p>
      <w:pPr>
        <w:ind w:left="1180" w:right="2200"/>
        <w:spacing w:after="0" w:line="226" w:lineRule="auto"/>
        <w:rPr>
          <w:sz w:val="20"/>
          <w:szCs w:val="20"/>
          <w:color w:val="auto"/>
        </w:rPr>
      </w:pPr>
      <w:r>
        <w:rPr>
          <w:rFonts w:ascii="Times New Roman" w:cs="Times New Roman" w:eastAsia="Times New Roman" w:hAnsi="Times New Roman"/>
          <w:sz w:val="18"/>
          <w:szCs w:val="18"/>
          <w:color w:val="auto"/>
        </w:rPr>
        <w:t>Consolidated Statements of Cash Flows, (v) Unaudited Consolidated Statements of Stockholders’ Equity and (vi) Notes to Unaudited Consolidated Financial Statements.</w:t>
      </w:r>
    </w:p>
    <w:p>
      <w:pPr>
        <w:spacing w:after="0" w:line="49" w:lineRule="exact"/>
        <w:rPr>
          <w:sz w:val="20"/>
          <w:szCs w:val="20"/>
          <w:color w:val="auto"/>
        </w:rPr>
      </w:pPr>
    </w:p>
    <w:p>
      <w:pPr>
        <w:ind w:left="1180" w:right="2120" w:hanging="841"/>
        <w:spacing w:after="0" w:line="250"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quarterly period ended March 31, 2022, formatted in iXBRL and contained in Exhibit 101.</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4" w:lineRule="exact"/>
        <w:rPr>
          <w:sz w:val="20"/>
          <w:szCs w:val="20"/>
          <w:color w:val="auto"/>
        </w:rPr>
      </w:pPr>
    </w:p>
    <w:p>
      <w:pPr>
        <w:ind w:left="660" w:right="380" w:hanging="490"/>
        <w:spacing w:after="0" w:line="266" w:lineRule="auto"/>
        <w:tabs>
          <w:tab w:leader="none" w:pos="4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p>
      <w:pPr>
        <w:ind w:left="576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4, 2022</w:t>
      </w:r>
    </w:p>
    <w:p>
      <w:pPr>
        <w:spacing w:after="0" w:line="77" w:lineRule="exact"/>
        <w:rPr>
          <w:sz w:val="20"/>
          <w:szCs w:val="20"/>
          <w:color w:val="auto"/>
        </w:rPr>
      </w:pPr>
    </w:p>
    <w:p>
      <w:pPr>
        <w:ind w:left="576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660"/>
          </w:cols>
          <w:pgMar w:left="320" w:top="121" w:right="9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 Chief Executive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73"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March 31, 2022 fully complies with the requirements of Section 13(a) or 15(d) of the Securities Exchange Act of 1934 and the information contained in this report fairly presents, in all material respects, the financial condition and results of operations of Clean Harbors, Inc.</w:t>
      </w:r>
    </w:p>
    <w:p>
      <w:pPr>
        <w:ind w:left="592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May 4, 2022</w:t>
      </w:r>
    </w:p>
    <w:p>
      <w:pPr>
        <w:spacing w:after="0" w:line="252" w:lineRule="exact"/>
        <w:rPr>
          <w:sz w:val="20"/>
          <w:szCs w:val="20"/>
          <w:color w:val="auto"/>
        </w:rPr>
      </w:pPr>
    </w:p>
    <w:p>
      <w:pPr>
        <w:ind w:left="5920"/>
        <w:spacing w:after="0"/>
        <w:tabs>
          <w:tab w:leader="none" w:pos="7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97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May 4,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04"/>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5"/>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5"/>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2022-05-04T10:20:18Z</dcterms:created>
  <dcterms:modified xsi:type="dcterms:W3CDTF">2022-05-04T10:20:18Z</dcterms:modified>
</cp:coreProperties>
</file>