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200"/>
          </w:cols>
          <w:pgMar w:left="320" w:top="233" w:right="379" w:bottom="1440" w:gutter="0" w:footer="0" w:header="0"/>
        </w:sectPr>
      </w:pPr>
    </w:p>
    <w:p>
      <w:pPr>
        <w:spacing w:after="0" w:line="32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33" w:right="379" w:bottom="1440" w:gutter="0" w:footer="0" w:header="0"/>
          <w:type w:val="continuous"/>
        </w:sectPr>
      </w:pP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00"/>
          </w:cols>
          <w:pgMar w:left="320" w:top="233" w:right="379" w:bottom="1440" w:gutter="0" w:footer="0" w:header="0"/>
          <w:type w:val="continuous"/>
        </w:sectPr>
      </w:pP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CLEAN HARBORS,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80" w:type="dxa"/>
        <w:tblCellMar>
          <w:top w:w="0" w:type="dxa"/>
          <w:left w:w="0" w:type="dxa"/>
          <w:bottom w:w="0" w:type="dxa"/>
          <w:right w:w="0" w:type="dxa"/>
        </w:tblCellMar>
      </w:tblPr>
      <w:tr>
        <w:trPr>
          <w:trHeight w:val="233"/>
        </w:trPr>
        <w:tc>
          <w:tcPr>
            <w:tcW w:w="5480" w:type="dxa"/>
            <w:vAlign w:val="bottom"/>
          </w:tcPr>
          <w:p>
            <w:pPr>
              <w:ind w:left="1860"/>
              <w:spacing w:after="0"/>
              <w:rPr>
                <w:sz w:val="20"/>
                <w:szCs w:val="20"/>
                <w:color w:val="auto"/>
              </w:rPr>
            </w:pPr>
            <w:r>
              <w:rPr>
                <w:rFonts w:ascii="Arial" w:cs="Arial" w:eastAsia="Arial" w:hAnsi="Arial"/>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04-2997780</w:t>
            </w: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233"/>
        </w:trPr>
        <w:tc>
          <w:tcPr>
            <w:tcW w:w="5480" w:type="dxa"/>
            <w:vAlign w:val="bottom"/>
          </w:tcPr>
          <w:p>
            <w:pPr>
              <w:ind w:left="940"/>
              <w:spacing w:after="0"/>
              <w:rPr>
                <w:sz w:val="20"/>
                <w:szCs w:val="20"/>
                <w:color w:val="auto"/>
              </w:rPr>
            </w:pPr>
            <w:r>
              <w:rPr>
                <w:rFonts w:ascii="Arial" w:cs="Arial" w:eastAsia="Arial" w:hAnsi="Arial"/>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02061-9149</w:t>
            </w:r>
          </w:p>
        </w:tc>
      </w:tr>
      <w:tr>
        <w:trPr>
          <w:trHeight w:val="230"/>
        </w:trPr>
        <w:tc>
          <w:tcPr>
            <w:tcW w:w="5480" w:type="dxa"/>
            <w:vAlign w:val="bottom"/>
          </w:tcPr>
          <w:p>
            <w:pPr>
              <w:ind w:left="960"/>
              <w:spacing w:after="0"/>
              <w:rPr>
                <w:sz w:val="20"/>
                <w:szCs w:val="20"/>
                <w:color w:val="auto"/>
              </w:rPr>
            </w:pPr>
            <w:r>
              <w:rPr>
                <w:rFonts w:ascii="Arial" w:cs="Arial" w:eastAsia="Arial" w:hAnsi="Arial"/>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Trading Symbol</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29"/>
        </w:trPr>
        <w:tc>
          <w:tcPr>
            <w:tcW w:w="3220" w:type="dxa"/>
            <w:vAlign w:val="bottom"/>
            <w:gridSpan w:val="2"/>
            <w:vMerge w:val="continue"/>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80" w:firstLine="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2200" w:type="dxa"/>
        <w:tblCellMar>
          <w:top w:w="0" w:type="dxa"/>
          <w:left w:w="0" w:type="dxa"/>
          <w:bottom w:w="0" w:type="dxa"/>
          <w:right w:w="0" w:type="dxa"/>
        </w:tblCellMar>
      </w:tblPr>
      <w:tr>
        <w:trPr>
          <w:trHeight w:val="207"/>
        </w:trPr>
        <w:tc>
          <w:tcPr>
            <w:tcW w:w="1440" w:type="dxa"/>
            <w:vAlign w:val="bottom"/>
          </w:tcPr>
          <w:p>
            <w:pPr>
              <w:jc w:val="right"/>
              <w:ind w:right="90"/>
              <w:spacing w:after="0"/>
              <w:rPr>
                <w:sz w:val="20"/>
                <w:szCs w:val="20"/>
                <w:color w:val="auto"/>
              </w:rPr>
            </w:pPr>
            <w:r>
              <w:rPr>
                <w:rFonts w:ascii="Arial" w:cs="Arial" w:eastAsia="Arial" w:hAnsi="Arial"/>
                <w:sz w:val="18"/>
                <w:szCs w:val="18"/>
                <w:color w:val="auto"/>
                <w:w w:val="86"/>
              </w:rPr>
              <w:t>Large accelerated</w:t>
            </w:r>
          </w:p>
        </w:tc>
        <w:tc>
          <w:tcPr>
            <w:tcW w:w="24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vMerge w:val="restart"/>
          </w:tcPr>
          <w:p>
            <w:pPr>
              <w:jc w:val="right"/>
              <w:ind w:right="90"/>
              <w:spacing w:after="0"/>
              <w:rPr>
                <w:sz w:val="20"/>
                <w:szCs w:val="20"/>
                <w:color w:val="auto"/>
              </w:rPr>
            </w:pPr>
            <w:r>
              <w:rPr>
                <w:rFonts w:ascii="Arial" w:cs="Arial" w:eastAsia="Arial" w:hAnsi="Arial"/>
                <w:sz w:val="18"/>
                <w:szCs w:val="18"/>
                <w:color w:val="auto"/>
              </w:rPr>
              <w:t>Accelerated filer</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1440" w:type="dxa"/>
            <w:vAlign w:val="bottom"/>
          </w:tcPr>
          <w:p>
            <w:pPr>
              <w:jc w:val="right"/>
              <w:ind w:right="90"/>
              <w:spacing w:after="0"/>
              <w:rPr>
                <w:sz w:val="20"/>
                <w:szCs w:val="20"/>
                <w:color w:val="auto"/>
              </w:rPr>
            </w:pPr>
            <w:r>
              <w:rPr>
                <w:rFonts w:ascii="Arial" w:cs="Arial" w:eastAsia="Arial" w:hAnsi="Arial"/>
                <w:sz w:val="18"/>
                <w:szCs w:val="18"/>
                <w:color w:val="auto"/>
              </w:rPr>
              <w:t>filer</w:t>
            </w:r>
          </w:p>
        </w:tc>
        <w:tc>
          <w:tcPr>
            <w:tcW w:w="2440" w:type="dxa"/>
            <w:vAlign w:val="bottom"/>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4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3"/>
              </w:rPr>
              <w:t>Non-accelerated</w:t>
            </w:r>
          </w:p>
        </w:tc>
        <w:tc>
          <w:tcPr>
            <w:tcW w:w="24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jc w:val="right"/>
              <w:ind w:right="90"/>
              <w:spacing w:after="0" w:line="176" w:lineRule="exact"/>
              <w:rPr>
                <w:sz w:val="20"/>
                <w:szCs w:val="20"/>
                <w:color w:val="auto"/>
              </w:rPr>
            </w:pPr>
            <w:r>
              <w:rPr>
                <w:rFonts w:ascii="Arial" w:cs="Arial" w:eastAsia="Arial" w:hAnsi="Arial"/>
                <w:sz w:val="18"/>
                <w:szCs w:val="18"/>
                <w:color w:val="auto"/>
              </w:rPr>
              <w:t>Smaller reporting</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1440" w:type="dxa"/>
            <w:vAlign w:val="bottom"/>
          </w:tcPr>
          <w:p>
            <w:pPr>
              <w:jc w:val="right"/>
              <w:ind w:right="90"/>
              <w:spacing w:after="0"/>
              <w:rPr>
                <w:sz w:val="20"/>
                <w:szCs w:val="20"/>
                <w:color w:val="auto"/>
              </w:rPr>
            </w:pPr>
            <w:r>
              <w:rPr>
                <w:rFonts w:ascii="Arial" w:cs="Arial" w:eastAsia="Arial" w:hAnsi="Arial"/>
                <w:sz w:val="18"/>
                <w:szCs w:val="18"/>
                <w:color w:val="auto"/>
              </w:rPr>
              <w:t>filer</w:t>
            </w:r>
          </w:p>
        </w:tc>
        <w:tc>
          <w:tcPr>
            <w:tcW w:w="2440" w:type="dxa"/>
            <w:vAlign w:val="bottom"/>
            <w:vMerge w:val="continue"/>
          </w:tcPr>
          <w:p>
            <w:pPr>
              <w:spacing w:after="0"/>
              <w:rPr>
                <w:sz w:val="19"/>
                <w:szCs w:val="19"/>
                <w:color w:val="auto"/>
              </w:rPr>
            </w:pPr>
          </w:p>
        </w:tc>
        <w:tc>
          <w:tcPr>
            <w:tcW w:w="3520" w:type="dxa"/>
            <w:vAlign w:val="bottom"/>
          </w:tcPr>
          <w:p>
            <w:pPr>
              <w:jc w:val="right"/>
              <w:ind w:right="90"/>
              <w:spacing w:after="0"/>
              <w:rPr>
                <w:sz w:val="20"/>
                <w:szCs w:val="20"/>
                <w:color w:val="auto"/>
              </w:rPr>
            </w:pPr>
            <w:r>
              <w:rPr>
                <w:rFonts w:ascii="Arial" w:cs="Arial" w:eastAsia="Arial" w:hAnsi="Arial"/>
                <w:sz w:val="18"/>
                <w:szCs w:val="18"/>
                <w:color w:val="auto"/>
              </w:rPr>
              <w:t>company</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520" w:type="dxa"/>
            <w:vAlign w:val="bottom"/>
          </w:tcPr>
          <w:p>
            <w:pPr>
              <w:jc w:val="right"/>
              <w:ind w:right="90"/>
              <w:spacing w:after="0" w:line="176" w:lineRule="exact"/>
              <w:rPr>
                <w:sz w:val="20"/>
                <w:szCs w:val="20"/>
                <w:color w:val="auto"/>
              </w:rPr>
            </w:pPr>
            <w:r>
              <w:rPr>
                <w:rFonts w:ascii="Arial" w:cs="Arial" w:eastAsia="Arial" w:hAnsi="Arial"/>
                <w:sz w:val="18"/>
                <w:szCs w:val="18"/>
                <w:color w:val="auto"/>
              </w:rPr>
              <w:t>Emerging growth</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520" w:type="dxa"/>
            <w:vAlign w:val="bottom"/>
          </w:tcPr>
          <w:p>
            <w:pPr>
              <w:jc w:val="right"/>
              <w:ind w:right="90"/>
              <w:spacing w:after="0"/>
              <w:rPr>
                <w:sz w:val="20"/>
                <w:szCs w:val="20"/>
                <w:color w:val="auto"/>
              </w:rPr>
            </w:pPr>
            <w:r>
              <w:rPr>
                <w:rFonts w:ascii="Arial" w:cs="Arial" w:eastAsia="Arial" w:hAnsi="Arial"/>
                <w:sz w:val="18"/>
                <w:szCs w:val="18"/>
                <w:color w:val="auto"/>
              </w:rPr>
              <w:t>company</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October 29, 2021 was 54,412,116.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9"/>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gridSpan w:val="5"/>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229"/>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00" w:type="dxa"/>
            <w:vAlign w:val="bottom"/>
            <w:gridSpan w:val="10"/>
          </w:tcPr>
          <w:p>
            <w:pPr>
              <w:jc w:val="center"/>
              <w:ind w:right="322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0" w:type="dxa"/>
            <w:vAlign w:val="bottom"/>
          </w:tcPr>
          <w:p>
            <w:pPr>
              <w:spacing w:after="0"/>
              <w:rPr>
                <w:sz w:val="22"/>
                <w:szCs w:val="22"/>
                <w:color w:val="auto"/>
              </w:rPr>
            </w:pPr>
          </w:p>
        </w:tc>
        <w:tc>
          <w:tcPr>
            <w:tcW w:w="4040" w:type="dxa"/>
            <w:vAlign w:val="bottom"/>
            <w:gridSpan w:val="1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ITEM 1: Unaudited Financial Statements</w:t>
              </w:r>
            </w:hyperlink>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rFonts w:ascii="Arial" w:cs="Arial" w:eastAsia="Arial" w:hAnsi="Arial"/>
                <w:sz w:val="18"/>
                <w:szCs w:val="18"/>
                <w:color w:val="0000FF"/>
                <w:w w:val="85"/>
              </w:rPr>
            </w:pPr>
            <w:hyperlink w:anchor="page2">
              <w:r>
                <w:rPr>
                  <w:rFonts w:ascii="Arial" w:cs="Arial" w:eastAsia="Arial" w:hAnsi="Arial"/>
                  <w:sz w:val="18"/>
                  <w:szCs w:val="18"/>
                  <w:color w:val="0000FF"/>
                  <w:w w:val="85"/>
                </w:rPr>
                <w:t>Consolidated Balance Sheets</w:t>
              </w:r>
            </w:hyperlink>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Consolidated Statements of Operations</w:t>
              </w:r>
            </w:hyperlink>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Consolidated Statements of Comprehensive Income</w:t>
              </w:r>
            </w:hyperlink>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Stockholders’ Equity</w:t>
              </w:r>
            </w:hyperlink>
          </w:p>
        </w:tc>
        <w:tc>
          <w:tcPr>
            <w:tcW w:w="8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Notes to Unaudited Consolidated Financial Statements</w:t>
              </w:r>
            </w:hyperlink>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rFonts w:ascii="Arial" w:cs="Arial" w:eastAsia="Arial" w:hAnsi="Arial"/>
                <w:sz w:val="18"/>
                <w:szCs w:val="18"/>
                <w:b w:val="1"/>
                <w:bCs w:val="1"/>
                <w:color w:val="0000FF"/>
                <w:w w:val="90"/>
              </w:rPr>
            </w:pPr>
            <w:hyperlink w:anchor="page24">
              <w:r>
                <w:rPr>
                  <w:rFonts w:ascii="Arial" w:cs="Arial" w:eastAsia="Arial" w:hAnsi="Arial"/>
                  <w:sz w:val="18"/>
                  <w:szCs w:val="18"/>
                  <w:b w:val="1"/>
                  <w:bCs w:val="1"/>
                  <w:color w:val="0000FF"/>
                  <w:w w:val="90"/>
                </w:rPr>
                <w:t>ITEM 2: Management’s Discussion and Analysis of Financial Condition and Results of Operations</w:t>
              </w:r>
            </w:hyperlink>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22</w:t>
              </w:r>
            </w:hyperlink>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3: Quantitative and Qualitative Disclosures About Market Risk</w:t>
              </w:r>
            </w:hyperlink>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380" w:type="dxa"/>
            <w:vAlign w:val="bottom"/>
            <w:gridSpan w:val="19"/>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4: Controls and Procedures</w:t>
              </w:r>
            </w:hyperlink>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ITEM 1: Legal Proceedings</w:t>
              </w:r>
            </w:hyperlink>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120" w:type="dxa"/>
            <w:vAlign w:val="bottom"/>
            <w:gridSpan w:val="5"/>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1A: Risk Factors</w:t>
              </w:r>
            </w:hyperlink>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2: Unregistered Sales of Equity Securities and Use of Proceeds</w:t>
              </w:r>
            </w:hyperlink>
          </w:p>
        </w:tc>
        <w:tc>
          <w:tcPr>
            <w:tcW w:w="8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80" w:type="dxa"/>
            <w:vAlign w:val="bottom"/>
            <w:gridSpan w:val="18"/>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3: Defaults Upon Senior Securities</w:t>
              </w:r>
            </w:hyperlink>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4: Mine Safety Disclosures</w:t>
              </w:r>
            </w:hyperlink>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5: Other Information</w:t>
              </w:r>
            </w:hyperlink>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rFonts w:ascii="Arial" w:cs="Arial" w:eastAsia="Arial" w:hAnsi="Arial"/>
                <w:sz w:val="18"/>
                <w:szCs w:val="18"/>
                <w:b w:val="1"/>
                <w:bCs w:val="1"/>
                <w:color w:val="0000FF"/>
                <w:w w:val="96"/>
              </w:rPr>
            </w:pPr>
            <w:hyperlink w:anchor="page39">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60" w:type="dxa"/>
            <w:vAlign w:val="bottom"/>
            <w:gridSpan w:val="3"/>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Signatures</w:t>
              </w:r>
            </w:hyperlink>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c>
          <w:tcPr>
            <w:tcW w:w="20" w:type="dxa"/>
            <w:vAlign w:val="bottom"/>
          </w:tcPr>
          <w:p>
            <w:pPr>
              <w:spacing w:after="0"/>
              <w:rPr>
                <w:sz w:val="18"/>
                <w:szCs w:val="18"/>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December 31, 2020</w:t>
            </w:r>
          </w:p>
        </w:tc>
      </w:tr>
      <w:tr>
        <w:trPr>
          <w:trHeight w:val="216"/>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519,101</w:t>
            </w: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51,857</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$41,807 and $44,749,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611,534</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69,912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55,681</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220,498</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67,051</w:t>
            </w: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1,784,164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1,525,722</w:t>
            </w:r>
          </w:p>
        </w:tc>
      </w:tr>
      <w:tr>
        <w:trPr>
          <w:trHeight w:val="22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r>
      <w:tr>
        <w:trPr>
          <w:trHeight w:val="20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137,429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150,341</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527,023</w:t>
            </w: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366,497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386,620</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r>
      <w:tr>
        <w:trPr>
          <w:trHeight w:val="223"/>
        </w:trPr>
        <w:tc>
          <w:tcPr>
            <w:tcW w:w="80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1,080,500</w:t>
            </w:r>
          </w:p>
        </w:tc>
      </w:tr>
      <w:tr>
        <w:trPr>
          <w:trHeight w:val="248"/>
        </w:trPr>
        <w:tc>
          <w:tcPr>
            <w:tcW w:w="8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195,878</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295,823</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r>
      <w:tr>
        <w:trPr>
          <w:trHeight w:val="23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36,750</w:t>
            </w: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636,145</w:t>
            </w:r>
          </w:p>
        </w:tc>
      </w:tr>
      <w:tr>
        <w:trPr>
          <w:trHeight w:val="209"/>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$10,219 and $13,903,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74,023</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$13,069 and $12,190,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102,623</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1,549,641</w:t>
            </w: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114,258</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230,097</w:t>
            </w:r>
          </w:p>
        </w:tc>
      </w:tr>
      <w:tr>
        <w:trPr>
          <w:trHeight w:val="23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83,182</w:t>
            </w: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2,153,824</w:t>
            </w:r>
          </w:p>
        </w:tc>
      </w:tr>
      <w:tr>
        <w:trPr>
          <w:trHeight w:val="210"/>
        </w:trPr>
        <w:tc>
          <w:tcPr>
            <w:tcW w:w="8080" w:type="dxa"/>
            <w:vAlign w:val="bottom"/>
          </w:tcPr>
          <w:p>
            <w:pPr>
              <w:ind w:left="140"/>
              <w:spacing w:after="0"/>
              <w:rPr>
                <w:sz w:val="20"/>
                <w:szCs w:val="20"/>
                <w:color w:val="auto"/>
              </w:rPr>
            </w:pPr>
            <w:r>
              <w:rPr>
                <w:rFonts w:ascii="Arial" w:cs="Arial" w:eastAsia="Arial" w:hAnsi="Arial"/>
                <w:sz w:val="18"/>
                <w:szCs w:val="18"/>
                <w:color w:val="auto"/>
              </w:rPr>
              <w:t>Commitments and contingent liabilities (See Note 16)</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Authorized 80,000,000 shares; issued and outstanding 54,409,894 and 54,772,696 shares,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539,747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582,749</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(211,477)</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earnings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969,731</w:t>
            </w:r>
          </w:p>
        </w:tc>
      </w:tr>
      <w:tr>
        <w:trPr>
          <w:trHeight w:val="223"/>
        </w:trPr>
        <w:tc>
          <w:tcPr>
            <w:tcW w:w="8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1,341,551</w:t>
            </w:r>
          </w:p>
        </w:tc>
      </w:tr>
      <w:tr>
        <w:trPr>
          <w:trHeight w:val="223"/>
        </w:trPr>
        <w:tc>
          <w:tcPr>
            <w:tcW w:w="808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4,354,299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4,131,520</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744,549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681,306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2,141,820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2,039,012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308,895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2,686,085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2,347,907</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508,498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1,332,516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256,460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1,588,976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339,690</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221,497</w:t>
            </w: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189,595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Loss on sale of businesses</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Interest expense, net of interest income of $653, $1,236, $1,712 and $2,902,</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(54,848)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209,227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130,774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35,269</w:t>
            </w: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140"/>
              <w:spacing w:after="0" w:line="203" w:lineRule="exact"/>
              <w:rPr>
                <w:sz w:val="20"/>
                <w:szCs w:val="20"/>
                <w:color w:val="auto"/>
              </w:rPr>
            </w:pPr>
            <w:r>
              <w:rPr>
                <w:rFonts w:ascii="Arial" w:cs="Arial" w:eastAsia="Arial" w:hAnsi="Arial"/>
                <w:sz w:val="18"/>
                <w:szCs w:val="18"/>
                <w:color w:val="auto"/>
              </w:rPr>
              <w:t>Shares used to compute earnings per share - Basic</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54,411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55,592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54,553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55,646</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used to compute earnings per share - Diluted</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95,505</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gains on available-for-sale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Unrealized (losses) gains on interest rate hedge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Reclassification adjustment for losses on interest rate hedge included in net</w:t>
            </w: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23"/>
        </w:trPr>
        <w:tc>
          <w:tcPr>
            <w:tcW w:w="596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154,254</w:t>
            </w:r>
          </w:p>
        </w:tc>
        <w:tc>
          <w:tcPr>
            <w:tcW w:w="12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95,505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215,206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221,497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Other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Loss on sale of businesses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(113,601)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23,969</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Arial" w:cs="Arial" w:eastAsia="Arial" w:hAnsi="Arial"/>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(12,882)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(9,554)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(19,320)</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86,974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(63,898)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31,009</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368,226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317,432</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(146,654)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(150,357)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(8,839)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businesses, net of transactional costs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Purchases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(96,785)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(53,397)</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(169,267)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(160,296)</w:t>
            </w:r>
          </w:p>
        </w:tc>
        <w:tc>
          <w:tcPr>
            <w:tcW w:w="0" w:type="dxa"/>
            <w:vAlign w:val="bottom"/>
          </w:tcPr>
          <w:p>
            <w:pPr>
              <w:spacing w:after="0"/>
              <w:rPr>
                <w:sz w:val="1"/>
                <w:szCs w:val="1"/>
                <w:color w:val="auto"/>
              </w:rPr>
            </w:pPr>
          </w:p>
        </w:tc>
      </w:tr>
      <w:tr>
        <w:trPr>
          <w:trHeight w:val="193"/>
        </w:trPr>
        <w:tc>
          <w:tcPr>
            <w:tcW w:w="8060" w:type="dxa"/>
            <w:vAlign w:val="bottom"/>
          </w:tcPr>
          <w:p>
            <w:pPr>
              <w:ind w:left="120"/>
              <w:spacing w:after="0"/>
              <w:rPr>
                <w:sz w:val="20"/>
                <w:szCs w:val="20"/>
                <w:color w:val="auto"/>
              </w:rPr>
            </w:pPr>
            <w:r>
              <w:rPr>
                <w:rFonts w:ascii="Arial" w:cs="Arial" w:eastAsia="Arial" w:hAnsi="Arial"/>
                <w:sz w:val="16"/>
                <w:szCs w:val="16"/>
                <w:color w:val="auto"/>
              </w:rPr>
              <w:t>Cash flows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(7,383)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(39,542)</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Principal payments on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 from revolving credit facility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Payment on revolving credit facility</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3"/>
        </w:trPr>
        <w:tc>
          <w:tcPr>
            <w:tcW w:w="80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(71,762)</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(51,975)</w:t>
            </w: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127,562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519,101</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371,991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646,663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475,706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61,807</w:t>
            </w:r>
          </w:p>
        </w:tc>
        <w:tc>
          <w:tcPr>
            <w:tcW w:w="12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66,000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14,195</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Arial" w:cs="Arial" w:eastAsia="Arial" w:hAnsi="Arial"/>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11,732</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Arial" w:cs="Arial" w:eastAsia="Arial" w:hAnsi="Arial"/>
                <w:sz w:val="16"/>
                <w:szCs w:val="16"/>
                <w:color w:val="auto"/>
              </w:rPr>
              <w:t>ROU assets obtained in exchange for 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19,993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ROU assets obtained in exchange for finance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28,333</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3580" w:type="dxa"/>
            <w:vAlign w:val="bottom"/>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1"/>
              </w:rPr>
              <w:t>$0.01</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780" w:type="dxa"/>
            <w:vAlign w:val="bottom"/>
          </w:tcPr>
          <w:p>
            <w:pPr>
              <w:jc w:val="center"/>
              <w:ind w:left="281"/>
              <w:spacing w:after="0" w:line="135" w:lineRule="exact"/>
              <w:rPr>
                <w:sz w:val="20"/>
                <w:szCs w:val="20"/>
                <w:color w:val="auto"/>
              </w:rPr>
            </w:pPr>
            <w:r>
              <w:rPr>
                <w:rFonts w:ascii="Arial" w:cs="Arial" w:eastAsia="Arial" w:hAnsi="Arial"/>
                <w:sz w:val="14"/>
                <w:szCs w:val="14"/>
                <w:b w:val="1"/>
                <w:bCs w:val="1"/>
                <w:color w:val="auto"/>
                <w:w w:val="97"/>
              </w:rPr>
              <w:t>Par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Pr>
          <w:p>
            <w:pPr>
              <w:jc w:val="center"/>
              <w:ind w:left="28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1,341,551</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1,348,450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67,075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(18,863)</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1,409,587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65,443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1,463,560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UNAUDITED CONSOLIDATED STATEMENTS OF STOCKHOLDERS’ EQUITY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3580" w:type="dxa"/>
            <w:vAlign w:val="bottom"/>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1"/>
              </w:rPr>
              <w:t>$0.01</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780" w:type="dxa"/>
            <w:vAlign w:val="bottom"/>
          </w:tcPr>
          <w:p>
            <w:pPr>
              <w:jc w:val="center"/>
              <w:ind w:left="281"/>
              <w:spacing w:after="0" w:line="135" w:lineRule="exact"/>
              <w:rPr>
                <w:sz w:val="20"/>
                <w:szCs w:val="20"/>
                <w:color w:val="auto"/>
              </w:rPr>
            </w:pPr>
            <w:r>
              <w:rPr>
                <w:rFonts w:ascii="Arial" w:cs="Arial" w:eastAsia="Arial" w:hAnsi="Arial"/>
                <w:sz w:val="14"/>
                <w:szCs w:val="14"/>
                <w:b w:val="1"/>
                <w:bCs w:val="1"/>
                <w:color w:val="auto"/>
                <w:w w:val="97"/>
              </w:rPr>
              <w:t>Par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Pr>
          <w:p>
            <w:pPr>
              <w:jc w:val="center"/>
              <w:ind w:left="28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ind w:left="720"/>
              <w:spacing w:after="0"/>
              <w:rPr>
                <w:sz w:val="20"/>
                <w:szCs w:val="20"/>
                <w:color w:val="auto"/>
              </w:rPr>
            </w:pPr>
            <w:r>
              <w:rPr>
                <w:rFonts w:ascii="Arial" w:cs="Arial" w:eastAsia="Arial" w:hAnsi="Arial"/>
                <w:sz w:val="18"/>
                <w:szCs w:val="18"/>
                <w:color w:val="auto"/>
                <w:w w:val="95"/>
              </w:rPr>
              <w:t>(302)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1,205,805</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55,613</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556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629,755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(251,829)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875,489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1,253,971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12,385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175"/>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w w:val="92"/>
              </w:rPr>
              <w:t>Issuance of common stock for restricted share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(402)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55,246</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613,208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930,399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1,304,715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2020. There have been no material changes in these policies or their application except for the changes described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Operating Segments</w:t>
      </w:r>
    </w:p>
    <w:p>
      <w:pPr>
        <w:spacing w:after="0" w:line="158" w:lineRule="exact"/>
        <w:rPr>
          <w:sz w:val="20"/>
          <w:szCs w:val="20"/>
          <w:color w:val="auto"/>
        </w:rPr>
      </w:pPr>
    </w:p>
    <w:p>
      <w:pPr>
        <w:ind w:right="560" w:firstLine="648"/>
        <w:spacing w:after="0" w:line="257" w:lineRule="auto"/>
        <w:rPr>
          <w:sz w:val="20"/>
          <w:szCs w:val="20"/>
          <w:color w:val="auto"/>
        </w:rPr>
      </w:pPr>
      <w:r>
        <w:rPr>
          <w:rFonts w:ascii="Arial" w:cs="Arial" w:eastAsia="Arial" w:hAnsi="Arial"/>
          <w:sz w:val="18"/>
          <w:szCs w:val="18"/>
          <w:color w:val="auto"/>
        </w:rPr>
        <w:t>During the first quarter of 2021, the Company reorganized its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will encompass both sides of the spread the Company manages in its re-refinery business, and the Company expects this change to drive additional growth in its sustainable lubricant products and related services.</w:t>
      </w:r>
    </w:p>
    <w:p>
      <w:pPr>
        <w:spacing w:after="0" w:line="10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Concurrently with this change, the Company consolidated the Safety-Kleen Environmental branches' core offerings, including containerized waste, parts washer and vacuum services, into the legacy Clean Harbors Environmental Services sales and service operations. The Company expects this change to foster enhanced cross-selling opportunities within the environmental businesses and increase market presence with small quantity generators of hazardous waste.</w:t>
      </w:r>
    </w:p>
    <w:p>
      <w:pPr>
        <w:spacing w:after="0" w:line="1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restructuring the operations of the Company in this manner, the information that the chief operating decision maker regularly reviews for purposes of allocating resources and assessing performance changed to conform to this new operating structure of the business and the Company reevaluated the identification of its operating segments.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Environmental Services and Safety-Kleen Sustainability Solutions are the Company's operating segments and reportable segments starting in the first quarter of 2021, with the operations not managed through the Company's operating segments described above continuing to be recorded as Corporate Items. See Note 17, "Segment Reporting" for more information. The amounts presented for the three and nine months ended September 30, 2020 and any segment information presented as of December 31, 2020 have been recast to reflect the impact of such changes. In addition, certain intercompany transactions previously recorded in Corporate Items have been allocated to the segments. These reclassifications and adjustments had no effect on the consolidated statements of operations, consolidated statements of comprehensive income (loss), consolidated statements of cash flows or consolidated statements of stockholders' equity for any of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6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 generates revenues through its Environmental Services and Safety-Kleen Sustainability Solutions operating segments. The Company's Environmental Services operating segment has four sources of revenue and the Safety-Kleen Sustainability Solutions operating segment has two sources of revenue.</w:t>
      </w:r>
    </w:p>
    <w:p>
      <w:pPr>
        <w:spacing w:after="0" w:line="10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Technical Services</w:t>
      </w:r>
      <w:r>
        <w:rPr>
          <w:rFonts w:ascii="Arial" w:cs="Arial" w:eastAsia="Arial" w:hAnsi="Arial"/>
          <w:sz w:val="16"/>
          <w:szCs w:val="16"/>
          <w:color w:val="auto"/>
        </w:rPr>
        <w:t>—Technical Services contribute to the revenues of the Environmental Services operating segment. These services are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fees charged for waste material management and disposal services including 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9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Field and Emergency Response Services</w:t>
      </w:r>
      <w:r>
        <w:rPr>
          <w:rFonts w:ascii="Arial" w:cs="Arial" w:eastAsia="Arial" w:hAnsi="Arial"/>
          <w:sz w:val="16"/>
          <w:szCs w:val="16"/>
          <w:color w:val="auto"/>
        </w:rPr>
        <w:t>—Field and Emergency Response Services contribute to the revenues of the Environmental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segment. Field Services revenues are generated from cleanup services at customer sites, including municipalities 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and more recently,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Industrial Services and Other</w:t>
      </w:r>
      <w:r>
        <w:rPr>
          <w:rFonts w:ascii="Arial" w:cs="Arial" w:eastAsia="Arial" w:hAnsi="Arial"/>
          <w:sz w:val="16"/>
          <w:szCs w:val="16"/>
          <w:color w:val="auto"/>
        </w:rPr>
        <w:t>—Industrial Services contribute to the revenues of the Environmental Services operating segment. These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and high and ultra-high pressure water cleaning,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8"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i w:val="1"/>
          <w:iCs w:val="1"/>
          <w:color w:val="auto"/>
        </w:rPr>
        <w:t>Safety-Kleen Environmental Services</w:t>
      </w:r>
      <w:r>
        <w:rPr>
          <w:rFonts w:ascii="Arial" w:cs="Arial" w:eastAsia="Arial" w:hAnsi="Arial"/>
          <w:sz w:val="16"/>
          <w:szCs w:val="16"/>
          <w:color w:val="auto"/>
        </w:rPr>
        <w:t>—Safety-Kleen Environmental Services revenues contribute both to the Environmental Services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and the Safety-Kleen Sustainability Solutions operating segment depending upon the nature of such revenues and operating responsibilities relative to satisfying the related performance obligations. Revenues from providing containerized waste handling and disposal services, parts washer services and vacuum services, referred to collectively as the Safety-Kleen Environmental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9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the service related revenue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i w:val="1"/>
          <w:iCs w:val="1"/>
          <w:color w:val="auto"/>
        </w:rPr>
        <w:t>Safety-Kleen Oil</w:t>
      </w:r>
      <w:r>
        <w:rPr>
          <w:rFonts w:ascii="Arial" w:cs="Arial" w:eastAsia="Arial" w:hAnsi="Arial"/>
          <w:sz w:val="16"/>
          <w:szCs w:val="16"/>
          <w:color w:val="auto"/>
        </w:rPr>
        <w:t>—Safety-Kleen Oil revenues contribute to the revenues of the Safety-Kleen Sustainability Solutions segment. These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2"/>
              </w:rPr>
              <w:t>For the Three Months Ended September 30,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3"/>
              </w:rPr>
              <w:t>Environmental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632,755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185,096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817,910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743,831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207,589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951,479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203,570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743,831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207,589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951,479</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2"/>
              </w:rPr>
              <w:t>For the Three Months Ended September 30, 2020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3"/>
              </w:rPr>
              <w:t>Environmental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554,050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112,785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666,649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779,344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257,612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115,989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49,949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203,455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651,689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127,583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1"/>
          </w:tcPr>
          <w:p>
            <w:pPr>
              <w:ind w:left="80"/>
              <w:spacing w:after="0"/>
              <w:rPr>
                <w:sz w:val="20"/>
                <w:szCs w:val="20"/>
                <w:color w:val="auto"/>
              </w:rPr>
            </w:pPr>
            <w:r>
              <w:rPr>
                <w:rFonts w:ascii="Arial" w:cs="Arial" w:eastAsia="Arial" w:hAnsi="Arial"/>
                <w:sz w:val="16"/>
                <w:szCs w:val="16"/>
                <w:b w:val="1"/>
                <w:bCs w:val="1"/>
                <w:color w:val="auto"/>
                <w:w w:val="93"/>
              </w:rPr>
              <w:t>For the Nine Months Ended September 30,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1,824,848</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504,302</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2,329,367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2,119,856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2,686,085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887,063</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328,831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478,808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597,790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2,119,856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2,686,085</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ind w:left="60"/>
              <w:spacing w:after="0"/>
              <w:rPr>
                <w:sz w:val="20"/>
                <w:szCs w:val="20"/>
                <w:color w:val="auto"/>
              </w:rPr>
            </w:pPr>
            <w:r>
              <w:rPr>
                <w:rFonts w:ascii="Arial" w:cs="Arial" w:eastAsia="Arial" w:hAnsi="Arial"/>
                <w:sz w:val="16"/>
                <w:szCs w:val="16"/>
                <w:b w:val="1"/>
                <w:bCs w:val="1"/>
                <w:color w:val="auto"/>
                <w:w w:val="94"/>
              </w:rPr>
              <w:t>For the Nine Months Ended September 30, 2020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1,704,945</w:t>
            </w:r>
          </w:p>
        </w:tc>
        <w:tc>
          <w:tcPr>
            <w:tcW w:w="20" w:type="dxa"/>
            <w:vAlign w:val="bottom"/>
          </w:tcPr>
          <w:p>
            <w:pPr>
              <w:spacing w:after="0"/>
              <w:rPr>
                <w:sz w:val="19"/>
                <w:szCs w:val="19"/>
                <w:color w:val="auto"/>
              </w:rPr>
            </w:pP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340,226</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2,044,523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2,347,907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774,814</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349,254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612,808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Contract Balances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ands)</w:t>
            </w:r>
          </w:p>
        </w:tc>
        <w:tc>
          <w:tcPr>
            <w:tcW w:w="258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 2021</w:t>
            </w:r>
          </w:p>
        </w:tc>
        <w:tc>
          <w:tcPr>
            <w:tcW w:w="1920" w:type="dxa"/>
            <w:vAlign w:val="bottom"/>
            <w:gridSpan w:val="3"/>
          </w:tcPr>
          <w:p>
            <w:pPr>
              <w:jc w:val="right"/>
              <w:ind w:right="35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520" w:type="dxa"/>
            <w:vAlign w:val="bottom"/>
            <w:gridSpan w:val="2"/>
          </w:tcPr>
          <w:p>
            <w:pPr>
              <w:spacing w:after="0"/>
              <w:rPr>
                <w:sz w:val="20"/>
                <w:szCs w:val="20"/>
                <w:color w:val="auto"/>
              </w:rPr>
            </w:pPr>
            <w:r>
              <w:rPr>
                <w:rFonts w:ascii="Arial" w:cs="Arial" w:eastAsia="Arial" w:hAnsi="Arial"/>
                <w:sz w:val="18"/>
                <w:szCs w:val="18"/>
                <w:color w:val="auto"/>
              </w:rPr>
              <w:t>ables</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703,199$</w:t>
            </w:r>
          </w:p>
        </w:tc>
        <w:tc>
          <w:tcPr>
            <w:tcW w:w="100" w:type="dxa"/>
            <w:vAlign w:val="bottom"/>
            <w:vMerge w:val="continue"/>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611,534</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ct assets (unbilled receivables)</w:t>
            </w:r>
          </w:p>
        </w:tc>
        <w:tc>
          <w:tcPr>
            <w:tcW w:w="258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69,912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55,681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Arial" w:cs="Arial" w:eastAsia="Arial" w:hAnsi="Arial"/>
                <w:sz w:val="13"/>
                <w:szCs w:val="13"/>
                <w:color w:val="auto"/>
                <w:w w:val="78"/>
              </w:rPr>
              <w:t>ct</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(deferred revenue)</w:t>
            </w:r>
          </w:p>
        </w:tc>
        <w:tc>
          <w:tcPr>
            <w:tcW w:w="258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86,589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-445135</wp:posOffset>
            </wp:positionV>
            <wp:extent cx="672084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9" w:lineRule="exact"/>
        <w:rPr>
          <w:sz w:val="20"/>
          <w:szCs w:val="20"/>
          <w:color w:val="auto"/>
        </w:rPr>
      </w:pPr>
    </w:p>
    <w:p>
      <w:pPr>
        <w:ind w:left="100" w:right="60" w:firstLine="648"/>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58" w:lineRule="exact"/>
        <w:rPr>
          <w:sz w:val="20"/>
          <w:szCs w:val="20"/>
          <w:color w:val="auto"/>
        </w:rPr>
      </w:pPr>
    </w:p>
    <w:p>
      <w:pPr>
        <w:jc w:val="both"/>
        <w:ind w:left="100" w:right="80" w:firstLine="648"/>
        <w:spacing w:after="0" w:line="263" w:lineRule="auto"/>
        <w:rPr>
          <w:sz w:val="20"/>
          <w:szCs w:val="20"/>
          <w:color w:val="auto"/>
        </w:rPr>
      </w:pPr>
      <w:r>
        <w:rPr>
          <w:rFonts w:ascii="Arial" w:cs="Arial" w:eastAsia="Arial" w:hAnsi="Arial"/>
          <w:sz w:val="18"/>
          <w:szCs w:val="18"/>
          <w:color w:val="auto"/>
        </w:rPr>
        <w:t>On March 27, 2021, the Company acquired a privately-owned business for $22.8 million cash consideration. The acquired company increases the Safety-Kleen Sustainability Solutions segment's network within the south central United States. In connection with this acquisition, a preliminary goodwill amount of $15.9 million was recognized.</w:t>
      </w:r>
    </w:p>
    <w:p>
      <w:pPr>
        <w:sectPr>
          <w:pgSz w:w="11900" w:h="16838" w:orient="portrait"/>
          <w:cols w:equalWidth="0" w:num="1">
            <w:col w:w="11340"/>
          </w:cols>
          <w:pgMar w:left="2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October 8, 2021, the Company completed its previously announced proposed acquisition of LJ Energy Services Intermediate Holding Corp. and its subsidiaries (collectively, “HydroChemPSC”), a privately owned company. HydroChemPSC is a leading U.S. provider of industrial cleaning, specialty maintenance and utilities services with annual revenues of $715.3 million in 2020. The acquired operations, including more than 4,500 employees, over 240 service locations and a fleet of specialized vehicles and equipment, will enhance the Company's Environmental Services Segment. The Company paid an all-cash purchase price for HydroChemPSC of approximately $1.24 billion, subject to customary adjustments (e.g. working capital). The Company financed the purchase with the net proceeds of $983.0 million from the Company’s issuance of $1.0 billion of term loans on October 8, 2021. The remainder of the purchase price was funded through existing cash. See Note 11, "Financing Arrangements" for additional information regarding the issuance of the term loans.</w:t>
      </w:r>
    </w:p>
    <w:p>
      <w:pPr>
        <w:spacing w:after="0" w:line="1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acquisition of HydroChemPSC will be accounted for as a business combination and will be included in the Company's consolidated financial statements starting in periods after October 8, 2021. The allocation of the purchase price is incomplete due to the timing of the completion of the acquisition. Any excess of the purchase price over the fair value of the underlying tangible and identifiable intangible assets acquired and liabilities assumed will be recognized as goodwill. The Company believes that any goodwill recognized is primarily attributable to anticipated synergies, assembled workforce and new market opportunities that Clean Harbors believes will result from acquiring the operations of HydroChemPSC. Goodwill attributable to the acquisition of HydroChemPSC is preliminarily anticipated to range from 40% - 50% of the purchase price and is not expected to be deductible for tax purposes.</w:t>
      </w:r>
    </w:p>
    <w:p>
      <w:pPr>
        <w:spacing w:after="0" w:line="12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June 29, 2021, the Company signed a definitive agreement with Vertex Energy, Inc. ("Vertex") to acquire certain assets related to Vertex's used motor oil collection and re-refinery business in an all-cash transaction for $140.0 million, subject to working capital and other adjustments. The Company intends to fund the acquisition with available cash. The acquisition will include re-refineries in Marrero, Louisiana and Columbus, Ohio and service locations throughout the Midwest and Gulf Coast, as well as certain associated equipment and an assembled workforce. The acquisition was approved by Vertex shareholders on September 28, 2021; however, the transaction remains subject to approval by U.S. regulators and other customary closing conditions and is currently anticipated to close in 2022. The acquisition will expand the Safety-Kleen Sustainability Solutions segment's oil re-refining capacity and collection and distribution network.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44"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On April 17, 2020, the Company acquired a privately-owned business for $8.8 million cash consideration. The acquired company expands the Safety-Kleen Sustainability Solutions segment's oil re-refining operations to the northeast United States. In connection with this acquisition, a goodwill amount of $1.4 million was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December 31, 2020</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Supplies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120,007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Supplies consists primarily of critical spare parts to support the Company's incinerator and re-refinery operations, personal protective equipment and other general supplies used in our normal day-to-day operations. Other inventories consists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2020</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16,407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r>
      <w:tr>
        <w:trPr>
          <w:trHeight w:val="230"/>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524,397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509,804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 equipment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159,021</w:t>
            </w:r>
          </w:p>
        </w:tc>
      </w:tr>
      <w:tr>
        <w:trPr>
          <w:trHeight w:val="229"/>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864,808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844,026</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1,807,235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7,082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24,378</w:t>
            </w:r>
          </w:p>
        </w:tc>
      </w:tr>
      <w:tr>
        <w:trPr>
          <w:trHeight w:val="223"/>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3,782,092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3,699,416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2,273,736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2,174,118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r>
      <w:tr>
        <w:trPr>
          <w:trHeight w:val="21"/>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right-of-use ("ROU") assets classified as finance leases of $8.9 million in both periods.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$65.9 million and $47.2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$9.3 million in both periods.</w:t>
      </w:r>
    </w:p>
    <w:p>
      <w:pPr>
        <w:spacing w:after="0" w:line="14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Depreciation expense, inclusive of landfill and finance lease amortization, was $63.9 million and $192.3 million for the three and nine months ended September 30, 2021, respectively. Depreciation expense, inclusive of landfill and finance lease amortization, was $64.9 million and $193.9 million for the three and nine months ended September 30,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nine months ended September 30, 2021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213"/>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527,023</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543,028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balances in the table above have been recast to reflect the Company's segment change in the first quarter of 2021. As discussed in Note 17, "Segment Reporting," as a result of operational and managerial changes, the Company changed its operating segments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addition, the Company concluded that, for purposes of reviewing for potential goodwill impairment, it now has three reporting units.</w:t>
      </w:r>
      <w:r>
        <w:rPr>
          <w:rFonts w:ascii="Arial" w:cs="Arial" w:eastAsia="Arial" w:hAnsi="Arial"/>
          <w:sz w:val="16"/>
          <w:szCs w:val="16"/>
          <w:i w:val="1"/>
          <w:iCs w:val="1"/>
          <w:color w:val="auto"/>
        </w:rPr>
        <w:t xml:space="preserve"> </w:t>
      </w:r>
      <w:r>
        <w:rPr>
          <w:rFonts w:ascii="Arial" w:cs="Arial" w:eastAsia="Arial" w:hAnsi="Arial"/>
          <w:sz w:val="16"/>
          <w:szCs w:val="16"/>
          <w:color w:val="auto"/>
        </w:rPr>
        <w:t>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and December 31, 2020, the Company's intangible assets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2021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Amortization</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Amortization</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382,083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170,188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amortizable permits and other intangible assets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263,464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691,342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324,845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728,292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386,620</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Amortization expense of permits, customer and supplier relationships and other intangible assets was $7.6 million and $22.9 million in the three and nine months ended September 30, 2021, respectively. Amortization expense of permits, customer and supplier relationships and other intangible assets was $9.6 million and $27.6 million in the three and nine months ended September 30, 2020, respectively. The gross cost and accumulated amortization decreases in total amortizable permits and other intangible assets are attributable to writing off fully amortized intangible assets with a cost of $39.7 million during the nine months ended September 30, 2021.</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September 30, 2021 was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Expected Amortization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(three months)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30,002</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25,674</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24,180</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Accrued income, real estate, sales and other taxes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29,629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to closure and post-closure liabilities (also referred to as “asset retirement obligations”) from January 1, 2021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the nine months ended September 30, 2021, there were no significant charges (benefits) resulting from changes in estimates for closure and post-closure liabilities.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nine months of 2021 were discounted at the credit-adjusted risk-free rate of 4.84%.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2021 through September 30, 2021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110,816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In the nine months ended September 30, 2021, there were no significant (benefits) charges resulting from changes in estimates for remedial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Current Debt:</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Secured senior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Long-Term Debt:</w:t>
            </w:r>
          </w:p>
        </w:tc>
        <w:tc>
          <w:tcPr>
            <w:tcW w:w="6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 ("2024 Term 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713,975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719,626</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at par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1,558,975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1,564,626</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Unamortized debt issuance costs and premium, net</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 at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As of September 30, 2021 and December 31, 2020, the estimated fair value of the Company’s outstanding long-term debt, including the current portion, was $1.6 billion.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9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maintains a $400.0 million revolving credit facility under which the Company had no outstanding loan balances as of September 30, 2021 and December 31, 2020. As of September 30, 2021, the Company had $288.5 million available to borrow under the revolving credit facility and outstanding letters of credit were $111.5 million. This credit facility will expire in October 2025.</w:t>
      </w:r>
    </w:p>
    <w:p>
      <w:pPr>
        <w:spacing w:after="0" w:line="10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October 8, 2021, the Company, and substantially all of the Company’s domestic subsidiaries as guarantors, entered into Incremental Facility Amendment No. 2 to the Company’s existing Credit Agreement dated as of June 30, 2017 (the “Term Loan Agreement”). Incremental Facility Amendment No. 2 provides for a new class and series of Term Loans (the “2028 Term Loans”) in the aggregate principal amount of $1.0 billion. Proceeds from the issuance of the 2028 Term Loans were $983.0 million, after debt discount and debt issuance costs and were used to fund the acquisition of HydroChemPSC on October 8, 2021. The 2028 Term Loans are in addition to the aggregate of $721.5 million of 2024 Term Loans which were at September 30, 2021 and are also outstanding under the Term Loan Agreement and which will mature on June 30, 2024. The 2028 Term Loans will mature on October 8, 2028, and may be prepaid at any time without premium or penalty other than customary breakage costs with respect to Eurodollar based loans or if the Company engages in certain repricing transactions before May 9, 2022, in which event a 1.0% prepayment premium would be due. The Company’s obligations under the Term Loan Agreement with respect to both the 2024 Term Loans and the 2028 Term Loans are guaranteed by all of the Company’s domestic restricted subsidiaries and secured by liens on substantially all of the assets of the Company and the guarantors.</w:t>
      </w:r>
    </w:p>
    <w:p>
      <w:pPr>
        <w:spacing w:after="0" w:line="19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2028 Term Loans under the Term Loan Agreement bear interest, at the Company’s election, at either of the following rates: (a) the sum of the Eurodollar Rate (as defined in the Term Loan Agreement) plus 2.00%, or (b) the sum of the Base Rate (as defined in the Term Loan Agreement) plus 1.00%, with the Eurodollar Rate being subject to a floor of 0.00% and the Base Rate being subject to a floor of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6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Company’s strategy to hedge against fluctuations in variable interest rates involves entering into interest rate derivative agreements. Although the interest rates on the 2024 Term Loans and the 2028 Term Loans are variable, the Company has effectively fixed the interest rate on $350.0 million aggregate principal amount of the 2024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2.92%, resulting in an effective annual interest rate of 4.67%. The interest rate swap agreements terminate in 2024.</w:t>
      </w:r>
    </w:p>
    <w:p>
      <w:pPr>
        <w:spacing w:after="0" w:line="9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September 30, 2021 and December 31, 2020, the Company has recorded a derivative liability with a fair value of $23.5 million and $33.6 million, respectively, within accrued expenses and other current liabilities in connection with these cash flow hedges.</w:t>
      </w:r>
    </w:p>
    <w:p>
      <w:pPr>
        <w:spacing w:after="0" w:line="10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10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effective tax rate for the three and nine months ended September 30, 2021 was 24.8% and 26.3%, compared to 20.0% and 27.0%, respectively, for the comparable periods in 2020.</w:t>
      </w:r>
    </w:p>
    <w:p>
      <w:pPr>
        <w:spacing w:after="0" w:line="1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2021 and December 31, 2020, the Company had recorded $5.4 million and $5.5 million, respectively, of gross liabilities for unrecognized tax benefits and $2.2 million and $2.1 million, respectively, of accrued interest.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520" w:type="dxa"/>
            <w:vAlign w:val="bottom"/>
            <w:gridSpan w:val="4"/>
          </w:tcPr>
          <w:p>
            <w:pPr>
              <w:jc w:val="right"/>
              <w:ind w:right="152"/>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9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65,443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54,910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95,505</w:t>
            </w:r>
          </w:p>
        </w:tc>
      </w:tr>
      <w:tr>
        <w:trPr>
          <w:trHeight w:val="196"/>
        </w:trPr>
        <w:tc>
          <w:tcPr>
            <w:tcW w:w="4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shares outstanding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54,411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outstanding stock awards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48"/>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Dilutive shares outstanding</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54,707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earnings per share:</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For the three months ended September 30, 2021 and September 30, 2020, all then outstanding performance awards and restricted stock awards were included in the calculation of diluted earnings per share except for 67,019 and 235,806, respectively, of performance stock awards for which the performance criteria were not attained at the reporting dates and 38,250 and 16,183, respectively, of restricted stock awards which were excluded as their inclusion would have an antidilutive effect.</w:t>
      </w:r>
    </w:p>
    <w:p>
      <w:pPr>
        <w:spacing w:after="0" w:line="10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For the nine months ended September 30, 2021 and September 30, 2020, all then outstanding performance awards and restricted stock awards were included in the calculation of diluted earnings per share except for 67,019 and 235,806, respectively, of performance stock awards for which the performance criteria were not attained at the reporting dates and 39,750 and 14,516, respectively, of restricted stock awards which were excluded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62"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changes in accumulated other comprehensive loss by component and related tax impacts for the nine months ended September 30, 2021 were as follows (in thousands):</w:t>
      </w:r>
    </w:p>
    <w:tbl>
      <w:tblPr>
        <w:tblLayout w:type="fixed"/>
        <w:tblInd w:w="0" w:type="dxa"/>
        <w:tblCellMar>
          <w:top w:w="0" w:type="dxa"/>
          <w:left w:w="0" w:type="dxa"/>
          <w:bottom w:w="0" w:type="dxa"/>
          <w:right w:w="0" w:type="dxa"/>
        </w:tblCellMar>
      </w:tblPr>
      <w:tr>
        <w:trPr>
          <w:trHeight w:val="163"/>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1360" w:type="dxa"/>
            <w:vAlign w:val="bottom"/>
            <w:gridSpan w:val="3"/>
          </w:tcPr>
          <w:p>
            <w:pPr>
              <w:jc w:val="center"/>
              <w:ind w:right="120"/>
              <w:spacing w:after="0" w:line="163" w:lineRule="exact"/>
              <w:rPr>
                <w:sz w:val="20"/>
                <w:szCs w:val="20"/>
                <w:color w:val="auto"/>
              </w:rPr>
            </w:pPr>
            <w:r>
              <w:rPr>
                <w:rFonts w:ascii="Arial" w:cs="Arial" w:eastAsia="Arial" w:hAnsi="Arial"/>
                <w:sz w:val="16"/>
                <w:szCs w:val="16"/>
                <w:b w:val="1"/>
                <w:bCs w:val="1"/>
                <w:color w:val="auto"/>
                <w:w w:val="92"/>
              </w:rPr>
              <w:t>Unrealized Gains</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6"/>
              </w:rPr>
              <w:t>(Losses) on</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(Losses) Gains</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Losses on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Currency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Available-For-</w:t>
            </w:r>
          </w:p>
        </w:tc>
        <w:tc>
          <w:tcPr>
            <w:tcW w:w="13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on Interest Rate</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Unfunded</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Sale Securities</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Hedge</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Pension Liability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1"/>
              </w:rPr>
              <w:t>(1,749)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Amounts reclassified out of accumulated other comprehensive</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1"/>
              </w:rPr>
              <w:t>(1,749)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(200,716)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amount reclassified out of accumulated other comprehensive loss into the consolidated statement of operations, with presentation location, during the three and nine months ended September 30, 2021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 the Three Months</w:t>
            </w:r>
          </w:p>
        </w:tc>
        <w:tc>
          <w:tcPr>
            <w:tcW w:w="14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For the Nine Months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Other Comprehensive Income (Loss) Component</w:t>
            </w:r>
          </w:p>
        </w:tc>
        <w:tc>
          <w:tcPr>
            <w:tcW w:w="100" w:type="dxa"/>
            <w:vAlign w:val="bottom"/>
          </w:tcPr>
          <w:p>
            <w:pPr>
              <w:spacing w:after="0"/>
              <w:rPr>
                <w:sz w:val="14"/>
                <w:szCs w:val="14"/>
                <w:color w:val="auto"/>
              </w:rPr>
            </w:pPr>
          </w:p>
        </w:tc>
        <w:tc>
          <w:tcPr>
            <w:tcW w:w="17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Ended September 30,</w:t>
            </w:r>
          </w:p>
        </w:tc>
        <w:tc>
          <w:tcPr>
            <w:tcW w:w="140" w:type="dxa"/>
            <w:vAlign w:val="bottom"/>
          </w:tcPr>
          <w:p>
            <w:pPr>
              <w:spacing w:after="0"/>
              <w:rPr>
                <w:sz w:val="14"/>
                <w:szCs w:val="14"/>
                <w:color w:val="auto"/>
              </w:rPr>
            </w:pPr>
          </w:p>
        </w:tc>
        <w:tc>
          <w:tcPr>
            <w:tcW w:w="17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Ended September 30,</w:t>
            </w:r>
          </w:p>
        </w:tc>
        <w:tc>
          <w:tcPr>
            <w:tcW w:w="338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213"/>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7"/>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interest rate hedge</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6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Total stock-based compensation cost charged to selling, general and administrative expenses for the three and nine months ended September 30, 2021 was $6.0 million and $12.8 million, respectively. Total stock-based compensation cost charged to selling, general and administrative expenses for the three and nine months ended September 30, 2020 was $6.7 million and $12.7 million, respectively. The total income tax benefit recognized in the consolidated statements of operations from stock-based compensation expense for the three and nine months ended September 30, 2021 was $1.3 million and $2.8 million, respectively. The total income tax benefit recognized in the consolidated statements of operations from stock-based compensation expense for the three and nine months ended September 30, 2020 was $1.7 million and $2.9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nine months ended September 30,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w w:val="98"/>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174,225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2021, there was $26.3 million of total unrecognized compensation cost arising from restricted stock awards. This cost is expected to be recognized over a weighted average period of 3.0 years. The total fair value of restricted stock vested during the three and nine months ended September 30, 2021 was $7.4 million and $16.3 million, respectively. The total fair value of restricted stock vested during the three and nine months ended September 30, 2020 was $3.1 million and $12.8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Adjusted EBITDA Margin, Adjusted Free Cash Flow, Return on Invested Capital and Total Recordable Incident Rate. In addition, performance stock awards include continued service conditions.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nine months ended September 30,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 Stock</w:t>
            </w:r>
          </w:p>
        </w:tc>
        <w:tc>
          <w:tcPr>
            <w:tcW w:w="150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8"/>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8"/>
              </w:rPr>
              <w:t>254,449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ind w:left="840"/>
              <w:spacing w:after="0"/>
              <w:rPr>
                <w:sz w:val="20"/>
                <w:szCs w:val="20"/>
                <w:color w:val="auto"/>
              </w:rPr>
            </w:pPr>
            <w:r>
              <w:rPr>
                <w:rFonts w:ascii="Arial" w:cs="Arial" w:eastAsia="Arial" w:hAnsi="Arial"/>
                <w:sz w:val="18"/>
                <w:szCs w:val="18"/>
                <w:color w:val="auto"/>
                <w:w w:val="98"/>
              </w:rPr>
              <w:t>134,931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(71,815)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2"/>
              </w:rPr>
              <w:t>(26,191)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291,374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of September 30, 2021, there was $10.0 million of total unrecognized compensation cost arising from unvested performance stock awards deemed probable of vesting. No performance awards vested during the three months ended September 30, 2021 and September 30, 2020. The total fair value of performance awards vested during the nine months ended September 30, 2021 and September 30, 2020 was $6.4 million and $1.3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9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September 30, 2021 and December 31, 2020, the Company had recorded reserves of $30.4 million and $29.8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September 30, 2021 and December 31, 2020, the $30.4 million and $29.8 million, respectively, of reserves consisted of (i) $23.2 million and $24.0 million, respectively, related to pending legal or administrative proceedings, including Superfund liabilities, which were included in remedial liabilities on the consolidated balance sheets, and (ii) $7.2 million and $5.8 million, respectively, primarily related to federal, state and provincial enforcement actions, which were included in accrued expenses and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the Company's principal legal and administrative proceedings were as follows:</w:t>
      </w:r>
    </w:p>
    <w:p>
      <w:pPr>
        <w:spacing w:after="0" w:line="144"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September 30, 2021 were as follows:</w:t>
      </w:r>
    </w:p>
    <w:p>
      <w:pPr>
        <w:spacing w:after="0" w:line="1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69 proceedings (excluding cases which have been settled but not formally dismissed) as of September 30, 2021,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1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2021. From January 1, 2021 to September 30, 2021, 12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58"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wastes. Of the 125 third-party sites, 30 are now settled, 15 are currently requiring expenditures on remediation and 80 are not currently requiring expenditures on remediation.</w:t>
      </w:r>
    </w:p>
    <w:p>
      <w:pPr>
        <w:spacing w:after="0" w:line="9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131 Superfund related sites.</w:t>
      </w:r>
    </w:p>
    <w:p>
      <w:pPr>
        <w:spacing w:after="0" w:line="1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any such changes are not expected to have a future material effect on the Company's financial position, liquidity or results of operation.</w:t>
      </w:r>
    </w:p>
    <w:p>
      <w:pPr>
        <w:spacing w:after="0" w:line="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Superfund sites at which the Company has been notified it is a PRP or potential PRP or may have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obligations, the Company has an indemnification agreement at a total of 18 sites. These agreements indemnify the Company (which now includes Safety-Kleen) with respect to any liability at the 18 sites for waste disposed prior to the Company's (or Safety-Kleen's) acquisition of the former subsidiaries of Waste Management, McKesson and one other entity which had shipped wastes to those sites. Accordingly, the indemnifying parties are paying all costs of defending those subsidiaries in those 18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125 third-party sites discussed above.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September 30, 2021 there was one proceeding for which the Company reasonably believes that the sanctions could equal or exceed $1.0 million, and none as of December 31, 2020. The Company believes that the fines or other penalties in these or any of the other regulatory proceedings will not, individually or in the aggregate, have a material effect on its financial condition,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Segment reporting is prepared on the same basis that the Company's chief executive officer, who is the Company's chief operating decision maker, manages the business, makes operating decisions and assesses performance. As described in the "</w:t>
      </w:r>
      <w:r>
        <w:rPr>
          <w:rFonts w:ascii="Arial" w:cs="Arial" w:eastAsia="Arial" w:hAnsi="Arial"/>
          <w:sz w:val="17"/>
          <w:szCs w:val="17"/>
          <w:i w:val="1"/>
          <w:iCs w:val="1"/>
          <w:color w:val="auto"/>
        </w:rPr>
        <w:t>Changes in Operating Segments"</w:t>
      </w:r>
      <w:r>
        <w:rPr>
          <w:rFonts w:ascii="Arial" w:cs="Arial" w:eastAsia="Arial" w:hAnsi="Arial"/>
          <w:sz w:val="17"/>
          <w:szCs w:val="17"/>
          <w:color w:val="auto"/>
        </w:rPr>
        <w:t xml:space="preserve"> section of Note 2, "Significant Accounting Policies," during the first quarter of 2021, certain of the Company's businesses undertook a reorganization which included changes to the underlying business and management structures. The Company's chief operating decision maker also requested changes in the information that he regularly reviews for purposes of allocating resources and assessing performance so that the information would align with the new operating structure of the business. Due to these changes the Company reassessed its operating segment conclusions in the first quarter of 2021 which resulted in a change in the operating segments. The Company consolidated the core services of Safety-Kleen Environmental Services into its Environmental Services segment, eliminated its Safety-Kleen segment and created the Safety-Kleen Sustainability Solutions segment. In addition, certain intercompany transactions previously recorded as Corporate Items have been allocated to the segments. All the historical balances presented below have been recast to reflect the impact of these changes.</w:t>
      </w:r>
    </w:p>
    <w:p>
      <w:pPr>
        <w:spacing w:after="0" w:line="11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outside customers. The intersegment revenues are shown net. The operations not managed through the Company’s operating segments described above are recorded as “Corporate Items.”</w:t>
      </w:r>
    </w:p>
    <w:p>
      <w:pPr>
        <w:spacing w:after="0" w:line="1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third-party revenues to direct revenues for the three and nine months ended September 30, 2021 and September 30,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6"/>
                <w:szCs w:val="16"/>
                <w:b w:val="1"/>
                <w:bCs w:val="1"/>
                <w:color w:val="auto"/>
                <w:w w:val="92"/>
              </w:rPr>
              <w:t>For the Three Months Ended September 30,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9"/>
          </w:tcPr>
          <w:p>
            <w:pPr>
              <w:jc w:val="right"/>
              <w:ind w:right="292"/>
              <w:spacing w:after="0"/>
              <w:rPr>
                <w:sz w:val="20"/>
                <w:szCs w:val="20"/>
                <w:color w:val="auto"/>
              </w:rPr>
            </w:pPr>
            <w:r>
              <w:rPr>
                <w:rFonts w:ascii="Arial" w:cs="Arial" w:eastAsia="Arial" w:hAnsi="Arial"/>
                <w:sz w:val="16"/>
                <w:szCs w:val="16"/>
                <w:b w:val="1"/>
                <w:bCs w:val="1"/>
                <w:color w:val="auto"/>
                <w:w w:val="96"/>
              </w:rPr>
              <w:t>For the Three Months Ended September 30, 2020</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Third-party</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Intersegment</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Direct revenues</w:t>
            </w: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9"/>
              </w:rPr>
              <w:t>Third-party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Intersegment</w:t>
            </w:r>
          </w:p>
        </w:tc>
        <w:tc>
          <w:tcPr>
            <w:tcW w:w="12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w w:val="88"/>
              </w:rPr>
              <w:t>Direct revenues</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revenues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revenues, net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revenues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 net</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651,689</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650,560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w w:val="94"/>
              </w:rPr>
              <w:t>Safety-Kleen Sustainability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127,583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128,712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779,344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779,344</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2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6"/>
                <w:szCs w:val="16"/>
                <w:b w:val="1"/>
                <w:bCs w:val="1"/>
                <w:color w:val="auto"/>
                <w:w w:val="91"/>
              </w:rPr>
              <w:t>For the Nine Months Ended September 30,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right"/>
              <w:ind w:right="332"/>
              <w:spacing w:after="0"/>
              <w:rPr>
                <w:sz w:val="20"/>
                <w:szCs w:val="20"/>
                <w:color w:val="auto"/>
              </w:rPr>
            </w:pPr>
            <w:r>
              <w:rPr>
                <w:rFonts w:ascii="Arial" w:cs="Arial" w:eastAsia="Arial" w:hAnsi="Arial"/>
                <w:sz w:val="16"/>
                <w:szCs w:val="16"/>
                <w:b w:val="1"/>
                <w:bCs w:val="1"/>
                <w:color w:val="auto"/>
                <w:w w:val="97"/>
              </w:rPr>
              <w:t>For the Nine Months Ended September 30, 2020</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Third-party</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Intersegment</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Direct revenues</w:t>
            </w:r>
          </w:p>
        </w:tc>
        <w:tc>
          <w:tcPr>
            <w:tcW w:w="20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Third-party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Intersegment</w:t>
            </w:r>
          </w:p>
        </w:tc>
        <w:tc>
          <w:tcPr>
            <w:tcW w:w="12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w w:val="88"/>
              </w:rPr>
              <w:t>Direct revenues</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revenues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revenues, net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revenues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 net</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2,119,856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2,124,332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1,969,445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1,968,346</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w w:val="94"/>
              </w:rPr>
              <w:t>Safety-Kleen Sustainability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379,343</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expense, net. Beginning in the first quarter of 2021, we revised our calculation of reported Adjusted EBITDA to add stock-based compensation, a non-cash item, to other charges which are added back to net income determined in accordance with generally accepted accounting principles ("GAAP") for purposes of calculating Adjusted EBITDA. The amount added back each period matches the line item for stock-based compensation as recorded on the consolidated statements of cash flows. All relevant prior period Adjusted EBITDA amounts were recast to provide comparative information.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8"/>
                <w:szCs w:val="18"/>
                <w:color w:val="auto"/>
              </w:rPr>
            </w:pPr>
          </w:p>
        </w:tc>
        <w:tc>
          <w:tcPr>
            <w:tcW w:w="25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For the Nine Months Ended</w:t>
            </w:r>
          </w:p>
        </w:tc>
      </w:tr>
      <w:tr>
        <w:trPr>
          <w:trHeight w:val="219"/>
        </w:trPr>
        <w:tc>
          <w:tcPr>
            <w:tcW w:w="5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166,471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482,766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502,101</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62,248</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(132,369)</w:t>
            </w: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431,980</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12,739</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221,497</w:t>
            </w:r>
          </w:p>
        </w:tc>
      </w:tr>
      <w:tr>
        <w:trPr>
          <w:trHeight w:val="223"/>
        </w:trPr>
        <w:tc>
          <w:tcPr>
            <w:tcW w:w="55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104,833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189,595</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Loss on sale of businesses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3,376</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54,848</w:t>
            </w: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209,227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130,774</w:t>
            </w: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1,050,901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1,068,910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366,160</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1,525,298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401,918</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Environmental Services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630,155</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Safety-Kleen Sustainability Solutions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141,003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125,105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158,383</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Safety-Kleen Sustainability Solutions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283,488</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913,643</w:t>
            </w:r>
          </w:p>
        </w:tc>
        <w:tc>
          <w:tcPr>
            <w:tcW w:w="0" w:type="dxa"/>
            <w:vAlign w:val="bottom"/>
          </w:tcPr>
          <w:p>
            <w:pPr>
              <w:spacing w:after="0"/>
              <w:rPr>
                <w:sz w:val="1"/>
                <w:szCs w:val="1"/>
                <w:color w:val="auto"/>
              </w:rPr>
            </w:pPr>
          </w:p>
        </w:tc>
      </w:tr>
      <w:tr>
        <w:trPr>
          <w:trHeight w:val="21"/>
        </w:trPr>
        <w:tc>
          <w:tcPr>
            <w:tcW w:w="770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24"/>
                <w:szCs w:val="24"/>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3,629,056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3,447,811</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 and other foreign</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683,709</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110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right="20" w:firstLine="648"/>
        <w:spacing w:after="0" w:line="287" w:lineRule="auto"/>
        <w:rPr>
          <w:sz w:val="20"/>
          <w:szCs w:val="20"/>
          <w:color w:val="auto"/>
        </w:rPr>
      </w:pPr>
      <w:r>
        <w:rPr>
          <w:rFonts w:ascii="Arial" w:cs="Arial" w:eastAsia="Arial" w:hAnsi="Arial"/>
          <w:sz w:val="16"/>
          <w:szCs w:val="16"/>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the impact of our acquisition of LJ Energy Services Intermediate Holding Corp. and its subsidiaries (collectively, “HydroChemPSC”), and those items identified as "Risk Factors,” in this report under Item 1A and in our Annual Report on Form 10-K filed with the Securities and Exchange Commission ("SEC") on February 24, 2021,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right="280" w:firstLine="729"/>
        <w:spacing w:after="0" w:line="257" w:lineRule="auto"/>
        <w:rPr>
          <w:sz w:val="20"/>
          <w:szCs w:val="20"/>
          <w:color w:val="auto"/>
        </w:rPr>
      </w:pPr>
      <w:r>
        <w:rPr>
          <w:rFonts w:ascii="Arial" w:cs="Arial" w:eastAsia="Arial" w:hAnsi="Arial"/>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believe we are also the largest re-refiner and recycler of used oil in North America and the largest provider of parts washer and related environmental services to commercial, industrial and automotive customers in North America.</w:t>
      </w:r>
    </w:p>
    <w:p>
      <w:pPr>
        <w:spacing w:after="0" w:line="11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first quarter of 2021, we reorganized our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encompasses both sides of the spread we manage in our re-refinery business, and we expect this change to drive additional growth in our sustainable lubricant products and related services.</w:t>
      </w:r>
    </w:p>
    <w:p>
      <w:pPr>
        <w:spacing w:after="0" w:line="9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Concurrently with this change, we consolidated the Safety-Kleen Environmental branches' core offerings, including containerized waste, parts washer and vacuum services, into the legacy Clean Harbors Environmental Services sales and service operations. We expect this change to foster enhanced cross-selling opportunities within the environmental businesses and increase market presence with small quantity generators of hazardous waste.</w:t>
      </w:r>
    </w:p>
    <w:p>
      <w:pPr>
        <w:spacing w:after="0" w:line="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restructuring the operations of the Company in this manner, the information that the chief operating decision maker regularly reviews for purposes of allocating resources and assessing performance was changed to conform to the new operating structure of the business. As a result, we reevaluated the identification of our operating segments and concluded that, starting in the first quarter of 2021, Environmental Services and Safety-Kleen Sustainability Solutions are our operating segments and reportable segments, with the operations not managed through the operating segments described above continuing to be reported as Corporate Items. The amounts presented for the three and nine months ended September 30, 2020 have been recast to reflect the impact of such changes.</w:t>
      </w:r>
    </w:p>
    <w:p>
      <w:pPr>
        <w:spacing w:after="0" w:line="1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Performance of our segments is evaluated on several factors of which the primary financial measure is Adjusted EBITDA. Beginning in the first quarter of 2021, we revised our calculation of reported Adjusted EBITDA to add back stock-based compensation, a non-cash item, to other charges which are added back to net income determined in accordance with generally accepted accounting principles ("GAAP"). See the "Adjusted EBITDA" section below for additional details regarding this change and our consideration of this metric. Prior period amounts have been recast to conform to this presentation.</w:t>
      </w:r>
    </w:p>
    <w:p>
      <w:pPr>
        <w:spacing w:after="0" w:line="10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52" w:lineRule="exact"/>
        <w:rPr>
          <w:sz w:val="20"/>
          <w:szCs w:val="20"/>
          <w:color w:val="auto"/>
        </w:rPr>
      </w:pPr>
    </w:p>
    <w:p>
      <w:pPr>
        <w:ind w:left="980" w:hanging="324"/>
        <w:spacing w:after="0" w:line="286"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waste volumes generated by such services and project work for which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Coronavirus ("COVID-19") pandemic, the business saw increased demand for response services relative to contagion disinfection, decontamination and disposal in 2020 and into 2021. With the addition of the Safety-Kleen core service offerings, including containerized waste disposal, parts washer and vacuum services, the Environmental Services results are further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owned facilities,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chemical, manufacturing and other industrial markets, weather conditions, efficiency of our operations, utilization at our facilities, technology, changing regulations, competition, the mix and market pricing of our services and the management of our related operating costs.</w:t>
      </w:r>
    </w:p>
    <w:p>
      <w:pPr>
        <w:spacing w:after="0" w:line="99" w:lineRule="exact"/>
        <w:rPr>
          <w:rFonts w:ascii="Arial" w:cs="Arial" w:eastAsia="Arial" w:hAnsi="Arial"/>
          <w:sz w:val="16"/>
          <w:szCs w:val="16"/>
          <w:color w:val="auto"/>
        </w:rPr>
      </w:pPr>
    </w:p>
    <w:p>
      <w:pPr>
        <w:ind w:left="980" w:right="20" w:hanging="324"/>
        <w:spacing w:after="0" w:line="25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Safety-Kleen Sustainability Solutions - </w:t>
      </w:r>
      <w:r>
        <w:rPr>
          <w:rFonts w:ascii="Arial" w:cs="Arial" w:eastAsia="Arial" w:hAnsi="Arial"/>
          <w:sz w:val="18"/>
          <w:szCs w:val="18"/>
          <w:color w:val="auto"/>
        </w:rPr>
        <w:t>Safety-Kleen Sustainability Solutions segment results are impacted by our customers'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environmentally responsible recycled oil products and their demand for our related service offerings and products. Safety-Kleen Sustainability Solutions offers high quality recycled base and blended oil products to end users including fleet customers, distributors and manufacturers of oil products. Segment results are impacted by overall demand as well as product mix as it relates to these oil products. Segment results are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both impact the premium the segment can charge for used oil collections.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Total revenues for the three and nine months ended September 30, 2021 were $951.5 million and $2,686.1 million, compared with $779.3 million and $2,347.9 million for the three and nine months ended September 30, 2020. Prior year operations were negatively affected by the impact of the COVID-19 pandemic. In the three and nine months ended September 30, 2021, our Environmental Services segment direct revenues increased 14.6% and 7.9% from the comparable periods in 2020. Current period results were predominately driven by higher demand throughout most of our portfolio of services and increased direct revenues at our incinerators due to strong pricing on these disposal services, partially offset by lower demand for our COVID-19 decontamination services. In the three and nine months ended September 30, 2021, our Safety-Kleen Sustainability Solutions segment direct revenues increased 59.9% and 48.0% respectively from the comparable periods in 2020 due to increased pricing and demand for base and blended oil. The fluctuation of the Canadian dollar positively impacted our consolidated revenues by $7.9 million and $30.0 million in the three and nine months ended September 30, 2021, respectively.</w:t>
      </w:r>
    </w:p>
    <w:p>
      <w:pPr>
        <w:spacing w:after="0" w:line="1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In the three and nine months ended September 30, 2021, costs have increased in both the Environmental Services and Safety-Kleen Sustainability Solutions segments when comparing to the prior year given the increase in business levels, revenue mix, and inflationary pressures seen across several cost categories. Additionally, the current periods reflect lower benefits received from the Government Programs as described below under </w:t>
      </w:r>
      <w:r>
        <w:rPr>
          <w:rFonts w:ascii="Arial" w:cs="Arial" w:eastAsia="Arial" w:hAnsi="Arial"/>
          <w:sz w:val="17"/>
          <w:szCs w:val="17"/>
          <w:i w:val="1"/>
          <w:iCs w:val="1"/>
          <w:color w:val="auto"/>
        </w:rPr>
        <w:t>"Impact of</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Programs"</w:t>
      </w:r>
      <w:r>
        <w:rPr>
          <w:rFonts w:ascii="Arial" w:cs="Arial" w:eastAsia="Arial" w:hAnsi="Arial"/>
          <w:sz w:val="17"/>
          <w:szCs w:val="17"/>
          <w:color w:val="auto"/>
        </w:rPr>
        <w:t>. Despite the increased costs seen in the current period, gross margins for the Environmental Services and Safety-Kleen</w:t>
      </w:r>
      <w:r>
        <w:rPr>
          <w:rFonts w:ascii="Arial" w:cs="Arial" w:eastAsia="Arial" w:hAnsi="Arial"/>
          <w:sz w:val="17"/>
          <w:szCs w:val="17"/>
          <w:i w:val="1"/>
          <w:iCs w:val="1"/>
          <w:color w:val="auto"/>
        </w:rPr>
        <w:t xml:space="preserve"> </w:t>
      </w:r>
      <w:r>
        <w:rPr>
          <w:rFonts w:ascii="Arial" w:cs="Arial" w:eastAsia="Arial" w:hAnsi="Arial"/>
          <w:sz w:val="17"/>
          <w:szCs w:val="17"/>
          <w:color w:val="auto"/>
        </w:rPr>
        <w:t>Sustainability Solutions segments are relatively consistent with or improved from pre-pandemic levels.</w:t>
      </w:r>
    </w:p>
    <w:p>
      <w:pPr>
        <w:spacing w:after="0" w:line="10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reported income from operations for the three and nine months ended September 30, 2021 of $104.8 million and $265.7 million compared with $83.9 million and $189.6 million in the three and nine months ended September 30, 2020, and net income for the three and nine months ended September 30, 2021 of $65.4 million and $154.3 million compared with net income of $54.9 million and $95.5 million in the three and nine months ended September 30, 2020.</w:t>
      </w:r>
    </w:p>
    <w:p>
      <w:pPr>
        <w:spacing w:after="0" w:line="13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Adjusted EBITDA, which is the primary financial measure by which our segments are evaluated, increased 10.3% to $185.1 million in the three months ended September 30, 2021 from $167.8 million in the three months ended September 30, 2020 and increased 16.3% to $502.3 million in the nine months ended September 30, 2021 from $432.0 million in the nine months ended September 30, 2020. This improved performance was primarily driven by the mix of product sales and strong spread management as it relates to the pricing of base oil products and used motor oil collection services in the Safety-Kleen Sustainability Solutions segment, as well as strong demand and incineration pricing increases within our Environmental Services segment. Additional information, including a reconciliation of Adjusted EBITDA to net income, appears below under </w:t>
      </w:r>
      <w:r>
        <w:rPr>
          <w:rFonts w:ascii="Arial" w:cs="Arial" w:eastAsia="Arial" w:hAnsi="Arial"/>
          <w:sz w:val="16"/>
          <w:szCs w:val="16"/>
          <w:i w:val="1"/>
          <w:iCs w:val="1"/>
          <w:color w:val="auto"/>
        </w:rPr>
        <w:t>"Adjusted EBITDA."</w:t>
      </w:r>
    </w:p>
    <w:p>
      <w:pPr>
        <w:spacing w:after="0" w:line="11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Net cash from operating activities for the nine months ended September 30, 2021 was $368.2 million, an increase of $50.8 million from the comparable period in 2020. Adjusted free cash flow, which management uses to measure our financial strength and ability to generate cash, was $238.0 million in the nine months ended September 30, 2021, compared to $195.5 million in the comparable period of 2020. These increased levels of cash flows are the result of greater levels of operating income and improved working capital management in 2021. Additional information, including a reconciliation of adjusted free cash flow to net cash from operating activities, appears below under </w:t>
      </w:r>
      <w:r>
        <w:rPr>
          <w:rFonts w:ascii="Arial" w:cs="Arial" w:eastAsia="Arial" w:hAnsi="Arial"/>
          <w:sz w:val="17"/>
          <w:szCs w:val="17"/>
          <w:i w:val="1"/>
          <w:iCs w:val="1"/>
          <w:color w:val="auto"/>
        </w:rPr>
        <w:t>"Adjusted Free Cash Flow."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third quarter of 2021, we continued to see incremental improvements in the demand for our products and services consistent with the lifting of travel and other government restrictions and the ongoing national and state vaccination efforts.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last year, our business has been slowly recovering after the sharp decline in the second quarter of 2020. As we exited the third quarter of 2021, both quarter-to-date and year-to-date direct revenues and Adjusted EBITDA were comparable or higher than pre-pandemic levels for each of our segments.</w:t>
      </w:r>
    </w:p>
    <w:p>
      <w:pPr>
        <w:spacing w:after="0" w:line="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the first nine months of 2021, we recognized $48.1 million of revenues specifically related to COVID-19 disinfecting, decontamination and disposal related response services; however, demand for these services has decreased as the year has progressed. In the third quarter of 2021 we recognized revenues of $8.4 million for such work. Although we are uncertain as to the exact level of such services throughout the remainder of 2021 and into 2022, we expect to continue to see slowing demand for these COVID-19 response services.</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potential impact of COVID-19 variants (e.g. the Delta variant) remains unknown at this time, however as circumstances continue to evolve impacts may be felt related to both our business recovery and future demand for our COVID-19 response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Government Programs</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2020, the Governments of Canada and the United States announced the Canada Emergency Wage Subsidy ("CEWS") and the Coronavirus Aid, Relief and Economic Security Act ("CARES Act"), respectively, in response to the widespread economic impact of the COVID-19 pandemic (collectively referred to as "Government Programs"). Both Government Programs have been extended into 2021 and as such, management has continued to consider and analyze the Company's eligibility under such Government Programs. During 2021 the Company recognized certain employee wage subsidies under the CEWS and, to a lesser extent, employee retention credits under the CARES Act. We do not anticipate any future significant benefits from the Government Programs given the current status of our operations and the expiration of the benefits to which we were eligible. The table below summarizes the benefit of the Government Programs recorded in the statement of operations for the three and nine months ended September 30, 2021 and September 30, 2020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HydroChemPSC</w:t>
      </w:r>
    </w:p>
    <w:p>
      <w:pPr>
        <w:spacing w:after="0" w:line="158"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On October 8, 2021, we completed our previously announced proposed acquisition of HydroChemPSC for $1.24 billion (the "HydroChemPSC Acquisition") in cash consideration. HydroChemPSC is a leading U.S. provider of industrial cleaning, specialty maintenance and utility services. Refer to Note 4, "Business Combinations," to our unaudited consolidated financial statements included in this report for further information on this acquisition.</w:t>
      </w:r>
    </w:p>
    <w:p>
      <w:pPr>
        <w:spacing w:after="0" w:line="6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HydroChemPSC serves customers across a broad range of markets and provides solutions to customers focused on cleaning, maintenance and environmental compliance of essential, mission critical equipment and infrastructure. HydroChemPSC has more than 4,500 employees, over 240 service locations across the United States and has a fleet of specialized equipment and vehicles as well as technology which will enhance and add to the assets of the Environmental Services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have incurred and expect to incur significant costs in connection with the HydroChemPSC Acquisition, including costs related to financing the HydroChemPSC Acquisition and ultimate integration of the business. As of September 30, 2021, $3.7 million of HydroChemPSC integration related costs have been recognized in our results. Successful integration of the HydroChemPSC business and operations into our business will be necessary to realize the anticipated benefits from combining HydroChemPSC with Clean Harbors. We believe that the combined business will benefit from incremental waste volumes through Clean Harbors' network of facilities, greater customer relationships and cross selling opportunities and synergistic opportunities within customer service, corporate functions, transportation, branch network, asset rentals and vehicle maintenance. The success of the HydroChemPSC Acquisition will depend, in part, on the integration of the financial reporting systems and controls and the focused attention (time and resources) of both Clean Harbors' and HydroChemPSC's management teams to integrate the combined business and execute upon our growth and synergy strategies.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primary financial measure by which we evaluate the performance of our segments is Adjusted EBITDA, as described below under </w:t>
      </w:r>
      <w:r>
        <w:rPr>
          <w:rFonts w:ascii="Arial" w:cs="Arial" w:eastAsia="Arial" w:hAnsi="Arial"/>
          <w:sz w:val="16"/>
          <w:szCs w:val="16"/>
          <w:i w:val="1"/>
          <w:iCs w:val="1"/>
          <w:color w:val="auto"/>
        </w:rPr>
        <w:t>"Adjusted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EBITDA"</w:t>
      </w:r>
      <w:r>
        <w:rPr>
          <w:rFonts w:ascii="Arial" w:cs="Arial" w:eastAsia="Arial" w:hAnsi="Arial"/>
          <w:sz w:val="17"/>
          <w:szCs w:val="17"/>
          <w:color w:val="auto"/>
        </w:rPr>
        <w:t>. The following table sets forth certain financial information associated with our results of operations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September 30, 2020 (in thousands,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w w:val="95"/>
              </w:rPr>
              <w:t>Summary of Operations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w w:val="92"/>
              </w:rPr>
              <w:t>For the Nine Months Ended</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2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72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8"/>
              </w:rPr>
              <w:t>Change</w:t>
            </w:r>
          </w:p>
        </w:tc>
        <w:tc>
          <w:tcPr>
            <w:tcW w:w="860" w:type="dxa"/>
            <w:vAlign w:val="bottom"/>
            <w:gridSpan w:val="2"/>
          </w:tcPr>
          <w:p>
            <w:pPr>
              <w:jc w:val="center"/>
              <w:ind w:left="19"/>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2"/>
        </w:trPr>
        <w:tc>
          <w:tcPr>
            <w:tcW w:w="22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745,633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650,560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95,073</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14.6%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2,124,332</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1,968,346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155,986</w:t>
            </w:r>
          </w:p>
        </w:tc>
        <w:tc>
          <w:tcPr>
            <w:tcW w:w="8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7.9%</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Safety-Kleen Sustainability</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205,787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128,712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77,075</w:t>
            </w:r>
          </w:p>
        </w:tc>
        <w:tc>
          <w:tcPr>
            <w:tcW w:w="84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59.9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561,536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379,343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182,193</w:t>
            </w:r>
          </w:p>
        </w:tc>
        <w:tc>
          <w:tcPr>
            <w:tcW w:w="86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6"/>
              </w:rPr>
              <w:t>48.0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Solutions</w:t>
            </w: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172,135</w:t>
            </w:r>
          </w:p>
        </w:tc>
        <w:tc>
          <w:tcPr>
            <w:tcW w:w="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2,686,085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2,347,907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338,178</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6"/>
              </w:rPr>
              <w:t>14.4</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99,801</w:t>
            </w:r>
          </w:p>
        </w:tc>
        <w:tc>
          <w:tcPr>
            <w:tcW w:w="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1,454,852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162,079</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6"/>
              </w:rPr>
              <w:t>12.5</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rPr>
              <w:t>Safety-Kleen Sustainability</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119,332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87,924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31,408</w:t>
            </w:r>
          </w:p>
        </w:tc>
        <w:tc>
          <w:tcPr>
            <w:tcW w:w="8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35.7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350,733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278,070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72,663</w:t>
            </w:r>
          </w:p>
        </w:tc>
        <w:tc>
          <w:tcPr>
            <w:tcW w:w="8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6"/>
              </w:rPr>
              <w:t>26.1</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Solutions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6"/>
        </w:trPr>
        <w:tc>
          <w:tcPr>
            <w:tcW w:w="224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639,232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127,603</w:t>
            </w:r>
          </w:p>
        </w:tc>
        <w:tc>
          <w:tcPr>
            <w:tcW w:w="8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1,817,654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1,588,976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228,678</w:t>
            </w:r>
          </w:p>
        </w:tc>
        <w:tc>
          <w:tcPr>
            <w:tcW w:w="860" w:type="dxa"/>
            <w:vAlign w:val="bottom"/>
            <w:gridSpan w:val="2"/>
          </w:tcPr>
          <w:p>
            <w:pPr>
              <w:jc w:val="center"/>
              <w:ind w:left="39"/>
              <w:spacing w:after="0"/>
              <w:rPr>
                <w:sz w:val="20"/>
                <w:szCs w:val="20"/>
                <w:color w:val="auto"/>
              </w:rPr>
            </w:pPr>
            <w:r>
              <w:rPr>
                <w:rFonts w:ascii="Arial" w:cs="Arial" w:eastAsia="Arial" w:hAnsi="Arial"/>
                <w:sz w:val="16"/>
                <w:szCs w:val="16"/>
                <w:color w:val="auto"/>
                <w:w w:val="96"/>
              </w:rPr>
              <w:t>14.4</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Selling, General &amp;</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Administrative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8,803</w:t>
            </w:r>
          </w:p>
        </w:tc>
        <w:tc>
          <w:tcPr>
            <w:tcW w:w="84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173,472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13,242</w:t>
            </w:r>
          </w:p>
        </w:tc>
        <w:tc>
          <w:tcPr>
            <w:tcW w:w="8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7.6</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Safety-Kleen Sustainability</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84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40.0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45,047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6,022</w:t>
            </w:r>
          </w:p>
        </w:tc>
        <w:tc>
          <w:tcPr>
            <w:tcW w:w="86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6"/>
              </w:rPr>
              <w:t>15.4</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Solutions</w:t>
            </w: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13,347</w:t>
            </w:r>
          </w:p>
        </w:tc>
        <w:tc>
          <w:tcPr>
            <w:tcW w:w="8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89"/>
              </w:rPr>
              <w:t>32.3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147,150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127,193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19,957</w:t>
            </w:r>
          </w:p>
        </w:tc>
        <w:tc>
          <w:tcPr>
            <w:tcW w:w="8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6"/>
              </w:rPr>
              <w:t>15.7</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26,620</w:t>
            </w:r>
          </w:p>
        </w:tc>
        <w:tc>
          <w:tcPr>
            <w:tcW w:w="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3"/>
              </w:rPr>
              <w:t>11.5</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w:t>
            </w:r>
          </w:p>
        </w:tc>
        <w:tc>
          <w:tcPr>
            <w:tcW w:w="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(19,335)</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(3.9)</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rPr>
              <w:t>Safety-Kleen Sustainability</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70,810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29,613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41,197</w:t>
            </w:r>
          </w:p>
        </w:tc>
        <w:tc>
          <w:tcPr>
            <w:tcW w:w="8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139.1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165,756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62,248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w w:val="96"/>
              </w:rPr>
              <w:t>103,508</w:t>
            </w:r>
          </w:p>
        </w:tc>
        <w:tc>
          <w:tcPr>
            <w:tcW w:w="8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4"/>
              </w:rPr>
              <w:t>166.3</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Solutions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0"/>
              </w:rPr>
              <w:t>(24.9)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(13,847)</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(10.5)</w:t>
            </w:r>
          </w:p>
        </w:tc>
        <w:tc>
          <w:tcPr>
            <w:tcW w:w="0" w:type="dxa"/>
            <w:vAlign w:val="bottom"/>
          </w:tcPr>
          <w:p>
            <w:pPr>
              <w:spacing w:after="0"/>
              <w:rPr>
                <w:sz w:val="1"/>
                <w:szCs w:val="1"/>
                <w:color w:val="auto"/>
              </w:rPr>
            </w:pPr>
          </w:p>
        </w:tc>
      </w:tr>
      <w:tr>
        <w:trPr>
          <w:trHeight w:val="213"/>
        </w:trPr>
        <w:tc>
          <w:tcPr>
            <w:tcW w:w="2240" w:type="dxa"/>
            <w:vAlign w:val="bottom"/>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185,084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167,833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17,251</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502,306</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431,980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70,326</w:t>
            </w:r>
          </w:p>
        </w:tc>
        <w:tc>
          <w:tcPr>
            <w:tcW w:w="8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16.3%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40" w:hanging="328"/>
        <w:spacing w:after="0" w:line="260"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60" w:type="dxa"/>
            <w:vAlign w:val="bottom"/>
            <w:gridSpan w:val="6"/>
          </w:tcPr>
          <w:p>
            <w:pPr>
              <w:ind w:left="80"/>
              <w:spacing w:after="0"/>
              <w:rPr>
                <w:sz w:val="20"/>
                <w:szCs w:val="20"/>
                <w:color w:val="auto"/>
              </w:rPr>
            </w:pPr>
            <w:r>
              <w:rPr>
                <w:rFonts w:ascii="Arial" w:cs="Arial" w:eastAsia="Arial" w:hAnsi="Arial"/>
                <w:sz w:val="16"/>
                <w:szCs w:val="16"/>
                <w:b w:val="1"/>
                <w:bCs w:val="1"/>
                <w:color w:val="auto"/>
                <w:w w:val="99"/>
              </w:rPr>
              <w:t>For the Three Months Ended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260" w:type="dxa"/>
            <w:vAlign w:val="bottom"/>
            <w:gridSpan w:val="5"/>
          </w:tcPr>
          <w:p>
            <w:pPr>
              <w:jc w:val="right"/>
              <w:ind w:right="670"/>
              <w:spacing w:after="0"/>
              <w:rPr>
                <w:sz w:val="20"/>
                <w:szCs w:val="20"/>
                <w:color w:val="auto"/>
              </w:rPr>
            </w:pPr>
            <w:r>
              <w:rPr>
                <w:rFonts w:ascii="Arial" w:cs="Arial" w:eastAsia="Arial" w:hAnsi="Arial"/>
                <w:sz w:val="16"/>
                <w:szCs w:val="16"/>
                <w:b w:val="1"/>
                <w:bCs w:val="1"/>
                <w:color w:val="auto"/>
              </w:rPr>
              <w:t>2021 over 2020</w:t>
            </w:r>
          </w:p>
        </w:tc>
        <w:tc>
          <w:tcPr>
            <w:tcW w:w="2180" w:type="dxa"/>
            <w:vAlign w:val="bottom"/>
            <w:gridSpan w:val="4"/>
          </w:tcPr>
          <w:p>
            <w:pPr>
              <w:ind w:left="440"/>
              <w:spacing w:after="0"/>
              <w:rPr>
                <w:sz w:val="20"/>
                <w:szCs w:val="20"/>
                <w:color w:val="auto"/>
              </w:rPr>
            </w:pPr>
            <w:r>
              <w:rPr>
                <w:rFonts w:ascii="Arial" w:cs="Arial" w:eastAsia="Arial" w:hAnsi="Arial"/>
                <w:sz w:val="16"/>
                <w:szCs w:val="16"/>
                <w:b w:val="1"/>
                <w:bCs w:val="1"/>
                <w:color w:val="auto"/>
              </w:rPr>
              <w:t>September 30,</w:t>
            </w:r>
          </w:p>
        </w:tc>
        <w:tc>
          <w:tcPr>
            <w:tcW w:w="2060" w:type="dxa"/>
            <w:vAlign w:val="bottom"/>
            <w:gridSpan w:val="3"/>
          </w:tcPr>
          <w:p>
            <w:pPr>
              <w:jc w:val="right"/>
              <w:ind w:right="43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440" w:type="dxa"/>
            <w:vAlign w:val="bottom"/>
            <w:vMerge w:val="restart"/>
          </w:tcPr>
          <w:p>
            <w:pPr>
              <w:ind w:left="20"/>
              <w:spacing w:after="0"/>
              <w:rPr>
                <w:sz w:val="20"/>
                <w:szCs w:val="20"/>
                <w:color w:val="auto"/>
              </w:rPr>
            </w:pPr>
            <w:r>
              <w:rPr>
                <w:rFonts w:ascii="Arial" w:cs="Arial" w:eastAsia="Arial" w:hAnsi="Arial"/>
                <w:sz w:val="16"/>
                <w:szCs w:val="16"/>
                <w:color w:val="auto"/>
                <w:w w:val="96"/>
              </w:rPr>
              <w:t>(in thousands, except percentages)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880" w:type="dxa"/>
            <w:vAlign w:val="bottom"/>
            <w:tcBorders>
              <w:top w:val="single" w:sz="8" w:color="auto"/>
            </w:tcBorders>
          </w:tcPr>
          <w:p>
            <w:pPr>
              <w:jc w:val="right"/>
              <w:ind w:right="317"/>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980" w:type="dxa"/>
            <w:vAlign w:val="bottom"/>
            <w:tcBorders>
              <w:top w:val="single" w:sz="8" w:color="auto"/>
            </w:tcBorders>
          </w:tcPr>
          <w:p>
            <w:pPr>
              <w:jc w:val="right"/>
              <w:ind w:right="377"/>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650,560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95,073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2,124,332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1,968,346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155,986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Environmental Services direct revenues for the three months ended September 30, 2021 increased $95.1 million from the comparable period in 2020 driven primarily by higher demand throughout our portfolio of services, including industrial and base field services, and increased pricing of disposal services throughout our incinerator network. The revenue growth across these aspects of our business was partially offset on a comparative basis by lower demand for our COVID-19 decontamination services. Direct revenues related to our industrial services increased $26.4 million predominately due to increased demand for industrial cleanings as overall economic activity continued to improve and industrial cleaning services previously delayed due to the impacts of COVID-19 were executed upon. Direct revenues related to our field services, excluding COVID-19 decontamination services, increased $21.2 million as demand for these base field services increased. Direct revenues at our incinerators increased $18.4 million when comparing the three months ended September 30, 2021 to the same period in 2020, predominately due to higher pricing, though utilization also contributed to the increase with incinerator utilization at 82% as compared to 80% in the same period in 2020. Direct revenues for the Safety-Kleen core service offerings increased $9.9 million from the comparable period in 2020 mainly due to higher demand and pricing for our containerized waste and vacuum services. Higher pricing at our landfill facilities increased direct revenues by $2.3 million. In the three months ended September 30, 2021, lower demand for our COVID-19 decontamination services resulted in a direct revenue decrease of $20.5 million, partially offsetting all of the increases noted above. The Canadian operations of the Environmental Services segment were positively impacted by $6.5 million due to foreign currency translation.</w:t>
      </w:r>
    </w:p>
    <w:p>
      <w:pPr>
        <w:spacing w:after="0" w:line="10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Environmental Services direct revenues for the nine months ended September 30, 2021 increased $156.0 million from the comparable period in 2020 driven primarily by returning demand for our services as compared to the same period in the prior year and higher value waste streams at our incinerator facilities, partially offset by lower demand for our COVID-19 decontamination services. Direct revenues related to our industrial services increased $45.6 million and base field services direct revenues increased by $20.4 million, excluding COVID-19 decontamination services, from the comparable period in the prior year due to the rebounding demand for our services noted above. Increased pricing at our incinerators drove an overall $27.4 million increase in direct revenues, while utilization remained relatively consistent at 83% thus illustrating the shift to higher value waste streams being processed at the incinerators. Direct revenues for the Safety-Kleen core service offerings increased $9.2 million from the comparable period in 2020 due to higher demand and improved pricing for our containerized waste and vacuum services. Direct revenues at our landfill facilities increased $4.7 million from the comparable period in 2020 due to higher value waste streams overcoming lower volumes. In the nine months ended September 30, 2021, direct revenues from COVID-19 decontamination services decreased by $40.8 million, partially offsetting the increases noted above, due to lower demand for such services. Also impacting the year over year change in direct revenues within this segment was the positive impact of foreign currency translation on our Canadian operations of $24.1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0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320" w:type="dxa"/>
            <w:vAlign w:val="bottom"/>
            <w:gridSpan w:val="5"/>
          </w:tcPr>
          <w:p>
            <w:pPr>
              <w:jc w:val="right"/>
              <w:ind w:right="710"/>
              <w:spacing w:after="0"/>
              <w:rPr>
                <w:sz w:val="20"/>
                <w:szCs w:val="20"/>
                <w:color w:val="auto"/>
              </w:rPr>
            </w:pPr>
            <w:r>
              <w:rPr>
                <w:rFonts w:ascii="Arial" w:cs="Arial" w:eastAsia="Arial" w:hAnsi="Arial"/>
                <w:sz w:val="16"/>
                <w:szCs w:val="16"/>
                <w:b w:val="1"/>
                <w:bCs w:val="1"/>
                <w:color w:val="auto"/>
              </w:rPr>
              <w:t>2021 over 2020</w:t>
            </w: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060" w:type="dxa"/>
            <w:vAlign w:val="bottom"/>
            <w:gridSpan w:val="3"/>
          </w:tcPr>
          <w:p>
            <w:pPr>
              <w:jc w:val="right"/>
              <w:ind w:right="41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w w:val="96"/>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337"/>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right"/>
              <w:ind w:right="377"/>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28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91"/>
              </w:rPr>
              <w:t>Change</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77,075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379,343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182,193</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Safety-Kleen Sustainability Solutions direct revenues for the three months ended September 30, 2021 increased $77.1 million from the comparable period in 2020. Increasing prices and increased volumes of product sold driven by higher demand resulted in a $75.8 million increase in revenues from base oil sales and a $13.6 million increase in revenues from blended oil sales. Revenues from used oil collection services decreased $14.1 million in the third quarter of 2021, when compared to the third quarter of 2020 due to pricing decreases, which was expected given the inverse correlation between movements in base oil pricing and the market prices for used oil collection services. The volume of the used oil collected increased from the prior year and rebounded to the level of gallons collected in pre-pandemic quarters. Foreign currency translation positively impacted the Canadian operations of Safety-Kleen Sustainability Solutions by $1.4 million.</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Safety-Kleen Sustainability Solutions direct revenues for the nine months ended September 30, 2021 increased $182.2 million from the comparable period in 2020. Due to the pricing increases and rebounding demand described above relative to the third quarter of 2021, higher pricing and volumes drove a $167.5 million increase in revenues from base oil sales and a $25.8 million increase in revenues from blended oil sales for the nine months ended September 30, 2021 when compared to the same period in 2020. Revenues from contract blending and packaging increased $12.0 million from the comparable period and revenues from recycled fuel oil and refinery byproducts increased $5.5 million due to pricing increases, more than offsetting volume decreases. As expected, in light of the oil market conditions noted above, revenues from used oil collection services decreased $21.0 million due to pricing decreases. Collection volumes for used oil increased during the nine months ended September 30, 2021 when compared to the same period in 2020. Foreign currency translation positively impacted the Canadian operations of Safety-Kleen Sustainability Solutions by $5.9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In recent periods, we have seen inflationary pressures across several cost categories, but most notably related to internal and external labor, transportation, general supplies and energy related costs. We have continued to manage these increases through constant cost monitoring as well as our overall customer pricing strategies. We also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maintain and increase operating margins.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36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w:t>
            </w:r>
          </w:p>
        </w:tc>
        <w:tc>
          <w:tcPr>
            <w:tcW w:w="2400" w:type="dxa"/>
            <w:vAlign w:val="bottom"/>
            <w:gridSpan w:val="5"/>
          </w:tcPr>
          <w:p>
            <w:pPr>
              <w:jc w:val="right"/>
              <w:ind w:right="750"/>
              <w:spacing w:after="0"/>
              <w:rPr>
                <w:sz w:val="20"/>
                <w:szCs w:val="20"/>
                <w:color w:val="auto"/>
              </w:rPr>
            </w:pPr>
            <w:r>
              <w:rPr>
                <w:rFonts w:ascii="Arial" w:cs="Arial" w:eastAsia="Arial" w:hAnsi="Arial"/>
                <w:sz w:val="16"/>
                <w:szCs w:val="16"/>
                <w:b w:val="1"/>
                <w:bCs w:val="1"/>
                <w:color w:val="auto"/>
              </w:rPr>
              <w:t>2021 over 2020</w:t>
            </w:r>
          </w:p>
        </w:tc>
        <w:tc>
          <w:tcPr>
            <w:tcW w:w="2400" w:type="dxa"/>
            <w:vAlign w:val="bottom"/>
            <w:gridSpan w:val="4"/>
          </w:tcPr>
          <w:p>
            <w:pPr>
              <w:ind w:left="540"/>
              <w:spacing w:after="0"/>
              <w:rPr>
                <w:sz w:val="20"/>
                <w:szCs w:val="20"/>
                <w:color w:val="auto"/>
              </w:rPr>
            </w:pPr>
            <w:r>
              <w:rPr>
                <w:rFonts w:ascii="Arial" w:cs="Arial" w:eastAsia="Arial" w:hAnsi="Arial"/>
                <w:sz w:val="16"/>
                <w:szCs w:val="16"/>
                <w:b w:val="1"/>
                <w:bCs w:val="1"/>
                <w:color w:val="auto"/>
              </w:rPr>
              <w:t>September 30,</w:t>
            </w:r>
          </w:p>
        </w:tc>
        <w:tc>
          <w:tcPr>
            <w:tcW w:w="2100" w:type="dxa"/>
            <w:vAlign w:val="bottom"/>
            <w:gridSpan w:val="3"/>
          </w:tcPr>
          <w:p>
            <w:pPr>
              <w:jc w:val="right"/>
              <w:ind w:right="45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106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top w:val="single" w:sz="8" w:color="auto"/>
            </w:tcBorders>
          </w:tcPr>
          <w:p>
            <w:pPr>
              <w:jc w:val="right"/>
              <w:ind w:right="316"/>
              <w:spacing w:after="0" w:line="16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top w:val="single" w:sz="8" w:color="auto"/>
            </w:tcBorders>
          </w:tcPr>
          <w:p>
            <w:pPr>
              <w:jc w:val="right"/>
              <w:ind w:right="316"/>
              <w:spacing w:after="0" w:line="16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percentages)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6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91"/>
              </w:rPr>
              <w:t>Change</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6"/>
        </w:trPr>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6"/>
              </w:rPr>
              <w:t>$  516,340</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416,539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   99,801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1,454,852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   1,292,773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162,079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w w:val="93"/>
              </w:rPr>
              <w:t>As a % of Direct revenues</w:t>
            </w:r>
          </w:p>
        </w:tc>
        <w:tc>
          <w:tcPr>
            <w:tcW w:w="1060" w:type="dxa"/>
            <w:vAlign w:val="bottom"/>
          </w:tcPr>
          <w:p>
            <w:pPr>
              <w:jc w:val="right"/>
              <w:spacing w:after="0"/>
              <w:rPr>
                <w:sz w:val="20"/>
                <w:szCs w:val="20"/>
                <w:color w:val="auto"/>
              </w:rPr>
            </w:pPr>
            <w:r>
              <w:rPr>
                <w:rFonts w:ascii="Arial" w:cs="Arial" w:eastAsia="Arial" w:hAnsi="Arial"/>
                <w:sz w:val="18"/>
                <w:szCs w:val="18"/>
                <w:color w:val="auto"/>
              </w:rPr>
              <w:t>69.2 %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Environmental Services cost of revenues for the three months ended September 30, 2021 increased $99.8 million from the comparable period in 2020, primarily due to the increase in direct revenues. Cost of revenues as a percentage of direct revenues increased 5.2% from the comparable period in the prior year, in part due to an $8.4 million reduction in benefits recognized under the Government Programs in the third quarter of 2021 as compared to the same period of the prior year. After adjusting for this difference, cost as a percentage of revenues increased 4.0%, primarily due to the mix of services being performed, including lower COVID-19 decontamination services, as well as inflationary pressures across several cost categories. Overall, equipment and supply costs increased $41.1 million, labor and benefits related costs increased $30.9 million and transportation, disposal, vehicle and fuel related costs increased $20.8 million from the comparable period in 2020. Collectively, these costs as a percentage of direct revenue are consistent with pre-pandemic levels.</w:t>
      </w:r>
    </w:p>
    <w:p>
      <w:pPr>
        <w:spacing w:after="0" w:line="12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Environmental Services cost of revenues for the nine months ended September 30, 2021 increased $162.1 million from the comparable period in 2020, primarily due to an increase in direct revenues. Cost of revenues as a percentage of direct revenues increased 2.8% from the comparable period in the prior year. Excluding the $14.2 million year over year reduction in benefits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recognized under the Government Programs, cost of revenues as a percentage of direct revenues increased 2.1%, also mainly due to the mix of services and inflationary pressures noted in the preceding paragraph. Overall, equipment and supply costs increased $60.7 million, labor and benefits related costs increased $46.4 million and transportation, disposal, vehicle and fuel related costs increased $36.3 million.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48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w:t>
            </w:r>
          </w:p>
        </w:tc>
        <w:tc>
          <w:tcPr>
            <w:tcW w:w="2340" w:type="dxa"/>
            <w:vAlign w:val="bottom"/>
            <w:gridSpan w:val="5"/>
          </w:tcPr>
          <w:p>
            <w:pPr>
              <w:jc w:val="right"/>
              <w:ind w:right="750"/>
              <w:spacing w:after="0"/>
              <w:rPr>
                <w:sz w:val="20"/>
                <w:szCs w:val="20"/>
                <w:color w:val="auto"/>
              </w:rPr>
            </w:pPr>
            <w:r>
              <w:rPr>
                <w:rFonts w:ascii="Arial" w:cs="Arial" w:eastAsia="Arial" w:hAnsi="Arial"/>
                <w:sz w:val="16"/>
                <w:szCs w:val="16"/>
                <w:b w:val="1"/>
                <w:bCs w:val="1"/>
                <w:color w:val="auto"/>
              </w:rPr>
              <w:t>2021 over 2020</w:t>
            </w:r>
          </w:p>
        </w:tc>
        <w:tc>
          <w:tcPr>
            <w:tcW w:w="230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4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11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tcPr>
          <w:p>
            <w:pPr>
              <w:ind w:left="320"/>
              <w:spacing w:after="0" w:line="16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top w:val="single" w:sz="8" w:color="auto"/>
            </w:tcBorders>
          </w:tcPr>
          <w:p>
            <w:pPr>
              <w:ind w:left="340"/>
              <w:spacing w:after="0" w:line="16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60" w:type="dxa"/>
            <w:vAlign w:val="bottom"/>
          </w:tcPr>
          <w:p>
            <w:pPr>
              <w:ind w:left="20"/>
              <w:spacing w:after="0"/>
              <w:rPr>
                <w:sz w:val="20"/>
                <w:szCs w:val="20"/>
                <w:color w:val="auto"/>
              </w:rPr>
            </w:pPr>
            <w:r>
              <w:rPr>
                <w:rFonts w:ascii="Arial" w:cs="Arial" w:eastAsia="Arial" w:hAnsi="Arial"/>
                <w:sz w:val="16"/>
                <w:szCs w:val="16"/>
                <w:color w:val="auto"/>
              </w:rPr>
              <w:t>percentages)</w:t>
            </w: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   119,332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87,924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31,408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35.7 %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350,733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278,070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72,663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26.1 %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w w:val="97"/>
              </w:rPr>
              <w:t>As a % of Direct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58.0 %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Safety-Kleen Sustainability Solutions cost of revenues for the three months ended September 30, 2021 increased $31.4 million from the comparable period in 2020 as expected given the revenue growth experienced by the business. Significant cost increases were seen in costs of oil additives and other raw materials which increased $17.2 million, labor and benefits related costs which increased $6.8 million and transportation, vehicle and fuel costs which increased $6.2 million. Despite the increases in these costs, as a percentage of revenue, the business margins improved by 10.3%. This improvement was largely driven by demand and pricing of products and services outpacing relative cost of revenues as the business successfully managed its spread and capitalized on these favorable market conditions. Production efficiencies also led to this lower cost structure as our re-refineries, some of which were temporarily closed in the prior year's period, were all producing fur the full current quarter.</w:t>
      </w:r>
    </w:p>
    <w:p>
      <w:pPr>
        <w:spacing w:after="0" w:line="110"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Safety-Kleen Sustainability Solutions cost of revenues for the nine months ended September 30, 2021 increased $72.7 million from the comparable period in 2020 due to the increase in direct revenues. Cost of revenue as a percentage of direct revenues improved by 10.8% for reasons consistent with those noted in the preceding paragraph. In total, costs of oil additives and other raw materials increased $40.5 million, transportation, vehicle and fuel costs increased $18.3 million and labor and benefits related costs increased $14.0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As our business grows, we would expect to incur additional costs throughout our business; however, our ability to properly align these costs with business performance is reflective of our strong management of the businesses and further promotes our ability to remain competitive in the marketplace.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238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2021 over 2020</w:t>
            </w:r>
          </w:p>
        </w:tc>
        <w:tc>
          <w:tcPr>
            <w:tcW w:w="222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900" w:type="dxa"/>
            <w:vAlign w:val="bottom"/>
            <w:gridSpan w:val="3"/>
          </w:tcPr>
          <w:p>
            <w:pPr>
              <w:jc w:val="right"/>
              <w:ind w:right="43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62"/>
        </w:trPr>
        <w:tc>
          <w:tcPr>
            <w:tcW w:w="2100" w:type="dxa"/>
            <w:vAlign w:val="bottom"/>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0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top w:val="single" w:sz="8" w:color="auto"/>
            </w:tcBorders>
          </w:tcPr>
          <w:p>
            <w:pPr>
              <w:jc w:val="right"/>
              <w:ind w:right="316"/>
              <w:spacing w:after="0" w:line="16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top w:val="single" w:sz="8" w:color="auto"/>
            </w:tcBorders>
          </w:tcPr>
          <w:p>
            <w:pPr>
              <w:jc w:val="right"/>
              <w:ind w:right="316"/>
              <w:spacing w:after="0" w:line="16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6"/>
                <w:szCs w:val="16"/>
                <w:color w:val="auto"/>
              </w:rPr>
              <w:t>percentages)</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8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6"/>
        </w:trPr>
        <w:tc>
          <w:tcPr>
            <w:tcW w:w="2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62,822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54,019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8,803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186,714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173,472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13,242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w w:val="98"/>
              </w:rPr>
              <w:t>As a % of Direct revenues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w w:val="91"/>
              </w:rPr>
              <w:t>8.8 %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Environmental Services SG&amp;A expenses for the three and nine months ended September 30, 2021 increased $8.8 million and $13.2 million from the comparable periods in 2020 while remaining consistent as a percentage of direct revenues. For the three and nine months ended September 30, 2021, we recognized reduced benefits under the Government Programs when compared to the same periods in the prior year which contributed to the increase in our Environmental Services SG&amp;A expenses by $1.7 million and $6.7 million, respectively. Environmental Services SG&amp;A expenses as a percentage of revenue remained relatively consistent with the prior year even absent the benefits recognized under the Government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6"/>
              </w:rPr>
              <w:t>For the Nine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36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w:t>
            </w:r>
          </w:p>
        </w:tc>
        <w:tc>
          <w:tcPr>
            <w:tcW w:w="2440" w:type="dxa"/>
            <w:vAlign w:val="bottom"/>
            <w:gridSpan w:val="5"/>
          </w:tcPr>
          <w:p>
            <w:pPr>
              <w:jc w:val="right"/>
              <w:ind w:right="790"/>
              <w:spacing w:after="0"/>
              <w:rPr>
                <w:sz w:val="20"/>
                <w:szCs w:val="20"/>
                <w:color w:val="auto"/>
              </w:rPr>
            </w:pPr>
            <w:r>
              <w:rPr>
                <w:rFonts w:ascii="Arial" w:cs="Arial" w:eastAsia="Arial" w:hAnsi="Arial"/>
                <w:sz w:val="16"/>
                <w:szCs w:val="16"/>
                <w:b w:val="1"/>
                <w:bCs w:val="1"/>
                <w:color w:val="auto"/>
              </w:rPr>
              <w:t>2021 over 2020</w:t>
            </w:r>
          </w:p>
        </w:tc>
        <w:tc>
          <w:tcPr>
            <w:tcW w:w="218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940" w:type="dxa"/>
            <w:vAlign w:val="bottom"/>
            <w:gridSpan w:val="3"/>
          </w:tcPr>
          <w:p>
            <w:pPr>
              <w:jc w:val="right"/>
              <w:ind w:right="45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61"/>
        </w:trPr>
        <w:tc>
          <w:tcPr>
            <w:tcW w:w="2120" w:type="dxa"/>
            <w:vAlign w:val="bottom"/>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10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336"/>
              <w:spacing w:after="0" w:line="16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356"/>
              <w:spacing w:after="0" w:line="16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percentages)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4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15,645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11,175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4,470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45,047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39,025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6,022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w w:val="99"/>
              </w:rPr>
              <w:t>As a % of Direct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w w:val="95"/>
              </w:rPr>
              <w:t>8.0 %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Safety-Kleen Sustainability Solutions SG&amp;A expenses for the three and nine months ended September 30, 2021 increased $4.5 million and $6.0 million from the comparable periods in 2020 primarily attributable to the increases in direct revenues. Safety-Kleen Sustainability Solutions SG&amp;A expenses as a percentage of revenues for the three months ended September 30, 2021 improved 1.1% . SG&amp;A expenses as a percentage of revenues for the nine months ended September 30, 2021 improved 2.3% when compared to the same period in the prior year. The most significant driver in the full year improvement was a $1.8 million change in an environmental liability estimate for a Superfund site recorded in the second quarter of 2020 which did not recur in 2021.</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For the 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ind w:left="140"/>
              <w:spacing w:after="0"/>
              <w:rPr>
                <w:sz w:val="20"/>
                <w:szCs w:val="20"/>
                <w:color w:val="auto"/>
              </w:rPr>
            </w:pPr>
            <w:r>
              <w:rPr>
                <w:rFonts w:ascii="Arial" w:cs="Arial" w:eastAsia="Arial" w:hAnsi="Arial"/>
                <w:sz w:val="16"/>
                <w:szCs w:val="16"/>
                <w:b w:val="1"/>
                <w:bCs w:val="1"/>
                <w:color w:val="auto"/>
              </w:rPr>
              <w:t>For the Nine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2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246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2021 over 2020</w:t>
            </w:r>
          </w:p>
        </w:tc>
        <w:tc>
          <w:tcPr>
            <w:tcW w:w="2160" w:type="dxa"/>
            <w:vAlign w:val="bottom"/>
            <w:gridSpan w:val="4"/>
          </w:tcPr>
          <w:p>
            <w:pPr>
              <w:ind w:left="440"/>
              <w:spacing w:after="0"/>
              <w:rPr>
                <w:sz w:val="20"/>
                <w:szCs w:val="20"/>
                <w:color w:val="auto"/>
              </w:rPr>
            </w:pPr>
            <w:r>
              <w:rPr>
                <w:rFonts w:ascii="Arial" w:cs="Arial" w:eastAsia="Arial" w:hAnsi="Arial"/>
                <w:sz w:val="16"/>
                <w:szCs w:val="16"/>
                <w:b w:val="1"/>
                <w:bCs w:val="1"/>
                <w:color w:val="auto"/>
              </w:rPr>
              <w:t>September 30,</w:t>
            </w:r>
          </w:p>
        </w:tc>
        <w:tc>
          <w:tcPr>
            <w:tcW w:w="2220" w:type="dxa"/>
            <w:vAlign w:val="bottom"/>
            <w:gridSpan w:val="3"/>
          </w:tcPr>
          <w:p>
            <w:pPr>
              <w:jc w:val="right"/>
              <w:ind w:right="51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61"/>
        </w:trPr>
        <w:tc>
          <w:tcPr>
            <w:tcW w:w="2100" w:type="dxa"/>
            <w:vAlign w:val="bottom"/>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1020" w:type="dxa"/>
            <w:vAlign w:val="bottom"/>
            <w:tcBorders>
              <w:top w:val="single" w:sz="8" w:color="auto"/>
            </w:tcBorders>
            <w:vMerge w:val="restart"/>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jc w:val="right"/>
              <w:ind w:right="376"/>
              <w:spacing w:after="0" w:line="16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jc w:val="right"/>
              <w:ind w:right="376"/>
              <w:spacing w:after="0" w:line="16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6"/>
                <w:szCs w:val="16"/>
                <w:color w:val="auto"/>
              </w:rPr>
              <w:t>percentages)</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4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54,697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   41,350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13,347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147,150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127,193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19,957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As a % of Total Clean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Harbors' Direct revenues</w:t>
            </w: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manage our Corporate SG&amp;A expenses commensurate with the overall total Company performance and direct revenue levels. Generally, as revenues increase, we would expect some increase in these costs. Corporate Items SG&amp;A expenses for the three months ended September 30, 2021 increased $13.3 million from the comparable period in 2020 and as a percentage of total Clean Harbors' direct revenues, these costs remained relatively consistent. Certain Corporate Items SG&amp;A expense increases during the three months ended September 30, 2021, as compared to the same period in the prior year, which were unrelated to the revenue growth included $5.9 million of increased professional fees primarily related to the acquisition of HydroChemPSC and some strategic initiative projects and increased cyber security information technology related costs of $1.0 million. Partially offsetting these increases was a $3.3 million change in an environmental remediation liability estimate for an inactive site recorded in the third quarter of 2020.</w:t>
      </w:r>
    </w:p>
    <w:p>
      <w:pPr>
        <w:spacing w:after="0" w:line="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Corporate Items SG&amp;A expenses for the nine months ended September 30, 2021 increased $20.0 million from the comparable period in 2020 and as a percentage of total Clean Harbors' direct revenues, remained relatively consistent. Similar to the discussion above, we would expect some increase in these costs as total Company revenues increase. Certain Corporate Items SG&amp;A expense increases during the nine months ended September 30, 2021, as compared to the same period in the prior year which were unrelated to the revenue growth include an $8.9 million increase in professional fees related to the acquisition of HydroChemPSC and some strategic initiative projects, as well as a $2.8 million increase of cyber security information technology related costs. Partially offsetting these increases were decreases in marketing expenses of $4.0 million and a $3.3 million change in an environmental remediation liability estimate for an inactive site recorded in the third quarter of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480" w:firstLine="648"/>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historical credit agreement,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gridSpan w:val="6"/>
          </w:tcPr>
          <w:p>
            <w:pPr>
              <w:ind w:left="40"/>
              <w:spacing w:after="0"/>
              <w:rPr>
                <w:sz w:val="20"/>
                <w:szCs w:val="20"/>
                <w:color w:val="auto"/>
              </w:rPr>
            </w:pPr>
            <w:r>
              <w:rPr>
                <w:rFonts w:ascii="Arial" w:cs="Arial" w:eastAsia="Arial" w:hAnsi="Arial"/>
                <w:sz w:val="16"/>
                <w:szCs w:val="16"/>
                <w:b w:val="1"/>
                <w:bCs w:val="1"/>
                <w:color w:val="auto"/>
                <w:w w:val="93"/>
              </w:rPr>
              <w:t>For the Three Months Ended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For the Nine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1860" w:type="dxa"/>
            <w:vAlign w:val="bottom"/>
            <w:gridSpan w:val="4"/>
          </w:tcPr>
          <w:p>
            <w:pPr>
              <w:ind w:left="280"/>
              <w:spacing w:after="0"/>
              <w:rPr>
                <w:sz w:val="20"/>
                <w:szCs w:val="20"/>
                <w:color w:val="auto"/>
              </w:rPr>
            </w:pPr>
            <w:r>
              <w:rPr>
                <w:rFonts w:ascii="Arial" w:cs="Arial" w:eastAsia="Arial" w:hAnsi="Arial"/>
                <w:sz w:val="16"/>
                <w:szCs w:val="16"/>
                <w:b w:val="1"/>
                <w:bCs w:val="1"/>
                <w:color w:val="auto"/>
              </w:rPr>
              <w:t>2021 over 2020</w:t>
            </w:r>
          </w:p>
        </w:tc>
        <w:tc>
          <w:tcPr>
            <w:tcW w:w="160" w:type="dxa"/>
            <w:vAlign w:val="bottom"/>
          </w:tcPr>
          <w:p>
            <w:pPr>
              <w:spacing w:after="0"/>
              <w:rPr>
                <w:sz w:val="19"/>
                <w:szCs w:val="19"/>
                <w:color w:val="auto"/>
              </w:rPr>
            </w:pPr>
          </w:p>
        </w:tc>
        <w:tc>
          <w:tcPr>
            <w:tcW w:w="194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59"/>
        </w:trPr>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80"/>
              <w:spacing w:after="0" w:line="158" w:lineRule="exact"/>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gridSpan w:val="2"/>
          </w:tcPr>
          <w:p>
            <w:pPr>
              <w:jc w:val="right"/>
              <w:ind w:right="279"/>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4"/>
              <w:spacing w:after="0" w:line="158" w:lineRule="exact"/>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gridSpan w:val="2"/>
          </w:tcPr>
          <w:p>
            <w:pPr>
              <w:jc w:val="right"/>
              <w:ind w:right="299"/>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3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166,471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180,002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ind w:left="34"/>
              <w:spacing w:after="0"/>
              <w:rPr>
                <w:sz w:val="20"/>
                <w:szCs w:val="20"/>
                <w:color w:val="auto"/>
              </w:rPr>
            </w:pPr>
            <w:r>
              <w:rPr>
                <w:rFonts w:ascii="Arial" w:cs="Arial" w:eastAsia="Arial" w:hAnsi="Arial"/>
                <w:sz w:val="18"/>
                <w:szCs w:val="18"/>
                <w:color w:val="auto"/>
                <w:w w:val="92"/>
              </w:rPr>
              <w:t>(13,531)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120"/>
              <w:spacing w:after="0"/>
              <w:rPr>
                <w:sz w:val="20"/>
                <w:szCs w:val="20"/>
                <w:color w:val="auto"/>
              </w:rPr>
            </w:pPr>
            <w:r>
              <w:rPr>
                <w:rFonts w:ascii="Arial" w:cs="Arial" w:eastAsia="Arial" w:hAnsi="Arial"/>
                <w:sz w:val="18"/>
                <w:szCs w:val="18"/>
                <w:color w:val="auto"/>
                <w:w w:val="98"/>
              </w:rPr>
              <w:t>482,766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502,101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7"/>
              </w:rPr>
              <w:t>41,197</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165,756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103,508</w:t>
            </w: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92"/>
              </w:rPr>
              <w:t>(10,415)</w:t>
            </w:r>
          </w:p>
        </w:tc>
        <w:tc>
          <w:tcPr>
            <w:tcW w:w="96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(146,216)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(13,847)</w:t>
            </w:r>
          </w:p>
        </w:tc>
        <w:tc>
          <w:tcPr>
            <w:tcW w:w="98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87"/>
              </w:rPr>
              <w:t>17,251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502,306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our interpretation of such results with the board.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8"/>
                <w:szCs w:val="18"/>
                <w:color w:val="auto"/>
              </w:rPr>
            </w:pPr>
          </w:p>
        </w:tc>
        <w:tc>
          <w:tcPr>
            <w:tcW w:w="290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9"/>
        </w:trPr>
        <w:tc>
          <w:tcPr>
            <w:tcW w:w="4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6"/>
              </w:rPr>
              <w:t>September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65,443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54,910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95,505</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12,739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71,451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74,470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215,206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221,497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53,953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54,848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21,605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13,712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54,973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35,269</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185,084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167,833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502,306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431,980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 of Direct revenues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19.5 %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rPr>
              <w:t>21.5 %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18.7 %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Beginning in the first quarter of 2021, we revised our calculation of reported Adjusted EBITDA to add stock-based compensation, a non-cash item, to other charges which are added back to GAAP net income for purposes of calculating Adjusted EBITDA. We made this change in order to be more consistent with how certain of our peer group companies report their non-GAAP results, to align with how management will evaluate the operating performance of the Company and performance metrics for certain incentive compensation awards issued in 2021, and to be consistent with the definition of “Adjusted EBITDA” now used for covenant compliance purposes in our outstanding financing agreements as amended to date. The amount added back each period is expected to match the line item for stock-based compensation as recorded on the Company's GAAP consolidated statements of cash flows. In the future, when we report our results, all relevant prior period Adjusted EBITDA amounts which do not already reflect this change will be recast to provide comparative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92"/>
              </w:rPr>
              <w:t>For the 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Arial" w:cs="Arial" w:eastAsia="Arial" w:hAnsi="Arial"/>
                <w:sz w:val="16"/>
                <w:szCs w:val="16"/>
                <w:b w:val="1"/>
                <w:bCs w:val="1"/>
                <w:color w:val="auto"/>
                <w:w w:val="98"/>
              </w:rPr>
              <w:t>For the Nine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1960" w:type="dxa"/>
            <w:vAlign w:val="bottom"/>
            <w:gridSpan w:val="4"/>
          </w:tcPr>
          <w:p>
            <w:pPr>
              <w:ind w:left="320"/>
              <w:spacing w:after="0"/>
              <w:rPr>
                <w:sz w:val="20"/>
                <w:szCs w:val="20"/>
                <w:color w:val="auto"/>
              </w:rPr>
            </w:pPr>
            <w:r>
              <w:rPr>
                <w:rFonts w:ascii="Arial" w:cs="Arial" w:eastAsia="Arial" w:hAnsi="Arial"/>
                <w:sz w:val="16"/>
                <w:szCs w:val="16"/>
                <w:b w:val="1"/>
                <w:bCs w:val="1"/>
                <w:color w:val="auto"/>
              </w:rPr>
              <w:t>2021 over 2020</w:t>
            </w:r>
          </w:p>
        </w:tc>
        <w:tc>
          <w:tcPr>
            <w:tcW w:w="220" w:type="dxa"/>
            <w:vAlign w:val="bottom"/>
          </w:tcPr>
          <w:p>
            <w:pPr>
              <w:spacing w:after="0"/>
              <w:rPr>
                <w:sz w:val="19"/>
                <w:szCs w:val="19"/>
                <w:color w:val="auto"/>
              </w:rPr>
            </w:pPr>
          </w:p>
        </w:tc>
        <w:tc>
          <w:tcPr>
            <w:tcW w:w="200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204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w w:val="98"/>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55"/>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4"/>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75"/>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14"/>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214"/>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2"/>
        </w:trPr>
        <w:tc>
          <w:tcPr>
            <w:tcW w:w="25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6"/>
              </w:rPr>
              <w:t>Depreciation of fixed assets and</w:t>
            </w: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landfills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63,875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64,913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192,277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193,935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Permits and other intangibles</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9,557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5"/>
                <w:szCs w:val="15"/>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22,929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5"/>
                <w:szCs w:val="15"/>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depreciation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71,451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74,470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215,206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221,497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and amortization for the three and nine months ended September 30, 2021 decreased from the comparable periods in 2020 primarily due to accelerating a landfill permit amortization in 2020 and certain assets becoming fully amortized.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20"/>
              <w:spacing w:after="0"/>
              <w:rPr>
                <w:sz w:val="20"/>
                <w:szCs w:val="20"/>
                <w:color w:val="auto"/>
              </w:rPr>
            </w:pPr>
            <w:r>
              <w:rPr>
                <w:rFonts w:ascii="Arial" w:cs="Arial" w:eastAsia="Arial" w:hAnsi="Arial"/>
                <w:sz w:val="16"/>
                <w:szCs w:val="16"/>
                <w:b w:val="1"/>
                <w:bCs w:val="1"/>
                <w:color w:val="auto"/>
              </w:rPr>
              <w:t>For the Nine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9"/>
                <w:szCs w:val="19"/>
                <w:color w:val="auto"/>
              </w:rPr>
            </w:pPr>
          </w:p>
        </w:tc>
        <w:tc>
          <w:tcPr>
            <w:tcW w:w="2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3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(in thousands, except</w:t>
            </w: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06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75"/>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920" w:type="dxa"/>
            <w:vAlign w:val="bottom"/>
          </w:tcPr>
          <w:p>
            <w:pPr>
              <w:jc w:val="right"/>
              <w:ind w:right="31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080" w:type="dxa"/>
            <w:vAlign w:val="bottom"/>
          </w:tcPr>
          <w:p>
            <w:pPr>
              <w:jc w:val="right"/>
              <w:ind w:right="415"/>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040" w:type="dxa"/>
            <w:vAlign w:val="bottom"/>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88"/>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6"/>
        </w:trPr>
        <w:tc>
          <w:tcPr>
            <w:tcW w:w="2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  $</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21,605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13,712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7,893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54,973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35,269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19,704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84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The provision for income taxes for the three and nine months ended September 30, 2021 increased $7.9 million and $19.7 million, respectively, from the comparable periods in 2020, due to an increase in income before provision for income taxes. Our effective tax rates for the three months ended September 30, 2021 increased by 4.8% when compared to the three months ended September 30, 2020. The increase in our effective tax rate is predominately due to recognizing lower previously unbenefited tax losses in the three months ended September 30, 2021 as compared to September 30, 2020. In 2020, certain of our previously unprofitable Canadian entities were profitable, predominantly due to the employee wage subsidies under CEWS, and we were able to recognize these previously unbenefited tax losses. These entities were profitable in 2021 as well, but to a lesser extent with increased operational performance offset by the reduction in the employee wage subsidies. Also impacting the increase in the rate was the release of $1.1 million of uncertain tax liabilities in the third quarter of 2020. Our effective tax rate for the nine months ended September 30, 2021 was relatively consistent to the comparable period in the prior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92"/>
              </w:rPr>
              <w:t>Nine Months Ended</w:t>
            </w:r>
          </w:p>
        </w:tc>
        <w:tc>
          <w:tcPr>
            <w:tcW w:w="108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6"/>
                <w:szCs w:val="16"/>
                <w:b w:val="1"/>
                <w:bCs w:val="1"/>
                <w:color w:val="auto"/>
                <w:w w:val="89"/>
              </w:rPr>
              <w:t>September 30,</w:t>
            </w:r>
          </w:p>
        </w:tc>
        <w:tc>
          <w:tcPr>
            <w:tcW w:w="1080" w:type="dxa"/>
            <w:vAlign w:val="bottom"/>
            <w:tcBorders>
              <w:bottom w:val="single" w:sz="8" w:color="auto"/>
            </w:tcBorders>
          </w:tcPr>
          <w:p>
            <w:pPr>
              <w:spacing w:after="0"/>
              <w:rPr>
                <w:sz w:val="18"/>
                <w:szCs w:val="18"/>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317,432</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(169,267)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(160,296)</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Net cash from operating activities for the nine months ended September 30, 2021 was $368.2 million, an increase of $50.8 million from the comparable period in 2020. The increase in operating cash flows from the comparable period of 2020 resulted from greater levels of operating income and improved working capital management in 2021 despite an increase in cash income taxes and US payroll taxes paid in the nine months ended September 30, 2021 when compared to the nine months ended September 30, 2020. Cash income taxes paid, net of refunds, increased $34.0 million due to higher pre-tax income and a $7.7 million tax refund received in the third quarter of 2020 associated with prior year amended tax returns previously under audit. Additionally, under the CARES Act, starting in the second quarter of 2020, we deferred US payroll tax remittances. As of September 30, 2020, we had deferred a total of $23.2 million. In the nine months ended September 30, 2021, we both remitted our normal 2021 US payroll taxes and remitted $16.5 million of the US payroll taxes we had previously deferred in 2020. The remaining payroll taxes deferred in 2020 under the CARES Act must be remitted no later than December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2021 was $169.3 million, an increase of $9.0 million from the comparable period in 2020. The increase in net cash used in investing activities as compared to the same prior year period was due to $14.0 million of incremental cash outflows for acquisitions with a reduction of $7.7 million in proceeds from the sale of businesses, partially offset by $12.8 million less of capital expenditures, net of disposals.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5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Net cash used in financing activities for the nine months ended September 30, 2021 was $71.8 million, as compared to $52.0 million in the comparable period in 2020. This increase of $19.8 million was primarily due to an increase in repurchases of common stock of $8.9 million during the first nine months of 2021. The change in uncashed checks due to the timing of payments made, higher finance lease principal payments and higher tax payments related to withholdings on vested stock also contributed to the increase in net cash used in financing activities. For additional information regarding our financing activities, see Note 11, "Financing Arrangements," to the accompanying unaudited consolidated financial statements.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We exclude cash impacts of items derived from non-operating activities such as taxes paid in connection with divestitures and have also excluded cash paid in connection with the 2020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net cash from operating activities to adjusted free cash flow for the following periods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317,432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(150,357)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Capital Resources including Financing Arrangements</w:t>
      </w:r>
    </w:p>
    <w:p>
      <w:pPr>
        <w:spacing w:after="0" w:line="14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At September 30, 2021, cash and cash equivalents and marketable securities totaled $711.5 million, compared to $571.0 million at December 31, 2020. At September 30, 2021, cash and cash equivalents held by our foreign subsidiaries totaled $141.3 million. The cash and cash equivalents and marketable securities balance for our U.S. operations was $570.2 million at September 30, 2021, and our U.S. operations had net operating cash flows of $360.6 million for the nine months ended September 30, 2021. Additionally, we have a $400.0 million revolving credit facility of which, as of September 30, 2021, approximately $288.5 million was available to borrow and letters of credit under the credit facility in the amount of $111.5 million were outstanding. Based on the above and on our current plans, we believe that our operations have and will continue to have adequate financial resources to satisfy current liquidity needs.</w:t>
      </w:r>
    </w:p>
    <w:p>
      <w:pPr>
        <w:spacing w:after="0" w:line="12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Financing arrangements are discussed in Note 11, “Financing Arrangements,” to our unaudited consolidated financial statements included in this report. 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Furthermore, our existing cash balance and the availability of borrowings under our revolving credit facility provide additional potential sources of liquidity should they be required. We continue to monitor our debt instruments and evaluate opportunities where it may be beneficial to refinance or reallocate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October 8, 2021, we entered into Incremental Facility Amendment No. 2 to our existing Term Loan Agreement. Incremental Facility Amendment No. 2 provided for a new class and series of Term Loans ("2028 Term Loans") in the aggregate principal amount of $1.0 billion. We funded the HydroChemPSC Acquisition with $983.0 million of net proceeds from the issuance of the 2028 Term Loans and $253.4 million of cash on hand. Refer to Note 11, "Financing Arrangements," to our unaudited consolidated financial statements included in this report for further information on the terms of the 2028 Term Loans. We anticipate that our future cash flows provided by operating activities will provide the necessary funds on a short and long-term basis to meet our operating cash requirements, including servicing the incremental 2028 Term Loans used to fund the HydroChemPSC Acquisition.</w:t>
      </w:r>
    </w:p>
    <w:p>
      <w:pPr>
        <w:spacing w:after="0" w:line="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September 30, 2021, we were in compliance with the covenants of all our debt agreements, and we believe it is reasonably likely that we will continue to meet such covenants.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Repurchases Pursuant to Publicly Announced Plan</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common stock repurchases are made pursuant to the previously authorized board approved plan to repurchase up to $600.0 million of the Company's common stock. During the three and nine months ended September 30, 2021, the Company repurchased and retired a total of approximately 33.4 thousand and 533.4 thousand shares of the Company's common stock, respectively, for total expenditures of approximately $3.0 million and $48.4 million, respectively. During the three and nine months ended September 30, 2020, the Company repurchased and retired a total of approximately 0.4 million and 0.7 million shares of the Company's common stock, respectively, for total expenditures of approximately $22.2 million and $39.5 million, respectively.</w:t>
      </w:r>
    </w:p>
    <w:p>
      <w:pPr>
        <w:spacing w:after="0" w:line="111"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Through September 30, 2021, the Company has repurchased and retired a total of approximately 7.6 million shares of its common stock for approximately $438.6 million under this program. As of September 30, 2021, an additional $161.4 million remained available for repurchase of shares under this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2020</w:t>
            </w:r>
          </w:p>
        </w:tc>
        <w:tc>
          <w:tcPr>
            <w:tcW w:w="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Change</w:t>
            </w:r>
          </w:p>
        </w:tc>
        <w:tc>
          <w:tcPr>
            <w:tcW w:w="1840" w:type="dxa"/>
            <w:vAlign w:val="bottom"/>
          </w:tcPr>
          <w:p>
            <w:pPr>
              <w:jc w:val="right"/>
              <w:ind w:right="47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center"/>
              <w:ind w:left="692"/>
              <w:spacing w:after="0"/>
              <w:rPr>
                <w:sz w:val="20"/>
                <w:szCs w:val="20"/>
                <w:color w:val="auto"/>
              </w:rPr>
            </w:pPr>
            <w:r>
              <w:rPr>
                <w:rFonts w:ascii="Arial" w:cs="Arial" w:eastAsia="Arial" w:hAnsi="Arial"/>
                <w:sz w:val="18"/>
                <w:szCs w:val="18"/>
                <w:color w:val="auto"/>
                <w:w w:val="88"/>
              </w:rPr>
              <w:t>5,102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Remedial liabilities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color w:val="auto"/>
                <w:w w:val="91"/>
              </w:rPr>
              <w:t>(3,997)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8"/>
                <w:szCs w:val="18"/>
                <w:color w:val="auto"/>
                <w:w w:val="88"/>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Total environmental liabilities as of September 30, 2021 were $203.8 million, an increase of $1.1 million compared to December 31, 2020, primarily due to accretion of $8.6 million, new liabilities, including those assumed in acquisitions, of $2.4 million and changes in estimates recorded to the consolidated balance sheet of $1.9 million, partially offset by expenditures of $12.2 million.</w:t>
      </w:r>
    </w:p>
    <w:p>
      <w:pPr>
        <w:spacing w:after="0" w:line="10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Events not anticipated (such as future changes in environmental laws and regulations) could require that such payments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Capital expenditures in the first nine months of 2021 were $146.7 million as compared to $150.4 million in the same period of 2020. This decrease was primarily due to the nonrecurring purchase of our corporate headquarters in January of 2020 offset by a return to more normalized spending habits in 2021 as compared to the prior year when we had reduced spending due to the uncertainties of COVID-19. We anticipate that 2021 capital spending, net of disposals, will be in the range of $190.0 million to $210.0 million. This projected amount is inclusive of the capital expenditures for both the legacy Clean Harbors operations and the acquired HydroChemPSC operations. Unanticipated changes in environmental regulations could require us to make significant capital expenditures for our facilities and adversely affect our results of operations and cash flow.</w:t>
      </w:r>
    </w:p>
    <w:p>
      <w:pPr>
        <w:spacing w:after="0" w:line="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Permitting and planning for the new incinerator project at our Kimball, Nebraska facility continue with an estimated completion date in early 2025. We are endeavoring upon this project in response to continued increasing demand for disposal outlets of regulated waste materials, and we expect the new incinerator to have an annual practical capacity of approximately 70,000 tons. We currently anticipate approximately $180.0 million of total capital expenditures for this project, the highest concentration of which is expected in 2022 and 2023. We expect total 2021 capital spending will be approximately $6.0 million, which is included in the 2021 capital spending range noted above, and includes $2.7 million which we have spent as of September 30, 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Other than as described below, there were no material changes in the first nine months of 2021 to the information provided under the heading “Critical Accounting Policies and Estimates” included in our Annual Report on Form 10-K for the year ended December 31, 2020.</w:t>
      </w:r>
    </w:p>
    <w:p>
      <w:pPr>
        <w:spacing w:after="0" w:line="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reviewed for impairment annually as of December 31 or when events or changes in the business environment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0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conducted our annual impairment test of goodwill for all of our reporting units to which goodwill is allocated as of December 31, 2020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we now have three reporting units. 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6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material changes in the first nine months of 2021 to the information provided under Item 7A. “Quantitative and Qualitative Disclosures about Market Risk” in the Company's Annual Report on Form 10-K for the year ended December 31, 2020.</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September 30, 2021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nine months ended September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16, “Commitments and Contingencies,” to the unaudited consolidated financial statements included in Item 1 of this report, which description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have been no material changes to the risk factors from the information provided in Item 1A. in the Company's Annual Report on Form 10-K for the year ended December 31, 2020, with the exception of those discussed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All of Our Businesses</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Natural disasters or other catastrophic events, including pandemics, and their residual macroeconomic effects could negatively affect our business, financial condition and results of operations.</w:t>
      </w:r>
    </w:p>
    <w:p>
      <w:pPr>
        <w:spacing w:after="0" w:line="10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Natural disasters such as hurricanes, tornados or earthquakes or other catastrophic events, including public health threats or outbreaks of communicable diseases such as the recent COVID-19 pandemic, could negatively affect our operations and financial performance. The direct and indirect impact of such events could include physical damage to one or more of our facilities or equipment, the temporary disruption in rail or truck transportation services upon which we rely or the lack of an adequate workforce in markets. These events could prevent or delay shipments to customers or from suppliers, including suppliers of capital equipment, and reduce revenue and volumes. Residual and lingering macroeconomic effects from such events could continue to impact our supply chain, distribution network and/or ability to maintain an adequate work force . These impacts could have a material adverse effect on our business, financial condition and results of operations.</w:t>
      </w:r>
    </w:p>
    <w:p>
      <w:pPr>
        <w:spacing w:after="0" w:line="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HydroChemPSC</w:t>
      </w:r>
    </w:p>
    <w:p>
      <w:pPr>
        <w:spacing w:after="0" w:line="1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the business and operations of HydroChemPSC and any future acquisitions and realize synergies in the expected time frame, our future results could be adversely affected.</w:t>
      </w:r>
    </w:p>
    <w:p>
      <w:pPr>
        <w:spacing w:after="0" w:line="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October 8, 2021, we completed the previously announced acquisition of HydroChemPSC for cash consideration in an amount equal to $1.24 billion, subject to customary purchase price adjustments. Much of the potential benefit of such completed and future acquisitions will depend on our integration of the businesses and operations of the acquired companies into our business and operations through implementation of appropriate management and financial reporting systems and controls. We may experience difficulties in such integration, and the integration process may be costly and time-consuming. Such integration will require the focused attention of both Clean Harbors' and the acquired company's management teams, including a significant commitment of their time and resources, which could have a material impact on the revenues and operating results of the combined company. The success of the acquisition will depend, in part, on the combined company's ability to realize the anticipated benefits from combining the businesses of Clean Harbors and the acquired businesses through cost reductions in overhead, greater efficiencies, cross selling opportunities, increased utilization of support facilities and the adoption of mutual best practices. To realize these anticipated benefits, however, the businesses of Clean Harbors and the acquired companies must be successfully combined.</w:t>
      </w:r>
    </w:p>
    <w:p>
      <w:pPr>
        <w:spacing w:after="0" w:line="11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If the combined company is not able to achieve these objectives, the anticipated benefits to us of the acquisitions may not be realized fully or at all or may take longer to realize than expected. It is possible that the integration processes could result in the loss of key employees, as well as the disruption of each company's ongoing businesses, failure to implement the business plan for the combined company, unanticipated issues in integrating operating, logistics, information, communications and other systems, unanticipated changes in applicable laws and regulations, operating risks inherent in our business or inconsistencies in standards, controls, procedures and policies or other unanticipated issues, expenses and liabilities, any or all of which could adversely affect our ability to maintain relationships with our and the acquired companies' customers and employees or to achieve the anticipated benefits of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HydroChemPSC and other potential acquired companies may expose us to unknown liabilities.</w:t>
      </w:r>
    </w:p>
    <w:p>
      <w:pPr>
        <w:spacing w:after="0" w:line="158" w:lineRule="exact"/>
        <w:rPr>
          <w:sz w:val="20"/>
          <w:szCs w:val="20"/>
          <w:color w:val="auto"/>
        </w:rPr>
      </w:pPr>
    </w:p>
    <w:p>
      <w:pPr>
        <w:jc w:val="both"/>
        <w:ind w:right="220" w:firstLine="648"/>
        <w:spacing w:after="0" w:line="301" w:lineRule="auto"/>
        <w:rPr>
          <w:sz w:val="20"/>
          <w:szCs w:val="20"/>
          <w:color w:val="auto"/>
        </w:rPr>
      </w:pPr>
      <w:r>
        <w:rPr>
          <w:rFonts w:ascii="Arial" w:cs="Arial" w:eastAsia="Arial" w:hAnsi="Arial"/>
          <w:sz w:val="16"/>
          <w:szCs w:val="16"/>
          <w:color w:val="auto"/>
        </w:rPr>
        <w:t>If there are unknown liabilities or other obligations, including contingent liabilities, arising from our acquisitions of HydroChemPSC and other potential acquired companies, our business could be materially affected. We may learn additional information about HydroChemPSC and other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Arial" w:cs="Arial" w:eastAsia="Arial" w:hAnsi="Arial"/>
                <w:sz w:val="16"/>
                <w:szCs w:val="16"/>
                <w:b w:val="1"/>
                <w:bCs w:val="1"/>
                <w:color w:val="auto"/>
                <w:w w:val="92"/>
              </w:rPr>
              <w:t>or Programs</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color w:val="auto"/>
                <w:w w:val="89"/>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Arial" w:cs="Arial" w:eastAsia="Arial" w:hAnsi="Arial"/>
                <w:sz w:val="16"/>
                <w:szCs w:val="16"/>
                <w:b w:val="1"/>
                <w:bCs w:val="1"/>
                <w:color w:val="auto"/>
                <w:w w:val="87"/>
              </w:rPr>
              <w:t xml:space="preserve">(in thousands) </w:t>
            </w:r>
            <w:r>
              <w:rPr>
                <w:rFonts w:ascii="Arial" w:cs="Arial" w:eastAsia="Arial" w:hAnsi="Arial"/>
                <w:sz w:val="21"/>
                <w:szCs w:val="21"/>
                <w:color w:val="auto"/>
                <w:w w:val="87"/>
                <w:vertAlign w:val="superscript"/>
              </w:rPr>
              <w:t>(3)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2021 through July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August 1, 2021 through August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161,442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161,442</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660" w:right="640" w:hanging="328"/>
        <w:spacing w:after="0" w:line="258"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28,111 shares withheld by us from employees to satisfy employee tax obligations upon vesting of restricted stock granted to our employees under the Company's equity incentive plans.</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hanging="328"/>
        <w:spacing w:after="0" w:line="287" w:lineRule="auto"/>
        <w:tabs>
          <w:tab w:leader="none" w:pos="726"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September 30, 2021 we repurchased 33,449 shares under the Rule 10b5-1 plan for a total of $3.0 million. Future repurchases will also be made as open market or privately negotiated transactions as described above. We have no obligation to repurchase stock under this program and may suspend or terminate the repurchase program at any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0"/>
                <w:szCs w:val="20"/>
                <w:color w:val="auto"/>
              </w:rPr>
            </w:pPr>
          </w:p>
        </w:tc>
      </w:tr>
      <w:tr>
        <w:trPr>
          <w:trHeight w:val="345"/>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4"/>
          </w:tcPr>
          <w:p>
            <w:pPr>
              <w:ind w:left="18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188"/>
        </w:trPr>
        <w:tc>
          <w:tcPr>
            <w:tcW w:w="760" w:type="dxa"/>
            <w:vAlign w:val="bottom"/>
            <w:tcBorders>
              <w:top w:val="single" w:sz="8" w:color="auto"/>
            </w:tcBorders>
          </w:tcPr>
          <w:p>
            <w:pPr>
              <w:jc w:val="center"/>
              <w:ind w:left="113"/>
              <w:spacing w:after="0" w:line="189" w:lineRule="exact"/>
              <w:rPr>
                <w:sz w:val="20"/>
                <w:szCs w:val="20"/>
                <w:color w:val="auto"/>
              </w:rPr>
            </w:pPr>
            <w:r>
              <w:rPr>
                <w:rFonts w:ascii="Arial" w:cs="Arial" w:eastAsia="Arial" w:hAnsi="Arial"/>
                <w:sz w:val="18"/>
                <w:szCs w:val="18"/>
                <w:color w:val="auto"/>
                <w:w w:val="91"/>
              </w:rPr>
              <w:t>31.1</w:t>
            </w: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740" w:type="dxa"/>
            <w:vAlign w:val="bottom"/>
            <w:tcBorders>
              <w:top w:val="single" w:sz="8" w:color="auto"/>
              <w:bottom w:val="single" w:sz="8" w:color="0000FF"/>
            </w:tcBorders>
            <w:gridSpan w:val="2"/>
          </w:tcPr>
          <w:p>
            <w:pPr>
              <w:spacing w:after="0" w:line="189" w:lineRule="exact"/>
              <w:rPr>
                <w:rFonts w:ascii="Arial" w:cs="Arial" w:eastAsia="Arial" w:hAnsi="Arial"/>
                <w:sz w:val="18"/>
                <w:szCs w:val="18"/>
                <w:color w:val="0000FF"/>
                <w:w w:val="92"/>
              </w:rPr>
            </w:pPr>
            <w:hyperlink w:anchor="page42">
              <w:r>
                <w:rPr>
                  <w:rFonts w:ascii="Arial" w:cs="Arial" w:eastAsia="Arial" w:hAnsi="Arial"/>
                  <w:sz w:val="18"/>
                  <w:szCs w:val="18"/>
                  <w:color w:val="0000FF"/>
                  <w:w w:val="92"/>
                </w:rPr>
                <w:t>Rule 13a-14a/15d-14(a) Certification of the CEO Alan S. McKim</w:t>
              </w:r>
            </w:hyperlink>
          </w:p>
        </w:tc>
        <w:tc>
          <w:tcPr>
            <w:tcW w:w="3620" w:type="dxa"/>
            <w:vAlign w:val="bottom"/>
            <w:tcBorders>
              <w:top w:val="single" w:sz="8" w:color="auto"/>
            </w:tcBorders>
            <w:gridSpan w:val="2"/>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Filed herewith</w:t>
            </w:r>
          </w:p>
        </w:tc>
      </w:tr>
      <w:tr>
        <w:trPr>
          <w:trHeight w:val="264"/>
        </w:trPr>
        <w:tc>
          <w:tcPr>
            <w:tcW w:w="760" w:type="dxa"/>
            <w:vAlign w:val="bottom"/>
          </w:tcPr>
          <w:p>
            <w:pPr>
              <w:jc w:val="center"/>
              <w:ind w:left="113"/>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Rule 13a-14a/15d-14(a) Certification of the CFO Michael L. Battles</w:t>
              </w:r>
            </w:hyperlink>
          </w:p>
        </w:tc>
        <w:tc>
          <w:tcPr>
            <w:tcW w:w="36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64"/>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bottom w:val="single" w:sz="8" w:color="0000FF"/>
            </w:tcBorders>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Section 1350 Certifications</w:t>
              </w:r>
            </w:hyperlink>
          </w:p>
        </w:tc>
        <w:tc>
          <w:tcPr>
            <w:tcW w:w="660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50"/>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6"/>
              </w:rPr>
              <w:t>101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auto"/>
                <w:w w:val="96"/>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Arial" w:cs="Arial" w:eastAsia="Arial" w:hAnsi="Arial"/>
                <w:sz w:val="18"/>
                <w:szCs w:val="18"/>
                <w:color w:val="auto"/>
                <w:w w:val="96"/>
              </w:rPr>
              <w:t>Form 10-Q of Clean Harbors, Inc. for the quarterly period ended September 30, 2021, formatted in iXBRL (Inline</w:t>
            </w:r>
          </w:p>
        </w:tc>
        <w:tc>
          <w:tcPr>
            <w:tcW w:w="148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Arial" w:cs="Arial" w:eastAsia="Arial" w:hAnsi="Arial"/>
                <w:sz w:val="18"/>
                <w:szCs w:val="18"/>
                <w:color w:val="auto"/>
              </w:rPr>
              <w:t>eXtensible Business Reporting Language): (i) Consolidated Balance Sheets, (ii) Unaudited Consolidated</w:t>
            </w:r>
          </w:p>
        </w:tc>
        <w:tc>
          <w:tcPr>
            <w:tcW w:w="1480" w:type="dxa"/>
            <w:vAlign w:val="bottom"/>
          </w:tcPr>
          <w:p>
            <w:pPr>
              <w:spacing w:after="0"/>
              <w:rPr>
                <w:sz w:val="15"/>
                <w:szCs w:val="15"/>
                <w:color w:val="auto"/>
              </w:rPr>
            </w:pPr>
          </w:p>
        </w:tc>
      </w:tr>
      <w:tr>
        <w:trPr>
          <w:trHeight w:val="175"/>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Arial" w:cs="Arial" w:eastAsia="Arial" w:hAnsi="Arial"/>
                <w:sz w:val="18"/>
                <w:szCs w:val="18"/>
                <w:color w:val="auto"/>
                <w:w w:val="98"/>
              </w:rPr>
              <w:t>Statements of Operations, (iii) Unaudited Consolidated Statements of Comprehensive Income, (iv) Unaudited</w:t>
            </w:r>
          </w:p>
        </w:tc>
        <w:tc>
          <w:tcPr>
            <w:tcW w:w="148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Arial" w:cs="Arial" w:eastAsia="Arial" w:hAnsi="Arial"/>
                <w:sz w:val="18"/>
                <w:szCs w:val="18"/>
                <w:color w:val="auto"/>
                <w:w w:val="98"/>
              </w:rPr>
              <w:t>Consolidated Statements of Cash Flows, (v) Unaudited Consolidated Statements of Stockholders’ Equity and</w:t>
            </w:r>
          </w:p>
        </w:tc>
        <w:tc>
          <w:tcPr>
            <w:tcW w:w="1480" w:type="dxa"/>
            <w:vAlign w:val="bottom"/>
          </w:tcPr>
          <w:p>
            <w:pPr>
              <w:spacing w:after="0"/>
              <w:rPr>
                <w:sz w:val="15"/>
                <w:szCs w:val="15"/>
                <w:color w:val="auto"/>
              </w:rPr>
            </w:pP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auto"/>
              </w:rPr>
              <w:t>(vi) Notes to Unaudited Consolidated Financial Statements.</w:t>
            </w:r>
          </w:p>
        </w:tc>
        <w:tc>
          <w:tcPr>
            <w:tcW w:w="1480" w:type="dxa"/>
            <w:vAlign w:val="bottom"/>
          </w:tcPr>
          <w:p>
            <w:pPr>
              <w:spacing w:after="0"/>
              <w:rPr>
                <w:sz w:val="20"/>
                <w:szCs w:val="20"/>
                <w:color w:val="auto"/>
              </w:rPr>
            </w:pPr>
          </w:p>
        </w:tc>
      </w:tr>
    </w:tbl>
    <w:p>
      <w:pPr>
        <w:spacing w:after="0" w:line="52" w:lineRule="exact"/>
        <w:rPr>
          <w:sz w:val="20"/>
          <w:szCs w:val="20"/>
          <w:color w:val="auto"/>
        </w:rPr>
      </w:pPr>
    </w:p>
    <w:p>
      <w:pPr>
        <w:ind w:left="1180" w:right="1820" w:hanging="841"/>
        <w:spacing w:after="0" w:line="235"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quarterly period ended September 30, 2021, formatted in iXBRL and contained in 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44" w:lineRule="exact"/>
        <w:rPr>
          <w:sz w:val="20"/>
          <w:szCs w:val="20"/>
          <w:color w:val="auto"/>
        </w:rPr>
      </w:pPr>
    </w:p>
    <w:p>
      <w:pPr>
        <w:ind w:left="660" w:right="380" w:hanging="490"/>
        <w:spacing w:after="0" w:line="263"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CLEAN HARBORS,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576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Chairman, President and Chief Executive Officer</w:t>
      </w:r>
    </w:p>
    <w:p>
      <w:pPr>
        <w:spacing w:after="0" w:line="8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3, 2021</w:t>
      </w:r>
    </w:p>
    <w:p>
      <w:pPr>
        <w:spacing w:after="0" w:line="77" w:lineRule="exact"/>
        <w:rPr>
          <w:sz w:val="20"/>
          <w:szCs w:val="20"/>
          <w:color w:val="auto"/>
        </w:rPr>
      </w:pPr>
    </w:p>
    <w:p>
      <w:pPr>
        <w:ind w:left="576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60"/>
          </w:cols>
          <w:pgMar w:left="320" w:top="125" w:right="9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3"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3" w:lineRule="auto"/>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jc w:val="both"/>
        <w:ind w:right="180" w:firstLine="648"/>
        <w:spacing w:after="0" w:line="281"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September 30, 2021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2" w:lineRule="exact"/>
        <w:rPr>
          <w:sz w:val="20"/>
          <w:szCs w:val="20"/>
          <w:color w:val="auto"/>
        </w:rPr>
      </w:pPr>
    </w:p>
    <w:p>
      <w:pPr>
        <w:ind w:left="59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November 3, 2021</w:t>
      </w:r>
    </w:p>
    <w:p>
      <w:pPr>
        <w:spacing w:after="0" w:line="252" w:lineRule="exact"/>
        <w:rPr>
          <w:sz w:val="20"/>
          <w:szCs w:val="20"/>
          <w:color w:val="auto"/>
        </w:rPr>
      </w:pPr>
    </w:p>
    <w:p>
      <w:pPr>
        <w:ind w:left="59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97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November 3,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0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2021-11-03T09:48:53Z</dcterms:created>
  <dcterms:modified xsi:type="dcterms:W3CDTF">2021-11-03T09:48:53Z</dcterms:modified>
</cp:coreProperties>
</file>