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21590</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21" w:lineRule="exact"/>
        <w:rPr>
          <w:sz w:val="24"/>
          <w:szCs w:val="24"/>
          <w:color w:val="auto"/>
        </w:rPr>
      </w:pPr>
    </w:p>
    <w:p>
      <w:pPr>
        <w:ind w:left="1780" w:hanging="465"/>
        <w:spacing w:after="0"/>
        <w:tabs>
          <w:tab w:leader="none" w:pos="17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6" w:lineRule="exact"/>
        <w:rPr>
          <w:sz w:val="24"/>
          <w:szCs w:val="24"/>
          <w:color w:val="auto"/>
        </w:rPr>
      </w:pPr>
    </w:p>
    <w:p>
      <w:pPr>
        <w:ind w:left="3140"/>
        <w:spacing w:after="0"/>
        <w:tabs>
          <w:tab w:leader="none" w:pos="596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32"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780" w:hanging="465"/>
        <w:spacing w:after="0"/>
        <w:tabs>
          <w:tab w:leader="none" w:pos="17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242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001-34223</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-157480</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20320</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99"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50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04-2997780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42 Longwater Drive Norwell  MA</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02061-9149</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(781) 792-5000</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Securities Exchange Act of 1934:</w:t>
      </w:r>
    </w:p>
    <w:p>
      <w:pPr>
        <w:spacing w:after="0" w:line="100" w:lineRule="exact"/>
        <w:rPr>
          <w:sz w:val="24"/>
          <w:szCs w:val="24"/>
          <w:color w:val="auto"/>
        </w:rPr>
      </w:pPr>
    </w:p>
    <w:tbl>
      <w:tblPr>
        <w:tblLayout w:type="fixed"/>
        <w:tblInd w:w="160" w:type="dxa"/>
        <w:tblCellMar>
          <w:top w:w="0" w:type="dxa"/>
          <w:left w:w="0" w:type="dxa"/>
          <w:bottom w:w="0" w:type="dxa"/>
          <w:right w:w="0" w:type="dxa"/>
        </w:tblCellMar>
      </w:tblPr>
      <w:tr>
        <w:trPr>
          <w:trHeight w:val="215"/>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CLH</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95" w:lineRule="exact"/>
        <w:rPr>
          <w:sz w:val="24"/>
          <w:szCs w:val="24"/>
          <w:color w:val="auto"/>
        </w:rPr>
      </w:pPr>
    </w:p>
    <w:p>
      <w:pPr>
        <w:ind w:left="340" w:right="2220"/>
        <w:spacing w:after="0" w:line="30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0" w:lineRule="exact"/>
        <w:rPr>
          <w:sz w:val="24"/>
          <w:szCs w:val="24"/>
          <w:color w:val="auto"/>
        </w:rPr>
      </w:pPr>
    </w:p>
    <w:p>
      <w:pPr>
        <w:ind w:right="36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ind w:right="80" w:firstLine="324"/>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3" w:right="339" w:bottom="1440" w:gutter="0" w:footer="0" w:header="0"/>
        </w:sectPr>
      </w:pPr>
    </w:p>
    <w:p>
      <w:pPr>
        <w:spacing w:after="0" w:line="7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70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9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07" w:lineRule="exact"/>
        <w:rPr>
          <w:sz w:val="24"/>
          <w:szCs w:val="24"/>
          <w:color w:val="auto"/>
        </w:rPr>
      </w:pPr>
    </w:p>
    <w:p>
      <w:pPr>
        <w:sectPr>
          <w:pgSz w:w="11900" w:h="16838" w:orient="portrait"/>
          <w:cols w:equalWidth="0" w:num="3">
            <w:col w:w="4220" w:space="100"/>
            <w:col w:w="2140" w:space="720"/>
            <w:col w:w="4060"/>
          </w:cols>
          <w:pgMar w:left="320" w:top="223" w:right="339" w:bottom="1440" w:gutter="0" w:footer="0" w:header="0"/>
          <w:type w:val="continuous"/>
        </w:sectPr>
      </w:pPr>
    </w:p>
    <w:p>
      <w:pPr>
        <w:ind w:right="26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jc w:val="center"/>
        <w:ind w:right="14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2" w:lineRule="exact"/>
        <w:rPr>
          <w:sz w:val="24"/>
          <w:szCs w:val="24"/>
          <w:color w:val="auto"/>
        </w:rPr>
      </w:pPr>
    </w:p>
    <w:p>
      <w:pPr>
        <w:ind w:right="22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 w:lineRule="exact"/>
        <w:rPr>
          <w:sz w:val="24"/>
          <w:szCs w:val="24"/>
          <w:color w:val="auto"/>
        </w:rPr>
      </w:pPr>
    </w:p>
    <w:p>
      <w:pPr>
        <w:ind w:right="24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34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1" w:lineRule="exact"/>
        <w:rPr>
          <w:sz w:val="24"/>
          <w:szCs w:val="24"/>
          <w:color w:val="auto"/>
        </w:rPr>
      </w:pPr>
    </w:p>
    <w:p>
      <w:pPr>
        <w:ind w:right="180" w:firstLine="324"/>
        <w:spacing w:after="0" w:line="290" w:lineRule="auto"/>
        <w:rPr>
          <w:sz w:val="20"/>
          <w:szCs w:val="20"/>
          <w:color w:val="auto"/>
        </w:rPr>
      </w:pPr>
      <w:r>
        <w:rPr>
          <w:rFonts w:ascii="Times New Roman" w:cs="Times New Roman" w:eastAsia="Times New Roman" w:hAnsi="Times New Roman"/>
          <w:sz w:val="16"/>
          <w:szCs w:val="16"/>
          <w:color w:val="auto"/>
        </w:rPr>
        <w:t>The aggregate market value of the voting Common Stock held by non-affiliates at June 30, 2023 was approximately $8.3 billion using the New York Stock Exchange closing price for such shares on that date. For purposes of this calculation, all directors and executive officers are affiliates.)</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On February 14, 2024, there were outstanding 53,940,747 shares of Common Stock, $0.01 par value.</w:t>
      </w: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4260" w:type="dxa"/>
            <w:vAlign w:val="bottom"/>
            <w:gridSpan w:val="2"/>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w w:val="99"/>
              </w:rPr>
              <w:t>Document</w:t>
            </w:r>
          </w:p>
        </w:tc>
        <w:tc>
          <w:tcPr>
            <w:tcW w:w="4240" w:type="dxa"/>
            <w:vAlign w:val="bottom"/>
            <w:gridSpan w:val="2"/>
          </w:tcPr>
          <w:p>
            <w:pPr>
              <w:jc w:val="center"/>
              <w:ind w:right="2960"/>
              <w:spacing w:after="0"/>
              <w:rPr>
                <w:sz w:val="20"/>
                <w:szCs w:val="20"/>
                <w:color w:val="auto"/>
              </w:rPr>
            </w:pPr>
            <w:r>
              <w:rPr>
                <w:rFonts w:ascii="Times New Roman" w:cs="Times New Roman" w:eastAsia="Times New Roman" w:hAnsi="Times New Roman"/>
                <w:sz w:val="16"/>
                <w:szCs w:val="16"/>
                <w:b w:val="1"/>
                <w:bCs w:val="1"/>
                <w:color w:val="auto"/>
              </w:rPr>
              <w:t>Incorporated as to</w:t>
            </w:r>
          </w:p>
        </w:tc>
      </w:tr>
      <w:tr>
        <w:trPr>
          <w:trHeight w:val="20"/>
        </w:trPr>
        <w:tc>
          <w:tcPr>
            <w:tcW w:w="2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82"/>
        </w:trPr>
        <w:tc>
          <w:tcPr>
            <w:tcW w:w="7000" w:type="dxa"/>
            <w:vAlign w:val="bottom"/>
            <w:gridSpan w:val="3"/>
          </w:tcPr>
          <w:p>
            <w:pPr>
              <w:jc w:val="center"/>
              <w:ind w:right="820"/>
              <w:spacing w:after="0" w:line="183" w:lineRule="exact"/>
              <w:rPr>
                <w:sz w:val="20"/>
                <w:szCs w:val="20"/>
                <w:color w:val="auto"/>
              </w:rPr>
            </w:pPr>
            <w:r>
              <w:rPr>
                <w:rFonts w:ascii="Times New Roman" w:cs="Times New Roman" w:eastAsia="Times New Roman" w:hAnsi="Times New Roman"/>
                <w:sz w:val="16"/>
                <w:szCs w:val="16"/>
                <w:color w:val="auto"/>
              </w:rPr>
              <w:t>Proxy Statement for the</w:t>
            </w:r>
          </w:p>
        </w:tc>
        <w:tc>
          <w:tcPr>
            <w:tcW w:w="4240" w:type="dxa"/>
            <w:vAlign w:val="bottom"/>
            <w:gridSpan w:val="2"/>
          </w:tcPr>
          <w:p>
            <w:pPr>
              <w:jc w:val="center"/>
              <w:ind w:right="2980"/>
              <w:spacing w:after="0" w:line="183" w:lineRule="exact"/>
              <w:rPr>
                <w:sz w:val="20"/>
                <w:szCs w:val="20"/>
                <w:color w:val="auto"/>
              </w:rPr>
            </w:pPr>
            <w:r>
              <w:rPr>
                <w:rFonts w:ascii="Times New Roman" w:cs="Times New Roman" w:eastAsia="Times New Roman" w:hAnsi="Times New Roman"/>
                <w:sz w:val="16"/>
                <w:szCs w:val="16"/>
                <w:color w:val="auto"/>
              </w:rPr>
              <w:t>Part III</w:t>
            </w:r>
          </w:p>
        </w:tc>
      </w:tr>
      <w:tr>
        <w:trPr>
          <w:trHeight w:val="210"/>
        </w:trPr>
        <w:tc>
          <w:tcPr>
            <w:tcW w:w="700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2024 Annual Meeting of Stockholders</w:t>
            </w:r>
          </w:p>
        </w:tc>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850"/>
        </w:trPr>
        <w:tc>
          <w:tcPr>
            <w:tcW w:w="2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No</w:t>
            </w:r>
          </w:p>
        </w:tc>
      </w:tr>
      <w:tr>
        <w:trPr>
          <w:trHeight w:val="176"/>
        </w:trPr>
        <w:tc>
          <w:tcPr>
            <w:tcW w:w="40" w:type="dxa"/>
            <w:vAlign w:val="bottom"/>
          </w:tcPr>
          <w:p>
            <w:pPr>
              <w:spacing w:after="0"/>
              <w:rPr>
                <w:sz w:val="15"/>
                <w:szCs w:val="15"/>
                <w:color w:val="auto"/>
              </w:rPr>
            </w:pPr>
          </w:p>
        </w:tc>
        <w:tc>
          <w:tcPr>
            <w:tcW w:w="46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FF"/>
                <w:w w:val="96"/>
              </w:rPr>
              <w:t>Part I</w:t>
            </w:r>
          </w:p>
        </w:tc>
        <w:tc>
          <w:tcPr>
            <w:tcW w:w="11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900" w:type="dxa"/>
            <w:vAlign w:val="bottom"/>
            <w:gridSpan w:val="2"/>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900" w:type="dxa"/>
            <w:vAlign w:val="bottom"/>
            <w:gridSpan w:val="2"/>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5"/>
              </w:rPr>
              <w:t>Item 1C.</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80" w:type="dxa"/>
            <w:vAlign w:val="bottom"/>
            <w:gridSpan w:val="3"/>
          </w:tcPr>
          <w:p>
            <w:pPr>
              <w:spacing w:after="0"/>
              <w:rPr>
                <w:sz w:val="18"/>
                <w:szCs w:val="18"/>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5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040" w:type="dxa"/>
            <w:vAlign w:val="bottom"/>
            <w:gridSpan w:val="4"/>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7A.</w:t>
            </w:r>
          </w:p>
        </w:tc>
        <w:tc>
          <w:tcPr>
            <w:tcW w:w="460" w:type="dxa"/>
            <w:vAlign w:val="bottom"/>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520" w:type="dxa"/>
            <w:vAlign w:val="bottom"/>
            <w:tcBorders>
              <w:top w:val="single" w:sz="8" w:color="0000FF"/>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3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520" w:type="dxa"/>
            <w:vAlign w:val="bottom"/>
            <w:gridSpan w:val="7"/>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900" w:type="dxa"/>
            <w:vAlign w:val="bottom"/>
            <w:gridSpan w:val="2"/>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900" w:type="dxa"/>
            <w:vAlign w:val="bottom"/>
            <w:gridSpan w:val="2"/>
          </w:tcPr>
          <w:p>
            <w:pPr>
              <w:spacing w:after="0"/>
              <w:rPr>
                <w:sz w:val="18"/>
                <w:szCs w:val="18"/>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5"/>
              </w:rPr>
              <w:t>Item 9C.</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0"/>
              </w:rPr>
              <w:t>Part III</w:t>
            </w:r>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10.</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980" w:type="dxa"/>
            <w:vAlign w:val="bottom"/>
            <w:gridSpan w:val="3"/>
          </w:tcPr>
          <w:p>
            <w:pPr>
              <w:spacing w:after="0"/>
              <w:rPr>
                <w:sz w:val="18"/>
                <w:szCs w:val="18"/>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12.</w:t>
            </w: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9"/>
              </w:rPr>
              <w:t>Item 13.</w:t>
            </w:r>
          </w:p>
        </w:tc>
        <w:tc>
          <w:tcPr>
            <w:tcW w:w="520" w:type="dxa"/>
            <w:vAlign w:val="bottom"/>
            <w:tcBorders>
              <w:top w:val="single" w:sz="8" w:color="0000FF"/>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14.</w:t>
            </w:r>
          </w:p>
        </w:tc>
        <w:tc>
          <w:tcPr>
            <w:tcW w:w="980" w:type="dxa"/>
            <w:vAlign w:val="bottom"/>
            <w:gridSpan w:val="3"/>
          </w:tcPr>
          <w:p>
            <w:pPr>
              <w:spacing w:after="0"/>
              <w:rPr>
                <w:sz w:val="18"/>
                <w:szCs w:val="18"/>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980" w:type="dxa"/>
            <w:vAlign w:val="bottom"/>
            <w:gridSpan w:val="3"/>
          </w:tcPr>
          <w:p>
            <w:pPr>
              <w:spacing w:after="0"/>
              <w:rPr>
                <w:sz w:val="18"/>
                <w:szCs w:val="18"/>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980" w:type="dxa"/>
            <w:vAlign w:val="bottom"/>
            <w:gridSpan w:val="3"/>
          </w:tcPr>
          <w:p>
            <w:pPr>
              <w:spacing w:after="0"/>
              <w:rPr>
                <w:sz w:val="18"/>
                <w:szCs w:val="18"/>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r>
      <w:tr>
        <w:trPr>
          <w:trHeight w:val="986"/>
        </w:trPr>
        <w:tc>
          <w:tcPr>
            <w:tcW w:w="4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4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identified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2024.</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Clean Harbors, Inc. and its subsidiaries (collectively, "we," "Clean Harbors" or the "Company") is a leading provider of sustainable environmental and industrial services throughout North America. Everywhere industry meets the environment, we strive to provide eco-friendly services and products that protect and restore North America's natural environment. We are also the largest provider of parts cleaning and related environmental services to general manufacturing, automotive and commercial customers in North America and the largest re-refiner and recycler of used oil in North America. One of our primary goals as a company is supporting our customers in providing environmentally responsible solutions to further their sustainability goals in today's rapidly changing world.</w:t>
      </w:r>
    </w:p>
    <w:p>
      <w:pPr>
        <w:spacing w:after="0" w:line="120"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We have two operating segments through which the Company conducts its operations: (i) the Environmental Services segment and (ii) the Safety-Kleen Sustainability Solutions segment.</w:t>
      </w:r>
    </w:p>
    <w:p>
      <w:pPr>
        <w:spacing w:after="0" w:line="77" w:lineRule="exact"/>
        <w:rPr>
          <w:sz w:val="20"/>
          <w:szCs w:val="20"/>
          <w:color w:val="auto"/>
        </w:rPr>
      </w:pPr>
    </w:p>
    <w:p>
      <w:pPr>
        <w:ind w:left="660" w:right="80" w:hanging="328"/>
        <w:spacing w:after="0" w:line="273"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Environmental Services </w:t>
      </w:r>
      <w:r>
        <w:rPr>
          <w:rFonts w:ascii="Times New Roman" w:cs="Times New Roman" w:eastAsia="Times New Roman" w:hAnsi="Times New Roman"/>
          <w:sz w:val="17"/>
          <w:szCs w:val="17"/>
          <w:color w:val="auto"/>
        </w:rPr>
        <w:t>- Our Environmental Services business offers an array of services to customers. We safely collect, transport, treat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dispose of hazardous and non-hazardous waste through our network of over 100 waste disposal facilities including incinerators, landfills, and treatment, storage and disposal facilities ("TSDFs"). Our emergency response services leverage specialized equipment, expertise and responsiveness to support our customers. We also leverage our assets to perform a wide range of industrial maintenance and specialty industrial services, both planned and unplanned. We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103" w:lineRule="exact"/>
        <w:rPr>
          <w:rFonts w:ascii="Times New Roman" w:cs="Times New Roman" w:eastAsia="Times New Roman" w:hAnsi="Times New Roman"/>
          <w:sz w:val="17"/>
          <w:szCs w:val="17"/>
          <w:color w:val="auto"/>
        </w:rPr>
      </w:pPr>
    </w:p>
    <w:p>
      <w:pPr>
        <w:ind w:left="660" w:right="34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w:t>
      </w:r>
      <w:r>
        <w:rPr>
          <w:rFonts w:ascii="Times New Roman" w:cs="Times New Roman" w:eastAsia="Times New Roman" w:hAnsi="Times New Roman"/>
          <w:sz w:val="18"/>
          <w:szCs w:val="18"/>
          <w:color w:val="auto"/>
        </w:rPr>
        <w:t>- Our Safety-Kleen Sustainability Solutions ("SKSS") business offerings span the life-cycle of oil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sustainable lubricant products. Our teams collect used oil which serves as feedstock for our eight oil re-refineries. At our facilities, we manufacture, formulate and package high quality lubricants which are returned to the marketplace, providing our customers with sustainable solutions to meet their oil and lubricant demands.</w:t>
      </w:r>
    </w:p>
    <w:p>
      <w:pPr>
        <w:spacing w:after="0" w:line="11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Clean Harbors, Inc. was incorporated in Massachusetts in 1980 and our principal executive offices are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 charters for our board committees, and our code of ethics for members of the board of directors, our Co-Chief Executive Officers and our other senior executive officers are available on our website. Should it be necessary, any waivers for such policies will also be posted on our website. In September 2023, we published our 2023 Sustainability Supplement which updates some of our key sustainability metrics through 2022 and is intended as a companion to our 2021 Clean Harbors' Sustainability Report. These publications are available on our website's Sustainability page. Our website and the information contained therein or connected thereto are not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Safety</w:t>
      </w:r>
    </w:p>
    <w:p>
      <w:pPr>
        <w:spacing w:after="0" w:line="162"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 xml:space="preserve">Safety is a core value throughout Clean Harbors. Employees at all levels of our Company share this belief and are committed to keeping our teams, customers and communities safe. Our </w:t>
      </w:r>
      <w:r>
        <w:rPr>
          <w:rFonts w:ascii="Times New Roman" w:cs="Times New Roman" w:eastAsia="Times New Roman" w:hAnsi="Times New Roman"/>
          <w:sz w:val="18"/>
          <w:szCs w:val="18"/>
          <w:i w:val="1"/>
          <w:iCs w:val="1"/>
          <w:color w:val="auto"/>
        </w:rPr>
        <w:t>Safety Starts with Me: Live It 3-6-5</w:t>
      </w:r>
      <w:r>
        <w:rPr>
          <w:rFonts w:ascii="Times New Roman" w:cs="Times New Roman" w:eastAsia="Times New Roman" w:hAnsi="Times New Roman"/>
          <w:sz w:val="18"/>
          <w:szCs w:val="18"/>
          <w:color w:val="auto"/>
        </w:rPr>
        <w:t xml:space="preserve"> mindset, is the foundation to our overall safety approach. This mindset is organized around three Safety Philosophies, six Golden Rules of Safety and each employee’s five personal reasons why they choose to be safe at work, while operating a vehicle or at home. This overall approach, along with other targeted safety programs, have enabled us to achieve continued safety improvement across our Company. For the year ended December 31, 2023, our key safety metrics of Total Recordable Incident Rate ("TRIR") and Days Away, Restricted Activity and Transfer Rate ("DART"), were 0.63 and 0.35, respectively. TRIR is a measure of total recordable injuries relative to hours worked while DART is a measure of recordable injury severity for the hours worked. This year marked another all-time best for both TRIR and DART in the Company's history, which further highlights the commitment to safety and continuous improvement across the Company.</w:t>
      </w:r>
    </w:p>
    <w:p>
      <w:pPr>
        <w:spacing w:after="0" w:line="111"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Moving forward, we remain focused on the safety of our teams, our customers and the communities in which we work, live and drive. We will be relentless in our pursuit to improve how we work through effective partnering and collaboration, as well as innovation and technological solutions which deliver on our promise to ourselves, our customers and our neighbors. It starts with us, and we live it 3-6-5.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regard compliance with applicable regulations as a critical component of our overall operations and we maintain a compliance organization that is independent of the operations of the business to monitor and provide oversight throughout our organization. We strive to maintain strict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 and a compliance audit staff who routinely conduct audits of our programs.</w:t>
      </w:r>
    </w:p>
    <w:p>
      <w:pPr>
        <w:spacing w:after="0" w:line="10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Our facilities are also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As noted above, Safety is our underlying core value and we believe our long standing commitment to safety is an important competitive strength of Clean Harbors. We have attained leading positions across our business lines despite facing robust competition from local, regional and national firms. We believe the following are our core competitive strengths developed over our 40+ years of operations which have and will continue to facilitate our prominent position in the marketplace:</w:t>
      </w:r>
    </w:p>
    <w:p>
      <w:pPr>
        <w:spacing w:after="0" w:line="95" w:lineRule="exact"/>
        <w:rPr>
          <w:sz w:val="20"/>
          <w:szCs w:val="20"/>
          <w:color w:val="auto"/>
        </w:rPr>
      </w:pPr>
    </w:p>
    <w:p>
      <w:pPr>
        <w:ind w:left="660" w:right="2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Provider of Environmental and Industrial Services - </w:t>
      </w:r>
      <w:r>
        <w:rPr>
          <w:rFonts w:ascii="Times New Roman" w:cs="Times New Roman" w:eastAsia="Times New Roman" w:hAnsi="Times New Roman"/>
          <w:sz w:val="18"/>
          <w:szCs w:val="18"/>
          <w:color w:val="auto"/>
        </w:rPr>
        <w:t>We are a leading provider of environmental and industrial services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sustainable solutions that help our customers protect the environment. We own nine commercial hazardous waste incinerators, making us the largest operator of such high demand facilities in North America. In order to help meet increasing demands for disposal capabilities, we are on schedule to open our tenth incinerator in Kimball Nebraska in late 2024. We are also one of the few industrial services companies with footprints across both the U.S. and Canada. Our highly trained workforce safely responds to customer needs across a variety of service lines, including emergency response services and plant turnarounds. We provide multi-faceted, high-quality services to a broad mix of customers and our vast capabilities, valuable and unique assets, skilled workforce, safety profile and breadth of services as well as our overall size, scale and geographic footprint help us attract customers and provide them with environmentally responsible solutions.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Network of Assets - </w:t>
      </w:r>
      <w:r>
        <w:rPr>
          <w:rFonts w:ascii="Times New Roman" w:cs="Times New Roman" w:eastAsia="Times New Roman" w:hAnsi="Times New Roman"/>
          <w:sz w:val="18"/>
          <w:szCs w:val="18"/>
          <w:color w:val="auto"/>
        </w:rPr>
        <w:t>We believe, in the aggregate, we operate the largest number of commercial hazardous waste incinerators,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landfills, treatment facilities and TSDFs in North America. We also operate our significant fleet of more than 20,000 vehicles across a transportation network spanning the U.S. and Canada. Our broad service network enables us to effectively handle a hazardous waste stream from its origin through disposal while internalizing transportation to reduce costs. Our breadth of waste disposal outlets allows us to efficiently internalize a greater volume of waste in our incinerators, landfills and other disposal facilities. These assets are very difficult to duplicate and maintain because, in addition to sizable required capital investments, there are significant permitting, regulatory approvals and ongoing compliance regulations necessary in order for new commercial waste disposal sites to come on-line and remain operational. In addition, expertise gained through years of experience is paramount to safely operating such facilities. As such, these longstanding capabilities exhibited by us create a competitive advantage and provide substantial value for our network.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74"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Comprehensive Service Capabilities Complementing our Customers' Sustainability Goals - </w:t>
      </w:r>
      <w:r>
        <w:rPr>
          <w:rFonts w:ascii="Times New Roman" w:cs="Times New Roman" w:eastAsia="Times New Roman" w:hAnsi="Times New Roman"/>
          <w:sz w:val="17"/>
          <w:szCs w:val="17"/>
          <w:color w:val="auto"/>
        </w:rPr>
        <w:t>Our comprehensive service offerings and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catalog allow us to act as a full service provider of sustainable options for our customers' needs. Not only can our customers rely on Clean Harbors to be a sustainability partner, but they can minimize the number of outside vendors utilized and rely on us as a "one-stop-shop" service provider.</w:t>
      </w:r>
    </w:p>
    <w:p>
      <w:pPr>
        <w:ind w:left="660"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breadth of service offerings creates incremental revenue growth with no single competitor offering the portfolio of services that we can provide to our customers. Our workforce is trained to fulfill a multitude of customer needs and our complementary lines of business help keep us steady in times of market uncertainty. In addition, our proprietary and integrated technology platforms utilized to deliver our services provides a competitive advantage for us and continuous investments provide incremental value to our customers' experience.</w:t>
      </w:r>
    </w:p>
    <w:p>
      <w:pPr>
        <w:spacing w:after="0" w:line="117" w:lineRule="exact"/>
        <w:rPr>
          <w:rFonts w:ascii="Times New Roman" w:cs="Times New Roman" w:eastAsia="Times New Roman" w:hAnsi="Times New Roman"/>
          <w:sz w:val="17"/>
          <w:szCs w:val="17"/>
          <w:color w:val="auto"/>
        </w:rPr>
      </w:pPr>
    </w:p>
    <w:p>
      <w:pPr>
        <w:ind w:left="660" w:right="12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Used Motor Oil Collection and Re-refining Capabilities - </w:t>
      </w:r>
      <w:r>
        <w:rPr>
          <w:rFonts w:ascii="Times New Roman" w:cs="Times New Roman" w:eastAsia="Times New Roman" w:hAnsi="Times New Roman"/>
          <w:sz w:val="18"/>
          <w:szCs w:val="18"/>
          <w:color w:val="auto"/>
        </w:rPr>
        <w:t>As the largest re-refiner and recycler of used oil in North America, during 2023,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and processed 235 million gallons of used oil and returned approximately 221 million gallons of new re-refined oil, lubricants and byproducts back into the marketplace. Our ability to collect used lubricants from customers and have the capability to then re-refine and produce high-quality, environmentally responsible recycled products sets us apart from many competitors in the space. In 2023, by collecting and then re-refining this used oil, we helped avoid the creation of approximately 1.4 million metric tons of greenhouse gas ("GHG"). The estimated GHG avoided as a result of our re-refining process in 2023 is equivalent to growing approximately 23 million trees for 10 years or taking over 318,000 passenger cars off the road for one year.</w:t>
      </w:r>
    </w:p>
    <w:p>
      <w:pPr>
        <w:spacing w:after="0" w:line="101"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Cost Management - </w:t>
      </w:r>
      <w:r>
        <w:rPr>
          <w:rFonts w:ascii="Times New Roman" w:cs="Times New Roman" w:eastAsia="Times New Roman" w:hAnsi="Times New Roman"/>
          <w:sz w:val="18"/>
          <w:szCs w:val="18"/>
          <w:color w:val="auto"/>
        </w:rPr>
        <w:t>We have effective cost management programs in place in order to maintain or improve our overall margins in 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inflation and other drivers of higher costs. Our significant scale allows us to lower costs through standardized compliance procedures and significant purchasing power. Leveraging our investment in technology and our ability to efficiently utilize logistics and transportation, we strive to direct waste streams to the most efficient facility. We also use internal resources to transport and process the substantial majority of all hazardous waste that we manage for our customers. Our SKSS segment results are significantly impacted by the overall market pricing associated with oil products. To reduce this commodity exposure, we manage the pricing on our used oil collection services which allows us to effectively manage the re-refinery spreads inherent in our SKSS business. Across the entire Company, our support functions are highly leverageable also driving improved operating margins.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and Diversified Customer Base - </w:t>
      </w:r>
      <w:r>
        <w:rPr>
          <w:rFonts w:ascii="Times New Roman" w:cs="Times New Roman" w:eastAsia="Times New Roman" w:hAnsi="Times New Roman"/>
          <w:sz w:val="18"/>
          <w:szCs w:val="18"/>
          <w:color w:val="auto"/>
        </w:rPr>
        <w:t>Our customer portfolio ranges from small companies to Fortune 500 companies and includes public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entities that span multiple industries and business types, including government entities. This diversification opens opportunities for cross-selling our large portfolio of services and limits our credit exposure to any single customer and potential cyclicality in any one industry. As a percentage of our 2023 revenues, the top ten industries we serviced totaled approximately 80% of revenues and included chemical (16%), general manufacturing (14%), refineries (14%), automotive (8%), base and blended oils (7%), utilities (6%), government (4%), oil and gas (4%), transportation (4%), and construction (3%).</w:t>
      </w:r>
    </w:p>
    <w:p>
      <w:pPr>
        <w:spacing w:after="0" w:line="114"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Stable and Recurring Revenue Base </w:t>
      </w:r>
      <w:r>
        <w:rPr>
          <w:rFonts w:ascii="Times New Roman" w:cs="Times New Roman" w:eastAsia="Times New Roman" w:hAnsi="Times New Roman"/>
          <w:sz w:val="18"/>
          <w:szCs w:val="18"/>
          <w:color w:val="auto"/>
        </w:rPr>
        <w:t>- We have long-standing relationships with our large customers, many of whom have worked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decades. We also have certain of our operations embedded in customer facilities, integrating Clean Harbors into our customers' day-to-day operations. A significant portion of our revenues are derived from previously served customers with recurring needs for our services. Due to customers' desire to audit disposal facilities prior to their qualification as approved sites and to limit the number of facilities to which their hazardous waste is shipped in order to reduce potential liability under United States and Canadian environmental laws and regulations, there can be a financial burden that accompanies switching hazardous waste disposal providers. We have been selected as an approved vendor by large and small generators of waste because, in addition to our strong safety performance,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 In our SKSS segment, used oil collections are the feed-stock into our oil product sales. Though our collection services customer base may fluctuate, we consistently collect over 220 million gallons of used oil annually with an average of 229.1 million gallons collected annually over the past three years.</w:t>
      </w:r>
    </w:p>
    <w:p>
      <w:pPr>
        <w:spacing w:after="0" w:line="108" w:lineRule="exact"/>
        <w:rPr>
          <w:rFonts w:ascii="Times New Roman" w:cs="Times New Roman" w:eastAsia="Times New Roman" w:hAnsi="Times New Roman"/>
          <w:sz w:val="18"/>
          <w:szCs w:val="18"/>
          <w:color w:val="auto"/>
        </w:rPr>
      </w:pPr>
    </w:p>
    <w:p>
      <w:pPr>
        <w:ind w:left="660" w:right="1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 </w:t>
      </w:r>
      <w:r>
        <w:rPr>
          <w:rFonts w:ascii="Times New Roman" w:cs="Times New Roman" w:eastAsia="Times New Roman" w:hAnsi="Times New Roman"/>
          <w:sz w:val="18"/>
          <w:szCs w:val="18"/>
          <w:color w:val="auto"/>
        </w:rPr>
        <w:t>We continue to make capital investments in our facilities to ensure that they are in compliance with current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provincial and local regulations. We have an independent compliance group outfitted to monitor and adhere to these compliance standards. Companies relying on in-house or captive disposal methods may find the current regulatory requirements to be too capital intensive or complex, and may choose to outsource many of their hazardous waste disposal needs.</w:t>
      </w:r>
    </w:p>
    <w:p>
      <w:pPr>
        <w:spacing w:after="0" w:line="108" w:lineRule="exact"/>
        <w:rPr>
          <w:rFonts w:ascii="Times New Roman" w:cs="Times New Roman" w:eastAsia="Times New Roman" w:hAnsi="Times New Roman"/>
          <w:sz w:val="18"/>
          <w:szCs w:val="18"/>
          <w:color w:val="auto"/>
        </w:rPr>
      </w:pPr>
    </w:p>
    <w:p>
      <w:pPr>
        <w:ind w:left="660" w:right="32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and Experienced Management Team - </w:t>
      </w:r>
      <w:r>
        <w:rPr>
          <w:rFonts w:ascii="Times New Roman" w:cs="Times New Roman" w:eastAsia="Times New Roman" w:hAnsi="Times New Roman"/>
          <w:sz w:val="18"/>
          <w:szCs w:val="18"/>
          <w:color w:val="auto"/>
        </w:rPr>
        <w:t>Our executive management team provides extensive depth of knowledge and continuity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experience and expertise in the environmental and industrial services industries. Alan S. McKim founded our Company in 1980 and served as the Chief Executive Officer for over 43 years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before Michael L. Battles and Eric W. Gerstenberg were appointed as Co-Chief Executive Officers in effective March 31, 2023. Mr. McKim continues to serve as Executive Chairman of the Board, a position he has continuously held throughout the Company's history, and also as the Company's Chief Technology Officer. Our Co-Chief Executive Officers collectively have over 40 years of experience in the environmental and industrial industries, and previously led alongside Mr. McKim for years as EVP and Chief Financial Officer and Chief Operating Officer, respectively. We believe that the separation of the Chairman and CEO roles will strengthen the overall governance of Clean Harbors. Eric J. Dugas, our former SVP and Chief Accounting Officer, succeeded Mr. Battles as our EVP and Chief Financial Officer in early 2023. Eric has been a key member of the management team since he joined the Company in 2014. Our experienced management team has the depth of knowledge of both the industry and our operations to be able to quickly pivot in times of change and identify and respond to new market risks, opportunities and demands.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strategy involves leveraging our core competitive strengths to develop and maintain ongoing relationships with a diversified group of customers while continuing to grow our service lines, ensuring that we can meet our customers' changing environmental and sustainability needs. Targeted marketing opportunities allow us to expand market awareness of the breadth of our service offerings to current and future customers. We strive to be recognized as the premier supplier of a broad range of value-added environmental services based upon the breadth of those services, quality, responsiveness, customer service, information technologies, safety and cost effectiveness. Everywhere industry meets the environment, we aim to be a primary resource for our customers.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principal elements of our business strategy are:</w:t>
      </w:r>
    </w:p>
    <w:p>
      <w:pPr>
        <w:spacing w:after="0" w:line="154" w:lineRule="exact"/>
        <w:rPr>
          <w:sz w:val="20"/>
          <w:szCs w:val="20"/>
          <w:color w:val="auto"/>
        </w:rPr>
      </w:pPr>
    </w:p>
    <w:p>
      <w:pPr>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Cross-Sell Our Solutions - </w:t>
      </w:r>
      <w:r>
        <w:rPr>
          <w:rFonts w:ascii="Times New Roman" w:cs="Times New Roman" w:eastAsia="Times New Roman" w:hAnsi="Times New Roman"/>
          <w:sz w:val="18"/>
          <w:szCs w:val="18"/>
          <w:color w:val="auto"/>
        </w:rPr>
        <w:t>The breadth of our service offerings allow us the opportunity to provide various services and products to meet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environmental and sustainability objectives. Our significant North American footprint allows us to quickly respond to customer needs, including in emergency response situations. We can assist with remediation needs for small and large scale efforts, either planned or unplanned, by providing remediation contractors and project managers with support services including groundwater disposal, roll-off container management and many other related services. We look for opportunities to be a one-stop-shop service provider, expanding the range of services we traditionally provide to a customer. Our team is committed to identifying opportunities to cross-sell among and across our segments which we expect will continue to drive additional revenue for our Company.</w:t>
      </w:r>
    </w:p>
    <w:p>
      <w:pPr>
        <w:spacing w:after="0" w:line="101" w:lineRule="exact"/>
        <w:rPr>
          <w:rFonts w:ascii="Times New Roman" w:cs="Times New Roman" w:eastAsia="Times New Roman" w:hAnsi="Times New Roman"/>
          <w:sz w:val="18"/>
          <w:szCs w:val="18"/>
          <w:color w:val="auto"/>
        </w:rPr>
      </w:pPr>
    </w:p>
    <w:p>
      <w:pPr>
        <w:ind w:left="660" w:hanging="328"/>
        <w:spacing w:after="0" w:line="252" w:lineRule="auto"/>
        <w:tabs>
          <w:tab w:leader="none" w:pos="653" w:val="left"/>
        </w:tabs>
        <w:numPr>
          <w:ilvl w:val="0"/>
          <w:numId w:val="6"/>
        </w:numPr>
        <w:rPr>
          <w:rFonts w:ascii="Calibri" w:cs="Calibri" w:eastAsia="Calibri" w:hAnsi="Calibri"/>
          <w:sz w:val="20"/>
          <w:szCs w:val="20"/>
          <w:color w:val="auto"/>
        </w:rPr>
      </w:pPr>
      <w:r>
        <w:rPr>
          <w:rFonts w:ascii="Times New Roman" w:cs="Times New Roman" w:eastAsia="Times New Roman" w:hAnsi="Times New Roman"/>
          <w:sz w:val="18"/>
          <w:szCs w:val="18"/>
          <w:b w:val="1"/>
          <w:bCs w:val="1"/>
          <w:color w:val="auto"/>
        </w:rPr>
        <w:t xml:space="preserve">Expand Our Network and Suite of Offerings - </w:t>
      </w:r>
      <w:r>
        <w:rPr>
          <w:rFonts w:ascii="Times New Roman" w:cs="Times New Roman" w:eastAsia="Times New Roman" w:hAnsi="Times New Roman"/>
          <w:sz w:val="18"/>
          <w:szCs w:val="18"/>
          <w:color w:val="auto"/>
        </w:rPr>
        <w:t>We operate an extensive network of hazardous waste management facilities and oil re-refineries,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provides us with significant operating leverage as volumes increase. We monitor for opportunities to quickly respond to the ever-changing needs of the marketplace. We also look to the future of our customers' waste disposal needs to have the solution when the need arise. For example, the U.S. Environmental Protection Agency ("EPA") is preparing a regulatory framework for per- and poly-fluorinated alkyl substances ("PFAS"). In preparation for those expected regulations, we are creating a Total PFAS Solutions service offering for customers that capitalizes on our unique combination of permitted laboratory, transportation and disposal assets. Our Total PFAS Solution will include sampling and analytics, water filtration remediation of sites, transportation of contaminated materials and ultimately multiple disposal options within our facilities network. We also look for opportunities to expand waste handling capacity or oil processing at our facilities by modifying the terms of the existing permits, improving technology or, in certain instances, significantly expanding our facilities. Through selected permit modifications within our network of facilities, we can expand the range of treatment services offered to our customers without the significant capital investment necessary to acquire or build new waste management facilities. We also look for opportunities to grow through opening new locations in strategic geographies, expanding to new waste streams and being responsive to shifting product and service needs in the marketplace.</w:t>
      </w:r>
    </w:p>
    <w:p>
      <w:pPr>
        <w:spacing w:after="0" w:line="120" w:lineRule="exact"/>
        <w:rPr>
          <w:rFonts w:ascii="Calibri" w:cs="Calibri" w:eastAsia="Calibri" w:hAnsi="Calibri"/>
          <w:sz w:val="20"/>
          <w:szCs w:val="20"/>
          <w:color w:val="auto"/>
        </w:rPr>
      </w:pPr>
    </w:p>
    <w:p>
      <w:pPr>
        <w:ind w:left="660" w:right="22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Acquisitions and Divestitures - </w:t>
      </w:r>
      <w:r>
        <w:rPr>
          <w:rFonts w:ascii="Times New Roman" w:cs="Times New Roman" w:eastAsia="Times New Roman" w:hAnsi="Times New Roman"/>
          <w:sz w:val="18"/>
          <w:szCs w:val="18"/>
          <w:color w:val="auto"/>
        </w:rPr>
        <w:t>We have a history of strategic acquisitions ranging from small, "tuck-ins" to large scale operations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continue to actively pursue selective acquisitions we believe can enhance and expand our business. Strategic acquisitions are executed to expand existing services, generate incremental revenues from existing and new customers, obtain greater market share, broaden the markets in which we operate and expand our total waste disposal or oil re-refining capacity. In order to maximize synergies, we rapidly integrate our acquisitions into our existing processes. To complement our acquisition strategy, we regularly review and evaluate our operations to determine whether we should divest certain non-core businesses and reallocate our resources to businesses that we believe better align with the long-term strategic direction of the Company.</w:t>
      </w:r>
    </w:p>
    <w:p>
      <w:pPr>
        <w:spacing w:after="0" w:line="101" w:lineRule="exact"/>
        <w:rPr>
          <w:rFonts w:ascii="Times New Roman" w:cs="Times New Roman" w:eastAsia="Times New Roman" w:hAnsi="Times New Roman"/>
          <w:sz w:val="18"/>
          <w:szCs w:val="18"/>
          <w:color w:val="auto"/>
        </w:rPr>
      </w:pPr>
    </w:p>
    <w:p>
      <w:pPr>
        <w:ind w:left="660" w:right="78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on Cost, Pricing and Productivity Initiatives - </w:t>
      </w:r>
      <w:r>
        <w:rPr>
          <w:rFonts w:ascii="Times New Roman" w:cs="Times New Roman" w:eastAsia="Times New Roman" w:hAnsi="Times New Roman"/>
          <w:sz w:val="18"/>
          <w:szCs w:val="18"/>
          <w:color w:val="auto"/>
        </w:rPr>
        <w:t>We continually seek to increase efficiency and reduce costs through enhanced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process improvements and strategic expense management. We seek to identify areas 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0"/>
        <w:spacing w:after="0" w:line="277" w:lineRule="auto"/>
        <w:rPr>
          <w:sz w:val="20"/>
          <w:szCs w:val="20"/>
          <w:color w:val="auto"/>
        </w:rPr>
      </w:pPr>
      <w:r>
        <w:rPr>
          <w:rFonts w:ascii="Times New Roman" w:cs="Times New Roman" w:eastAsia="Times New Roman" w:hAnsi="Times New Roman"/>
          <w:sz w:val="17"/>
          <w:szCs w:val="17"/>
          <w:color w:val="auto"/>
        </w:rPr>
        <w:t>our business where strategic investments in automation, process improvements and employees can serve to increase productivity, efficiency and safety compliance. We continuously focus on the operating leverage of our support functions, including expanding globally to achieve profitability and productivity benefits. We aim to price our services and products competitively, understanding the demands of our customers, inherent value of our network of assets and operations and our ability to quickly to respond to market and macroeconomic changes. We also understand the value our customers place on our products and services in a global market continuously focusing on sustainability, environmental compliance and safety.</w:t>
      </w:r>
    </w:p>
    <w:p>
      <w:pPr>
        <w:spacing w:after="0" w:line="96" w:lineRule="exact"/>
        <w:rPr>
          <w:sz w:val="20"/>
          <w:szCs w:val="20"/>
          <w:color w:val="auto"/>
        </w:rPr>
      </w:pPr>
    </w:p>
    <w:p>
      <w:pPr>
        <w:ind w:left="660" w:right="18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Foster Innovation through Technology - </w:t>
      </w:r>
      <w:r>
        <w:rPr>
          <w:rFonts w:ascii="Times New Roman" w:cs="Times New Roman" w:eastAsia="Times New Roman" w:hAnsi="Times New Roman"/>
          <w:sz w:val="18"/>
          <w:szCs w:val="18"/>
          <w:color w:val="auto"/>
        </w:rPr>
        <w:t>Technology has always been part of our core operations, influencing our strategy from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throughput at our facilities to automation, including artificial intelligence and robotic process automation, to enhance productivity. We aim to utilize advanced technologies in our operations while also integrating technology-based solutions for our customers to use in the management of their generated waste streams and which promote the safety, efficiency and profitability of these operations. With technology, we are able to centrally manage our transportation network, deploying, monitoring and adjusting our transportation fleet as needs change. Technology is enhancing our customer interactions through the use of our Customer Solutions Portal, our e-commerce initiatives and through tools providing customers with real-time data on the services we are providing. We anticipate that as new waste streams arise or grow in prominence, we will develop new technology and/or prove the capabilities of existing technology to respond to these waste disposal needs. We believe that making technological investments that increase the value of our services delivered to our customers pays off in a variety of ways including growth, retention, profitability and overall customer experience.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operate our business in two segments: Environmental Services and SKSS. Each segment utilizes our network of specialized facilities and equipment, along with our skilled workforce, to meet the needs of our customers. Further, each has individual key performance indicators that management uses to assess results as well as certain macroeconomic trends and influences that impact the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6"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Our Environmental Services business offers an array of services to customers. We safely collect, transport, treat and dispose of hazardous and non-hazardous waste, including resource recovery, physical treatment, fuel blending, incineration, landfill disposal, wastewater treatment, lab chemical disposal, explosives management and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Our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include the collection, identification, categorization, specialized packaging, transportation and disposal of laboratory chemicals and household hazardous waste. We perform a wide range of industrial maintenance and specialty industrial services and utilize specialty equipment and resources to perform services at any chosen location on a planned or emergency response basis. We also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127"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The Environmental Services segment results are predicated upon the demand by our customers for our wide variety of 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our Safety-Kleen branches' core environmental service offerings such as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many factors including overall U.S. GDP, U.S. industrial production, economic conditions in the chemical, manufacturing and automotive markets including efforts and economic incentives to reshore operations to the U.S., available capacity at waste disposal outlets, complex laws and regulations over waste handling and disposal, weather conditions, efficiency of our operations, technology, changing regulations, competition, market pricing of our services, costs incurred to deliver our services and the management of our related operating costs.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Technical Services</w:t>
      </w:r>
    </w:p>
    <w:p>
      <w:pPr>
        <w:spacing w:after="0" w:line="160"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color w:val="auto"/>
        </w:rPr>
        <w:t>We provide technical services through a network of service centers from which a fleet of vehicles are dispatched to pick up 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30 years. By leveraging Clean Harbors' expertise and capabilities, our on-site crews are dedicated to developing the safest, most cost-effective and sustainable solutions to service customers’ needs.</w:t>
      </w:r>
    </w:p>
    <w:p>
      <w:pPr>
        <w:spacing w:after="0" w:line="11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an integral part of our services, we collect industrial waste from customers and transport such waste to and between our facilities for treatment or bulking for shipment to final disposal locations. Waste is typically accumulated in containers, such as 55-gallon drums, bulk storage tanks or 20-cubic-yard roll-off containers. In providing this service, we utilize a variety of specially designed and constructed tank trucks and semi-trailers as well as third-party transporters and rail.</w:t>
      </w:r>
    </w:p>
    <w:p>
      <w:pPr>
        <w:spacing w:after="0" w:line="11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recycle, treat and dispose of hazardous and non-hazardous waste. Certain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safely and/or economically recycled or reused. The waste that we handle comes in solid, sludge, liquid and gas form.</w:t>
      </w:r>
    </w:p>
    <w:p>
      <w:pPr>
        <w:spacing w:after="0" w:line="112"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Incineration is the preferred method for the treatment of organic hazardous waste because it effectively destroys the contaminants at high temperatures. High temperature incineration safely and efficiently eliminates organic waste such as herbicides, halogenated solvents, pesticides and pharmaceutical and refinery waste, regardless of form as gas, liquid, sludge or solid. Federal and state incineration regulations require a destruction and removal efficiency of at least 99.99% for most organic waste and our incinerators meet or exceed these requirements.</w:t>
      </w:r>
    </w:p>
    <w:p>
      <w:pPr>
        <w:spacing w:after="0" w:line="9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of December 31, 2023, we had nine active incinerators operating in five incineration facilities that offer a wide range of technological capabilities to customers. In the United States, we operate one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 We are currently constructing a second incinerator at our Kimball, Nebraska facility that will increase our permitted capacity by approximately 70,000 tons. This incinerator is modelled after our El Dorado, Arkansas facility, housing a rotary kiln incinerator with a secondary combustion chamber allowing the facility to destroy 99.9999% of what is put in leaving only inert ash and vapor as a byproduct of the operation. This new incinerator is set to open in late 2024.</w:t>
      </w:r>
    </w:p>
    <w:p>
      <w:pPr>
        <w:spacing w:after="0" w:line="12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and has a hazardous waste incinerator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facility in Kimball has an on-site operational landfill for the disposal of ash produced as a result of the incineration process.</w:t>
      </w:r>
    </w:p>
    <w:p>
      <w:pPr>
        <w:spacing w:after="0" w:line="12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9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Of our six commercial hazardous waste landfills, four are located in the United States and two are located in Canada. Our non-hazardous landfill is located in the United States. In addition to our seven commercial landfills, we also own and operate one non-commercial landfill that only accepts waste from our on-site incinerators, as described above.</w:t>
      </w:r>
    </w:p>
    <w:p>
      <w:pPr>
        <w:spacing w:after="0" w:line="116"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As of December 31, 2023, the useful economic lives of our six commercial hazardous waste landfills included approximately 23.9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37.5 million cubic yards of additional unpermitted airspace capacity included in the footprints of these landfills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that may ultimately be permitted, although there can be no assurance that this additional capacity will be permitted. As of December 31, 2023, the useful economic life of our non-hazardous industrial landfill included 3.3 million cubic yards of remaining permitted capacity. This facility is located in the United States and has been issued operating permits under Subtitle D of the Resource Conservation and Recovery Act ("RCRA"). Our non-hazardous landfill facility is permitted to accept commercial industrial waste, including waste from demolition and construction.</w:t>
      </w:r>
    </w:p>
    <w:p>
      <w:pPr>
        <w:spacing w:after="0" w:line="11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Another waste disposal outlet in our network of facilities are our TSDFs that collect, temporarily store, process and/or consolidate compatible waste streams for more efficient processing and transportation to final recycling, treatment or disposal destinations. These facilities hold special, hard to come by permits, such as Part B permits under the RCRA, which allow them to process, transfer and dispose of waste through various technologies including recycling, incineration, landfill and wastewater treatment depending on each location's permitted and constructed capabilities.</w:t>
      </w:r>
    </w:p>
    <w:p>
      <w:pPr>
        <w:spacing w:after="0" w:line="9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11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Our wastewater treatment facilities process hazardous and non-hazardous waste through use of physical and chemical treatment methods. Our ten wastewater treatment facilities offer or employ a range of wastewater treatment technologies. These facilities treat a broad range of liquid and semi-liquid waste containing heavy metals, organics and suspended solids.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 collection and disposal of household paints, solvents, batteries, fluorescent lamps, pesticides, cleaners and other hazardous materials.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Industrial Services</w:t>
      </w:r>
    </w:p>
    <w:p>
      <w:pPr>
        <w:spacing w:after="0" w:line="160"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perform industrial cleaning, maintenance and support services and specialty industrial services at refineries, chemical plants, upgraders, power generation and other utilities facilities, manufacturing facilities and other industrial customers throughout North America.</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industrial services crews support ongoing in-plant cleaning and maintenance services on our customers' mission critical equipment and infrastructure. These services include liquid and dry vacuum services, hydro-blasting, dewatering and materials processing, leak detection and repair, tank cleaning, specialty mechanical services, vapor control, water and chemical hauling, foam cleaning, steam cleaning, ultrasonic cleaning technology and temporary housing services. We provide a variety of specialized industrial services including plant outage and turnaround services, specialty cleaning services including chemical cleaning and high and ultra-high pressure water cleaning, production services and upstream energy services.</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Field and Emergency Response Services</w:t>
      </w:r>
    </w:p>
    <w:p>
      <w:pPr>
        <w:spacing w:after="0" w:line="160"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crews and equipment are dispatched on a planned or emergency basis and perform services such as confined space entry for tank cleaning, site disinfecting, decontamination and disposal, large remediation projects, demolition, spill cleanup on land and water, railcar cleaning, hydro excavation, manhole/vault clean outs, product recovery and transfer, scarifying and media blasting, vacuum services and water treatment services.</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are also a leader in providing response services for environmental emergencies of any scale from man-made disasters such as oil spills and natural disasters such as hurricanes.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Safety-Kleen Environmental Core Services</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Safety-Kleen Environmental branches' core service offerings focus on the small quantity waste generators predominately within the general manufacturing, automotive, and retail space. We provide containerized waste, parts-washer and vacuum services to a diverse range of customers including automobile repair shops, car and truck dealers, metal fabricators, machine manufacturers, fleet maintenance shops and other automotive, industrial and retail customers. We provide pickup and transportation of hazardous and non-hazardous containerized waste for recycling or disposal, primarily through the Clean Harbors' network of recycling, treatment and disposal facilities. As the largest provider of parts cleaning services in North America, we offer a complete line of specially designed parts washers to customer locations and then deliver recurring service that includes machine cleaning and maintenance and disposal and replenishment of clean solvent or aqueous fluids. Our vacuum services remove solids, residual oily water and sludge and other fluids from customers' oil/water separators, sumps and collection tanks. We also remove and collect waste fluids found at large and small industrial locations, including metal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fabricators, auto maintenance providers and general manufacturers.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46"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Our Safety-Kleen Sustainability Solutions business offerings span the life-cycle of lubricants and other sustainable automotive products. These operations center around our eight re-refineries located in East Chicago, Indiana; Breslau, Ontario; Fallon, Nevada; Kingsland, Georgia; Newark, California; Tacoma, Washington; Wichita, Kansas; and Rollinsford, New Hampshire.</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Using our nationwide fleet of trucks, tankers, rail-cars and barges, our teams collect used oil from thousands of customers which serves as feedstock for our oil re-refineries. In 2023, we collected 235 million gallons of used oil. Our state-of-the-art processes allow us to realize oil's capacity to be recycled and reused. We process the used oil into a variety of products, mostly base oils, including our KLEEN+ brand of Group II+ base oils which launched in 2022, and blended lubricating oils. Our Performance Plus® family of automotive and industrial lubricants are sold to on- and off-road corporate fleets, government entities, automotive service shops and industrial plants for hydraulic components, motors, pumps and valves. Our anti-wear hydraulic oils and lubricants provide extended operating life, protection from corrosion and abrasion and improved cleanliness. We also sell unbranded blended oils to distributors that resell them under their private label brands. These high-quality lubricants provide our customers with a sustainable solution to their oil demands.</w:t>
      </w:r>
    </w:p>
    <w:p>
      <w:pPr>
        <w:spacing w:after="0" w:line="12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used oil can also be processed into recycled fuel oil, or “RFO,” which is then sold to customers such as asphalt plants, industrial plants, pulp and paper companies or into vacuum gas oil "VGO" which can be further re-refined into lubricant base oils or sold directly into the marine diesel fuel market. With 235 million gallons of used oil collected in 2023, we were able to return approximately 221 million gallons of new re-refined oil, lubricants and byproducts back into the marketplace helping our customers meet the growing demand for the use of sustainable products in their operations.</w:t>
      </w:r>
    </w:p>
    <w:p>
      <w:pPr>
        <w:spacing w:after="0" w:line="9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SKSS operations also collect and either recycle or dispose of related automotive products including antifreeze and oil filters. We sell automotive and industrial products including antifreeze recycled through our collections, windshield washer fluid, degreasers, glass and floor cleaners, hand cleaners, absorbents, mats and spill kits.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SKSS segment results are impacted by our customers' demand for high-quality, environmentally responsible recycled oil products and their demand for our related service and product offerings.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the Clean Harbors' recycling and disposal network.</w:t>
      </w:r>
    </w:p>
    <w:p>
      <w:pPr>
        <w:spacing w:after="0" w:line="11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including supply imbalances,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160"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generated $4,787.9 million or 88.5% of our direct revenues in the United States and $621.3 million or 11.5% of our direct revenues in Canada. For the year ended December 31, 2022, we generated $4,493.5 million or 87.0% of our direct revenues in the United States and $673.1 million or 13.0% of our direct revenues in Canada. For additional information about the geographical areas from which our revenues are derived and in which our assets are located, see Note 3, "Revenues," and Note 20, "Segment Reporting," respectively, to our consolidated financial statements included in Item 8 of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4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As noted above, we execute acquisitions as an element of our business strategy to create opportunities for profitable growth. We also monitor our operations for opportunities to reallocate resources through the divestiture of non-core businesses.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2023, we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In 2022, we acquired two privately-owned businesses for a collective purchase price of $91.5 million. The acquisitions expanded the SKSS segment's waste oil collection capabilities and re-refining business throughout the southern United States. Additionally, we sold a line of business from our non-core operations for a price of $18.8 million. The divested line of business was previously included within the Environmental Sales and Service reporting unit of the Environmental Services segment.</w:t>
      </w:r>
    </w:p>
    <w:p>
      <w:pPr>
        <w:spacing w:after="0" w:line="11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our acquisition and divestiture activities during 2023, 2022 and 2021, see Note 4, "Business Combinations," and Note 5 "Disposition of Business," to our consolidated financial statements included in Item 8 of this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Protecting the Environment and Sustainability at Clean Harbors</w:t>
      </w:r>
    </w:p>
    <w:p>
      <w:pPr>
        <w:spacing w:after="0" w:line="16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Balancing environmental, economic and social concerns is foundational to our framework for success and is expected by our employees, customers and other stakeholders. Sustainability is not only about doing less to harm the earth or consuming fewer essential resources, it is also about doing more good and partnering with our customers to minimize their environmental impacts. Our core business is to provide industry, government and the public a wide range of sustainable solutions that protect and restore North America's natural environment and resources.</w:t>
      </w:r>
    </w:p>
    <w:p>
      <w:pPr>
        <w:spacing w:after="0" w:line="11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commitment to sustainability includes a focus on continuously improving our efforts around sustainability. We communicate our sustainability programs and progress across various channels. In September 2023, we published our 2023 Sustainability Supplement which updates some of our key metrics through 2022, both adding disclosures which align to the Global Reporting Initiative framework and additional voluntary disclosures to complement our Sustainability Accounting Standards Board disclosures. The 2023 Sustainability Supplement is intended as a companion to the 2021 Clean Harbors Sustainability Report, both of which can be found under "Sustainability" on our website.</w:t>
      </w:r>
    </w:p>
    <w:p>
      <w:pPr>
        <w:spacing w:after="0" w:line="102"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We have requirements for periodic regulatory reporting to the EPA and other agencies that are available to the public and we continue to monitor for emerging legislation which may influence sustainability-related requirements and potential disclosures. With a focus on emerging legislation, we continue to work with our customers to support their carbon accounting requests while providing mechanisms to minimize environmental impact through the sustainable products and services we offer. We voluntarily provide data to various external sustainability reporting and assessment organizations, many of which provide subscribers and the public with their rankings or scorecards of companies based on a combination of public and private information. We utilize these formal reporting platforms to inform customers and other stakeholders of our sustainability efforts. We have been pleased to see our efforts to improve the reporting of our sustainable business practices reflected in improved scores from various rating organizations including EcoVadis, a rating agency specialized in assessing environmental performance and corporate social responsibility. We have shown improvement in the Environmental, Social and Governance ("ESG") risk assessments that the Institutional Shareholder Services Inc. ("ISS") publishes as well as continued improvement with the S&amp;P Global ratings system. We continue to disclose as a voluntary participant to the Carbon Disclosure Project, MSCI Environmental Social and Governance Ratings and Morning Star Sustainalytics.</w:t>
      </w:r>
    </w:p>
    <w:p>
      <w:pPr>
        <w:spacing w:after="0" w:line="124"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Clean Harbors has received recent external recognition for our sustainable customer solutions and products as well as our Company’s employee programs. Our KLEEN+ products from our SKSS business earned a spot on the list of sustainable products from the Sustainability Environmental Achievement and Leadership Awards. For a fourth consecutive year, Clean Harbors has been recognized as a top company for women in transportation by the Women in Trucking Association and in 2022 we were named a top veteran employer by Military.com. In 2023, Clean Harbors was also recognized by the National Waste and Recycling Association as a recipient of the prestigious Sustainability Partnership Game Changer Award. Most recently, in early 2024, we were named to the Corporate Knights' Global 100 Most Sustainable Corporations in the World. The recognition was announced in Davos, Switzerland during the 54th annual meeting of the World Economic Forum. Clean Harbors was ranked 13th overall, and was second among all U.S. based companies.</w:t>
      </w:r>
    </w:p>
    <w:p>
      <w:pPr>
        <w:spacing w:after="0" w:line="12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While we are proud of the improvements in third-party scoring and rankings and acknowledgement by outside entities, the focus of our program is on tangible improvements that positively impact the environment, our community and our employees. Our overall sustainability program expands our commitment beyond our services and products to include our operations, employees and community and focuses on the following key elements: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Focus on Safety</w:t>
      </w:r>
    </w:p>
    <w:p>
      <w:pPr>
        <w:spacing w:after="0" w:line="16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noted above, Safety is our #1 core value and as such is foundational to our sustainability program. Safety is not just the hallmark of our Company but is also at the heart of what we provide to customers. Our programs and procedures focus on delivering services with unparalleled safety to our employees, our customers, local communities and other key stakeholders. In 2023, we achieved a TRIR of 0.63 and DART of 0.35, the best levels in Company history and continuing to exceed our 2030 TRIR goal of less than 1.0. Six of our U.S. sites have been recognized by the U.S. Occupational Safety &amp; Health Administration’s Voluntary Protection Program ("VPP") for their effective safety management systems and low injury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900"/>
        <w:spacing w:after="0" w:line="414" w:lineRule="auto"/>
        <w:rPr>
          <w:sz w:val="20"/>
          <w:szCs w:val="20"/>
          <w:color w:val="auto"/>
        </w:rPr>
      </w:pPr>
      <w:r>
        <w:rPr>
          <w:rFonts w:ascii="Times New Roman" w:cs="Times New Roman" w:eastAsia="Times New Roman" w:hAnsi="Times New Roman"/>
          <w:sz w:val="18"/>
          <w:szCs w:val="18"/>
          <w:color w:val="auto"/>
        </w:rPr>
        <w:t xml:space="preserve">illness rates. To put this accomplishment in context, less than 0.1% of the eight million U.S. workplaces have earned this elite VPP recognition. </w:t>
      </w:r>
      <w:r>
        <w:rPr>
          <w:rFonts w:ascii="Times New Roman" w:cs="Times New Roman" w:eastAsia="Times New Roman" w:hAnsi="Times New Roman"/>
          <w:sz w:val="18"/>
          <w:szCs w:val="18"/>
          <w:i w:val="1"/>
          <w:iCs w:val="1"/>
          <w:color w:val="auto"/>
        </w:rPr>
        <w:t>Operations/ Customer Solutions</w:t>
      </w:r>
    </w:p>
    <w:p>
      <w:pPr>
        <w:spacing w:after="0" w:line="1" w:lineRule="exact"/>
        <w:rPr>
          <w:sz w:val="20"/>
          <w:szCs w:val="20"/>
          <w:color w:val="auto"/>
        </w:rPr>
      </w:pPr>
    </w:p>
    <w:p>
      <w:pPr>
        <w:ind w:right="40" w:firstLine="405"/>
        <w:spacing w:after="0" w:line="273" w:lineRule="auto"/>
        <w:rPr>
          <w:sz w:val="20"/>
          <w:szCs w:val="20"/>
          <w:color w:val="auto"/>
        </w:rPr>
      </w:pPr>
      <w:r>
        <w:rPr>
          <w:rFonts w:ascii="Times New Roman" w:cs="Times New Roman" w:eastAsia="Times New Roman" w:hAnsi="Times New Roman"/>
          <w:sz w:val="17"/>
          <w:szCs w:val="17"/>
          <w:color w:val="auto"/>
        </w:rPr>
        <w:t>Technologies and operational improvements have allowed Clean Harbors to develop initiatives that focus on minimizing the Company’s and our customers’ impact on the environment. As a leading provider of environmental and industrial services throughout North America, we help our customers prevent the release of chemicals and hazardous waste streams into the environment. We also recover and decontaminate pollutants that have been released. This includes the safe destruction or disposal of hazardous materials in a manner that ensures these materials are no longer a danger to the environment. As an example, to provide an efficient and safe alternative for hazardous waste disposal, Clean Harbors developed and built an incinerator at our El Dorado facility which uses world-class air emissions control technology that meets or exceeds the most stringent emissions standards under the U.S. Clean Air Act. Our new hazardous waste incinerator in Kimball, Nebraska is being built to these high standards as well and is scheduled to be operational in late 2024.</w:t>
      </w:r>
    </w:p>
    <w:p>
      <w:pPr>
        <w:spacing w:after="0" w:line="10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With a focus on delivering sustainable solutions to address emerging contaminants and pollutants, we concluded a comprehensive third-party study demonstrating that the Company's commercial incinerators can safely and thoroughly destroy per- and poly-fluorinated alkyl substances ("PFAS") in multiple forms. Specifically the study demonstrated that the use of high-temperature combustion destroyed greater than 99.9999% of PFAS compounds, a level that meets the strict chemical destruction standards for many of the most dangerous and difficult to destroy hazardous wastes. As the prevalence of PFAS and the necessity to mitigate future harm from these "forever chemicals" becomes more widely understood and likely demand for services to properly handle and dispose of these materials increases, we believe this capability will become a differentiating factor for us.</w:t>
      </w:r>
    </w:p>
    <w:p>
      <w:pPr>
        <w:spacing w:after="0" w:line="12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When providing environmental services, we are committed to the recycling, reuse and reclamation of handled waste streams whenever practical using a variety of methods more fully explained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and sustainable products. Tolling programs provide a closed-loop process in which the customer’s spent solvents are recycled to precise specifications and returned directly to the customer. Across our facilities we implemented multiple cost-saving and recycling initiatives to enhance efficiency of our waste-handling systems. For example, our El Dorado, Arkansas, facility now has the capability to recycle and reconstitute polycarbonate containers resulting in recycling more than 400,000 plastic containers at the site in 2023.</w:t>
      </w:r>
    </w:p>
    <w:p>
      <w:pPr>
        <w:spacing w:after="0" w:line="92" w:lineRule="exact"/>
        <w:rPr>
          <w:sz w:val="20"/>
          <w:szCs w:val="20"/>
          <w:color w:val="auto"/>
        </w:rPr>
      </w:pPr>
    </w:p>
    <w:p>
      <w:pPr>
        <w:ind w:right="140" w:firstLine="405"/>
        <w:spacing w:after="0" w:line="241" w:lineRule="auto"/>
        <w:rPr>
          <w:sz w:val="20"/>
          <w:szCs w:val="20"/>
          <w:color w:val="auto"/>
        </w:rPr>
      </w:pPr>
      <w:r>
        <w:rPr>
          <w:rFonts w:ascii="Times New Roman" w:cs="Times New Roman" w:eastAsia="Times New Roman" w:hAnsi="Times New Roman"/>
          <w:sz w:val="18"/>
          <w:szCs w:val="18"/>
          <w:color w:val="auto"/>
        </w:rPr>
        <w:t>Our Safety-Kleen OilPlus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Program is designed to help companies manage their oil related disposal and consumption needs in a more sustainable way. Environmental regulations prohibit the disposal of oil in sewers or landfills as improper disposal can lead to widespread environmental problems. To avoid the improper disposal of oil, we deploy our fleet of trucks, tankers, rail-cars and barges to collect used oil. In 2023, we gathered more than 235 million gallons of used oil in North America. This used oil is feedstock into our re-refining process which extends the life of crude oil resources. Not only does this outlet reduce the likelihood of improper oil disposal but also it decreases overall energy usage as, per the Department of Energy, it can take less energy to recycle used oil than to create new lubricating oil from virgin crude oil.</w:t>
      </w:r>
    </w:p>
    <w:p>
      <w:pPr>
        <w:spacing w:after="0" w:line="13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Our state of the art re-refining processes enable us to fully realize oil's remarkable capacity to be recycled, re-refined and reused. Our plants have re-refined more than 4.6 billion gallons of used oil, avoiding improper disposal of these gallons and allowing such oils to have a new life as high-quality recycled lubricants. Our Sustainability award-winning KLEEN+ family of re-refined base oil products is designed to help companies manage their oil needs in a more sustainable way with less reliance on virgin crude oil production. With the consumer and investor focus on environmental and socially responsible practices, including less reliance on foreign oil products, we expect that the use of KLEEN+ re-refined oil products will contribute to our customers' ESG efforts.</w:t>
      </w:r>
    </w:p>
    <w:p>
      <w:pPr>
        <w:spacing w:after="0" w:line="106" w:lineRule="exact"/>
        <w:rPr>
          <w:sz w:val="20"/>
          <w:szCs w:val="20"/>
          <w:color w:val="auto"/>
        </w:rPr>
      </w:pPr>
    </w:p>
    <w:p>
      <w:pPr>
        <w:ind w:right="160" w:firstLine="405"/>
        <w:spacing w:after="0" w:line="236" w:lineRule="auto"/>
        <w:rPr>
          <w:sz w:val="20"/>
          <w:szCs w:val="20"/>
          <w:color w:val="auto"/>
        </w:rPr>
      </w:pPr>
      <w:r>
        <w:rPr>
          <w:rFonts w:ascii="Times New Roman" w:cs="Times New Roman" w:eastAsia="Times New Roman" w:hAnsi="Times New Roman"/>
          <w:sz w:val="18"/>
          <w:szCs w:val="18"/>
          <w:color w:val="auto"/>
        </w:rPr>
        <w:t>We continue to seek to improve efficiency and sustainability within our operations through continuous improvements and well-defined strategic initiatives that show the highest positive impact on the environment, the communities and the economy in which we work and live. Our assets represent one of our largest opportunities to apply environmentally sustainable business practices. Our Asset Refurbishment Program is a comprehensive effort to rebuild key vehicles to "like new" quality while reusing or recycling as much of the material as possible. Our annual goal is to replace over 200 older specialized vehicles used in our operations such as vacuum trucks, industrial air movers and waste oil trucks with state of the art refurbished or internally manufactured assets using repurposed parts whenever possible. We also have a field repair/refurbishment program for our parts washers. In 2023, we repaired or refurbished over 6,500 parts washers in the field, saving transportation to our refurbishment facility. Parts washers that required repairs or refurbishment beyond what could be accomplished in the field were returned to our refurbishment facility. We were able to recondition the majority of these machines and salvaged the components from any machines that were beyond reconditioning. These operations at our facility refurbished over 8,000 machines in 2023 and avoided disposal of approximately 400 tons of metals and plastics.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16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One of the Company’s sustainability goals is to contribute to a cleaner environment by maximizing energy and water efficiency and conservation across our organization. Energy usage at our facilities is the focus of our Facility Energy Conservation program, which provides ongoing oversight and recommendations to our facilities to help support their electricity management efforts. We continue to evaluate and incorporate solar energy as a viable option for our facilities where possible and have built solar arrays at select sites for their ongoing energy needs. We also continuously seek to better understand the contribution of renewable energies to our collective energy consumption. We estimate that about 19% of our U.S. electricity consumption is generated by renewable energy sources, including hydroelectric, biomass, wind, solar and geothermal energy.</w:t>
      </w:r>
    </w:p>
    <w:p>
      <w:pPr>
        <w:spacing w:after="0" w:line="106" w:lineRule="exact"/>
        <w:rPr>
          <w:sz w:val="20"/>
          <w:szCs w:val="20"/>
          <w:color w:val="auto"/>
        </w:rPr>
      </w:pPr>
    </w:p>
    <w:p>
      <w:pPr>
        <w:ind w:right="200" w:firstLine="405"/>
        <w:spacing w:after="0" w:line="275" w:lineRule="auto"/>
        <w:rPr>
          <w:sz w:val="20"/>
          <w:szCs w:val="20"/>
          <w:color w:val="auto"/>
        </w:rPr>
      </w:pPr>
      <w:r>
        <w:rPr>
          <w:rFonts w:ascii="Times New Roman" w:cs="Times New Roman" w:eastAsia="Times New Roman" w:hAnsi="Times New Roman"/>
          <w:sz w:val="18"/>
          <w:szCs w:val="18"/>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Kleen+ and Performance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re-refined engine oils throughout our fleet.</w:t>
      </w:r>
    </w:p>
    <w:p>
      <w:pPr>
        <w:spacing w:after="0" w:line="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All of these items above exemplify how we, as a company, are working to minimize our footprint on the environment; however, our environmental commitment extends beyond our internal focus to how we can help other companies minimize their environmental footprint and achieve their sustainability goals. The core of our operations is to provide our customers with environmentally responsible solutions, whether they be our commitment to environmentally conscious services and waste disposal or our re-refined oil offerings.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14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We have established and published our Vendor Code of Business Conduct and Ethics covering treatment of workers, supply chain practices, workplace safety, environmental impact and ethical business practices.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Engagement</w:t>
      </w:r>
    </w:p>
    <w:p>
      <w:pPr>
        <w:spacing w:after="0" w:line="160"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Clean Harbors prides itself on being an important member of the communities in which we operate, dedicating ourselves to assisting industry customers with safely disposing of their waste and protecting the environment for today and future generations. We understand that the success of our enterprise is intertwined with the prosperity of the communities in which we operate. Our endeavors have spanned collaborative partnerships with local organizations, active involvement in community events and the mobilization of our employees for regional volunteer efforts. One of our most significant programs is our Household Hazardous Waste collection events we hold at our facilities across the country every year. We invite community members to bring their paints, solvents, batteries, fluorescent lamps, pesticides, cleaners and other hazardous materials that otherwise might be improperly disposed of or become dangerous depending on where and how they are stored.</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Markets</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Due to the variety of services and products offered, the Company faces competition from companies in various industries across all lines of business. The Company's breadth of service offerings however has resulted in no one competitor directly competing with our full suite of offerings. Sources of competition vary by locality and by type of service rendered, with competition coming from national and regional industrial and automotive waste services companies and hundreds of privately-owned firms. Veolia North America, Enviri Corporation, Republic Services, Waste Management, Stericycle, Inc., GFL Environmental and the operations of Heritage-Crystal Clean, a portfolio company of J.F. Lehman &amp; Company, are the principal national firms with which we compete. Each of these competitors is able to provide one or more of the products and services we offer.</w:t>
      </w:r>
    </w:p>
    <w:p>
      <w:pPr>
        <w:spacing w:after="0" w:line="10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Under federal and state environmental laws in the United States, generators of hazardous waste remain liable and responsible for the 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 customer service oriented culture and overall reputation are important considerations to our customers in selecting and continuing to utilize our services. We also believe that the depth of our recycling, treatment and disposal capabilities, and our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ability to collect and transport waste materials efficiently are additional significant differentiating factors that create an advantage for us in the market for treatment and disposal services.</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 For our industrial, field, emergency response and Safety-Kleen branches' core services, competitors vary by locality and by type of service rendered, with competition coming from national and regional service providers and hundreds of privately-owned firms that offer similar services. Heritage-Crystal Clean in the United States, and CEDA, GFL Environmental Inc. and Secure Energy Services in Canada, are the principal national firms with which we compete for this work. There are also several regional and local firms with which we compete.</w:t>
      </w:r>
    </w:p>
    <w:p>
      <w:pPr>
        <w:spacing w:after="0" w:line="111" w:lineRule="exact"/>
        <w:rPr>
          <w:sz w:val="20"/>
          <w:szCs w:val="20"/>
          <w:color w:val="auto"/>
        </w:rPr>
      </w:pPr>
    </w:p>
    <w:p>
      <w:pPr>
        <w:ind w:right="140" w:firstLine="405"/>
        <w:spacing w:after="0" w:line="241" w:lineRule="auto"/>
        <w:rPr>
          <w:sz w:val="20"/>
          <w:szCs w:val="20"/>
          <w:color w:val="auto"/>
        </w:rPr>
      </w:pPr>
      <w:r>
        <w:rPr>
          <w:rFonts w:ascii="Times New Roman" w:cs="Times New Roman" w:eastAsia="Times New Roman" w:hAnsi="Times New Roman"/>
          <w:sz w:val="18"/>
          <w:szCs w:val="18"/>
          <w:color w:val="auto"/>
        </w:rPr>
        <w:t>For our SKSS segment, competitors vary by locality and by type of services rendered, with competition coming from Heritage-Crystal Clean, along with many regional and local firms. We believe that geographic coverage, pricing and breadth of services and products, including our ability to produce high quality sustainable lubricants from the used motor oil we collect, are key competitive factors in this industry. With our Safety-Kleen Oil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closed loop offering, we are competing in certain markets with other North American lubricant distributors. With our KLEEN+ base oil produced at our re-refineries, we compete against base oil produced at traditional oil refineries such as Motiva Enterprises LLC and Chevron Corporation.</w:t>
      </w:r>
    </w:p>
    <w:p>
      <w:pPr>
        <w:spacing w:after="0" w:line="132"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We believe that we offer a more comprehensive range of services and products than our competitors in major portions of the United States and Canada.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2023, we employed 21,021 active full-time employees, of which approximately 1,571 in the United States and 654 in Canada were represented by labor unions. In response to the needs of our business, we also employ temporary and part-time employees. As of December 31, 2023, the total of all active employees, inclusive of the temporary and part time workforce, was approximately 21,539.</w:t>
      </w:r>
    </w:p>
    <w:p>
      <w:pPr>
        <w:spacing w:after="0" w:line="108"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Our human capital objectives focus on the health and safety of our employees, employee development and training, fair and competitive compensation and benefits and business and hiring practices that support diversity and inclusion. Key metrics that management uses to measure these objectives include TRIR, voluntary turnover rates and time to job ready, all of which are monitored at all levels of the organization. 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We also provide competitive compensation and benefit programs, including matching employee contributions towards certain retirement savings plans and health savings accounts.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are committed to fundamental human rights principles and we have a comprehensive Human Rights Policy to formalize the standards to which we hold ourselves accountable. Respect is essential to our interactions with employees, customers, shareholders and the public at large. In recognition of our Human Rights Policy and our intrinsic values of diversity and inclusion, we promote equal opportunity and respect in our workplaces. Our seven employee resource groups were developed to encourage belonging, inclusion and collaboration among our employees at Clean Harbors.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have invested significantly in the development of proprietary technologies and also to establish and maintain an extensive knowledge of leading technologies, including the incorporation of artificial intelligence platforms and robotic process automation. We incorporate these technologies into the services we offer and provide to our customers to enhance the service and value received by our customers, reduce the time and/or increase the safety of such services. For example, our internally developed proprietary software system, Waste Information Network, electronically tracks each step taken by any particular load of waste in our business, allowing customers assurance and transparency into their waste disposal.</w:t>
      </w:r>
    </w:p>
    <w:p>
      <w:pPr>
        <w:spacing w:after="0" w:line="7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2023, we held a total of 61 U.S. and 21 foreign issued or granted patents (which will expire between 2024 and 2042), six U.S. and six foreign pending patent applications, 90 U.S. and 61 foreign trademark registrations and seven U.S. pending trademark registrations and five foreign trademark registrations. We also license software and other intellectual property from various third-parties. We enter into confidentiality agreements with certain of our employees, consultants and corporate partners, and control access to software documentation and other proprietary information. We believe that we hold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 rights to all intellectual property used in our business and that we do not infringe upon any intellectual property rights held by other parties.</w:t>
      </w:r>
    </w:p>
    <w:p>
      <w:pPr>
        <w:spacing w:after="0" w:line="11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must obtain and maintain permits and licenses for transportation and industrial needs throughout our business. We are required to obtain federal, state, provincial and local permits or approvals for each of our hazardous waste facilities. These permits and licenses are material to our business operations. Such permits are difficult to obtain and, in many instances, extensive studies, tests and public hearings are required before the approvals can be issued. Our compliance programs are paramount in maintaining these permits and licenses as well.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Risks</w:t>
      </w:r>
    </w:p>
    <w:p>
      <w:pPr>
        <w:spacing w:after="0" w:line="14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7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dispose of waste at our incinerator, wastewater treatment and landfill facilities, or at facilities owned and operated by other firms that we have audited and approved. We apply established technologies to treatment, storage and recovery of hazardous waste. We believe our operations are conducted in a safe and prudent manner and in substantial compliance with applicable laws and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Financial Assurance</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insurance programs cover the potential risks associated with our multifaceted operations from two primary exposures: direct physical damage and third-party liability. We maintain a casualty insurance program which provides coverage for vehicles, employer's liability and commercial general liability in the aggregate amount of $105.0 million, $102.0 million and $102.0 million, respectively, per year, subject to retentions of $1.0 million for employers' liability in the United States, $2.0 million per occurrence for auto and commercial general liability in the United States and $2.0 million (CAD) per occurrence for employer's liability, auto and commercial general liability in Canada. We also have workers' compensation insurance with limits established by state statutes.</w:t>
      </w:r>
    </w:p>
    <w:p>
      <w:pPr>
        <w:spacing w:after="0" w:line="12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$30.0 million per occurrence and $30.0 million in the aggregate, covering offsite remedial activities and associated liabilities.</w:t>
      </w:r>
    </w:p>
    <w:p>
      <w:pPr>
        <w:spacing w:after="0" w:line="95"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For sudden and accidental in-transit pollution liability, our auto liability policy provides the primary $5.0 million per occurrence of transportation pollution insurance. Our pollution liability policies provide an additional $85.0 million per occurrence and $85.0 million in the aggregate for a total of $90.0 million per occurrence and $90.0 million in the aggregate, respectively. A $2.0 million deductible per occurrence applies to this coverage in the United States and Canada.</w:t>
      </w:r>
    </w:p>
    <w:p>
      <w:pPr>
        <w:spacing w:after="0" w:line="11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112" w:lineRule="exact"/>
        <w:rPr>
          <w:sz w:val="20"/>
          <w:szCs w:val="20"/>
          <w:color w:val="auto"/>
        </w:rPr>
      </w:pPr>
    </w:p>
    <w:p>
      <w:pPr>
        <w:ind w:right="60" w:firstLine="405"/>
        <w:spacing w:after="0" w:line="312" w:lineRule="auto"/>
        <w:rPr>
          <w:sz w:val="20"/>
          <w:szCs w:val="20"/>
          <w:color w:val="auto"/>
        </w:rPr>
      </w:pPr>
      <w:r>
        <w:rPr>
          <w:rFonts w:ascii="Times New Roman" w:cs="Times New Roman" w:eastAsia="Times New Roman" w:hAnsi="Times New Roman"/>
          <w:sz w:val="17"/>
          <w:szCs w:val="17"/>
          <w:color w:val="auto"/>
        </w:rPr>
        <w:t>We maintain property insurance for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5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9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It is our practice to retain a significant portion of certain expected losses related primarily to employee benefits, workers' compensation, commercial general and vehicle liability. Provisions for losses expected under these programs are recorded based upon our estimates of the actuarially determined value of the aggregate liability for claims.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We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have obtained all of the required financial assurance for our facilities through a combination of surety bonds and insurance from qualified insurance companies.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4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and evolving federal, state, provincial and local environmental, health, safety and transportation laws and regulations. While our business has historically benefited from increased government regulation of hazardous waste transportation, storage and disposal, the environmental services industry itself is the subject of extensive and evolving regulation by federal, state, provincial and local authorities. Increasing regulations may have a negative impact on our operating costs; however, extensive environmental regulation applicable to our industry and operations is a barrier to rapid entry that benefits the Company. Additionally, the impacts of regulations on our customers further enhance the value of the disposal and environmental services we can provide.</w:t>
      </w:r>
    </w:p>
    <w:p>
      <w:pPr>
        <w:spacing w:after="0" w:line="12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 We continue to monitor and comply with the requirements of our permits and these regulations.</w:t>
      </w:r>
    </w:p>
    <w:p>
      <w:pPr>
        <w:spacing w:after="0" w:line="11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constantly monitoring the regulatory environment which is often influenced by leadership at the federal, state, provincial and local levels. We make a continuing effort to anticipate regulatory, political and legal developments that might affect operations, but are not always able to do so. We cannot predict the extent to which any legislation or regulation that may be enacted or enforced in the future may affect our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Hazardous Waste Regulation</w:t>
      </w:r>
    </w:p>
    <w:p>
      <w:pPr>
        <w:spacing w:after="0" w:line="160" w:lineRule="exact"/>
        <w:rPr>
          <w:sz w:val="20"/>
          <w:szCs w:val="20"/>
          <w:color w:val="auto"/>
        </w:rPr>
      </w:pPr>
    </w:p>
    <w:p>
      <w:pPr>
        <w:jc w:val="both"/>
        <w:ind w:right="5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The most significant federal environmental laws affecting us are RCRA, the Comprehensive Environmental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Liability Act, also known as the "Superfund Act," the Clean Air Act, the Clean Water Act and the Toxic Substances Control Act ("TSCA").</w:t>
      </w:r>
    </w:p>
    <w:p>
      <w:pPr>
        <w:spacing w:after="0" w:line="10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RCRA. </w:t>
      </w:r>
      <w:r>
        <w:rPr>
          <w:rFonts w:ascii="Times New Roman" w:cs="Times New Roman" w:eastAsia="Times New Roman" w:hAnsi="Times New Roman"/>
          <w:sz w:val="18"/>
          <w:szCs w:val="18"/>
          <w:color w:val="auto"/>
        </w:rPr>
        <w:t>RCRA is the principal federal statute governing hazardous waste generation, treatment, transportation, storage and disposal.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10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1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Superfund Act. </w:t>
      </w:r>
      <w:r>
        <w:rPr>
          <w:rFonts w:ascii="Times New Roman" w:cs="Times New Roman" w:eastAsia="Times New Roman" w:hAnsi="Times New Roman"/>
          <w:sz w:val="18"/>
          <w:szCs w:val="18"/>
          <w:color w:val="auto"/>
        </w:rPr>
        <w:t>The Superfund Act is the primary federal statute regulating the cleanup of inactive hazardous substance sites and imposing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pacing w:after="0" w:line="117"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Air Act. </w:t>
      </w:r>
      <w:r>
        <w:rPr>
          <w:rFonts w:ascii="Times New Roman" w:cs="Times New Roman" w:eastAsia="Times New Roman" w:hAnsi="Times New Roman"/>
          <w:sz w:val="18"/>
          <w:szCs w:val="18"/>
          <w:color w:val="auto"/>
        </w:rPr>
        <w:t>The Clean Air Act was passed by Congress to control the emissions of pollutants into the air and requires permits to be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188 hazardous air pollutants; (ii) create uniform operating permits for major industrial facilities similar to RCRA operating permits; (iii) mandate the phase-out of ozone depleting chemicals; and (iv) provide for enhanced enforcement.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Water Act. </w:t>
      </w:r>
      <w:r>
        <w:rPr>
          <w:rFonts w:ascii="Times New Roman" w:cs="Times New Roman" w:eastAsia="Times New Roman" w:hAnsi="Times New Roman"/>
          <w:sz w:val="18"/>
          <w:szCs w:val="18"/>
          <w:color w:val="auto"/>
        </w:rPr>
        <w:t>This legislation prohibits discharge of pollutants into the waters of the United States without government authorization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15"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TSCA. </w:t>
      </w:r>
      <w:r>
        <w:rPr>
          <w:rFonts w:ascii="Times New Roman" w:cs="Times New Roman" w:eastAsia="Times New Roman" w:hAnsi="Times New Roman"/>
          <w:sz w:val="18"/>
          <w:szCs w:val="18"/>
          <w:color w:val="auto"/>
        </w:rPr>
        <w:t>We operate a network of collection, treatment and field services (remediation) facilities throughout North America whose activities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under provisions of TSCA. TSCA established a national program for the management of substances classified as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 Impacting the US Operations</w:t>
      </w:r>
    </w:p>
    <w:p>
      <w:pPr>
        <w:spacing w:after="0" w:line="1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In addition to regulations specifically directed at our transportation, storage and disposal facilities, there are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11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Health and safety standards under the Occupational Safety and Health Act ("OSHA") are also applicable to all of our operations.</w:t>
      </w:r>
    </w:p>
    <w:p>
      <w:pPr>
        <w:spacing w:after="0" w:line="156"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w:t>
      </w:r>
      <w:r>
        <w:rPr>
          <w:rFonts w:ascii="Times New Roman" w:cs="Times New Roman" w:eastAsia="Times New Roman" w:hAnsi="Times New Roman"/>
          <w:sz w:val="18"/>
          <w:szCs w:val="18"/>
          <w:color w:val="auto"/>
        </w:rPr>
        <w:t>Pursuant to the EPA's authorization of RCRA equivalent state run programs, a number of U.S. states have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108"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Some states classify as hazardous certain wastes that are not regulated under RCRA. For example, Massachusetts and California consider used oil as "hazardous waste" while RCRA does not. Accordingly, we must comply with state requirements for handling state regulated waste, and, when necessary, obtain state licenses for treating, storing and disposing of such waste at our facilities.</w:t>
      </w:r>
    </w:p>
    <w:p>
      <w:pPr>
        <w:spacing w:after="0" w:line="9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Some states regulate other aspects of our operations, as well. For example, Delaware and New York have set strict regulations regarding the level of volatile organic compounds in parts washer solvents. We endeavor to be and remain in compliance with all applicable state regulations.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Regulations by the International Maritime Organization ("IMO") primarily impact shipping businesses and require that ships that traverse the oceans use marine fuels with a sulphur content of no more than 0.50% sulphur, versus the previous cap of 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 This regulation indirectly impacts our SKSS segment as it has reduced the end market of used oil.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Hazardous Waste Regulation</w:t>
      </w:r>
    </w:p>
    <w:p>
      <w:pPr>
        <w:spacing w:after="0" w:line="16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79" w:lineRule="exact"/>
        <w:rPr>
          <w:sz w:val="20"/>
          <w:szCs w:val="20"/>
          <w:color w:val="auto"/>
        </w:rPr>
      </w:pPr>
    </w:p>
    <w:p>
      <w:pPr>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Provincial Regulations. </w:t>
      </w:r>
      <w:r>
        <w:rPr>
          <w:rFonts w:ascii="Times New Roman" w:cs="Times New Roman" w:eastAsia="Times New Roman" w:hAnsi="Times New Roman"/>
          <w:sz w:val="18"/>
          <w:szCs w:val="18"/>
          <w:color w:val="auto"/>
        </w:rPr>
        <w:t>Most of Canada's industrial development and the major part of its population are located in four provinces: Ontario,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Quebec, Alberta and British Columbia, each of which have detailed environmental regulations. We operate major waste management facilities in each of these provinces, as well as waste transfer facilities in Nova Scotia and Manitoba and a re-refinery in Ontario.</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main provincial acts dealing with hazardous waste management are:</w:t>
      </w:r>
    </w:p>
    <w:p>
      <w:pPr>
        <w:spacing w:after="0" w:line="15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Ontario—Environmental Protection Act;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Quebec—Environmental Quality Act;</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Alberta—Environmental Protection and Enhancement Act;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Columbia—Waste Management Act.</w:t>
      </w:r>
    </w:p>
    <w:p>
      <w:pPr>
        <w:spacing w:after="0" w:line="14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1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9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79" w:lineRule="exact"/>
        <w:rPr>
          <w:sz w:val="20"/>
          <w:szCs w:val="20"/>
          <w:color w:val="auto"/>
        </w:rPr>
      </w:pPr>
    </w:p>
    <w:p>
      <w:pPr>
        <w:ind w:left="420"/>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Canadian Federal Regulations.</w:t>
      </w:r>
      <w:r>
        <w:rPr>
          <w:sz w:val="20"/>
          <w:szCs w:val="20"/>
          <w:color w:val="auto"/>
        </w:rPr>
        <w:tab/>
      </w:r>
      <w:r>
        <w:rPr>
          <w:rFonts w:ascii="Times New Roman" w:cs="Times New Roman" w:eastAsia="Times New Roman" w:hAnsi="Times New Roman"/>
          <w:sz w:val="17"/>
          <w:szCs w:val="17"/>
          <w:color w:val="auto"/>
        </w:rPr>
        <w:t>The Canadian federal government has authority for those matters which are national in scope and in impact and for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Canada's relations with other nations. The main federal laws governing hazardous waste management are:</w:t>
      </w:r>
    </w:p>
    <w:p>
      <w:pPr>
        <w:spacing w:after="0" w:line="13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Environmental Protection Act (1999) ("CEPA 99"),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of Dangerous Goods Act</w:t>
      </w:r>
    </w:p>
    <w:p>
      <w:pPr>
        <w:spacing w:after="0" w:line="14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125" w:lineRule="exact"/>
        <w:rPr>
          <w:sz w:val="20"/>
          <w:szCs w:val="20"/>
          <w:color w:val="auto"/>
        </w:rPr>
      </w:pPr>
    </w:p>
    <w:p>
      <w:pPr>
        <w:jc w:val="both"/>
        <w:ind w:right="3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Canadian Local and Municipal Regulations. </w:t>
      </w:r>
      <w:r>
        <w:rPr>
          <w:rFonts w:ascii="Times New Roman" w:cs="Times New Roman" w:eastAsia="Times New Roman" w:hAnsi="Times New Roman"/>
          <w:sz w:val="18"/>
          <w:szCs w:val="18"/>
          <w:color w:val="auto"/>
        </w:rPr>
        <w:t>Local and municipal regulations seldom reference direct control of hazardous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Environmental Regulations</w:t>
      </w:r>
    </w:p>
    <w:p>
      <w:pPr>
        <w:spacing w:after="0" w:line="16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9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further discussed in Note 10, "Closure and Post-Closure Liabilities," and Note 11, "Remedial Liabilities," to our consolidated financial statements included in Item 8 of this report, as of December 31, 2023, we have recognized environmental liabilities of $229.8 million. For the years ended December 31, 2023, 2022 and 2021, we spent $29.0 million, $13.9 million and $15.5 million, respectively, to address environmental liabilities.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 described in Note 18, "Commitments and Contingencies," to our consolidated financial statements included in Item 8 of this report, from time to time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2"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An investment in our securities involves certain risks, including those described below. One should carefully consider these risk factors together with all of the information included or incorporated by reference in this report before investing in our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Our businesses are subject to operational and safety risks. Failure to limit our exposure to such risks could have an adverse impact on our results.</w:t>
      </w:r>
    </w:p>
    <w:p>
      <w:pPr>
        <w:spacing w:after="0" w:line="173"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reduced perceived value of our brand or damage to our reputation,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and protect the value of our brand in the marketplace. While we seek to minimize our exposure to such risks primarily through (i) comprehensive training programs, (ii) utilizing proper equipment and the latest technologies, (iii) our Environmental Compliance Internal Audit Program, (iv) vehicle and equipment maintenance programs, (v) subcontracting with reputable third-parties (vi) industrial control systems and (vii) insurance, such actions and insurance may not be adequate to cover all of our potential liabilities which could negatively impact our results of operations and cash flows.</w:t>
      </w:r>
    </w:p>
    <w:p>
      <w:pPr>
        <w:spacing w:after="0" w:line="123" w:lineRule="exact"/>
        <w:rPr>
          <w:sz w:val="20"/>
          <w:szCs w:val="20"/>
          <w:color w:val="auto"/>
        </w:rPr>
      </w:pPr>
    </w:p>
    <w:p>
      <w:pPr>
        <w:ind w:right="2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7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212529"/>
        </w:rPr>
        <w:t>Our information technology systems are critical to our operations, customer experience and financial reporting. Malfunctions of these technologies, including disruptions due to natural or man-made disasters (e.g., terrorism or cyber intrusion), could interrupt operations, create incremental operational and safety risks such as those noted above or negatively impact our service to our customers and our business reputation. System failures could also impede our ability to collect and report financial results timely or comply with regulations associated with our operations.</w:t>
      </w:r>
    </w:p>
    <w:p>
      <w:pPr>
        <w:spacing w:after="0" w:line="11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212529"/>
        </w:rPr>
        <w:t>In addition to the operational and safety risk mitigation procedures noted above, identification of new and emerging technologies may be a risk and an opportunity to our business. Research and development of new technologies may require significant spending which may negatively impact our operating results and cash flows. Failure to innovate and focus on new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12529"/>
        </w:rPr>
        <w:t>technologies that provide superior alternatives to traditional environmental services, waste disposal or oil collection and re-refining service offerings may negatively impact our financial results.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could negatively impact our business, operations and relationships with customers.</w:t>
      </w:r>
    </w:p>
    <w:p>
      <w:pPr>
        <w:spacing w:after="0" w:line="14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use technology in substantially all aspects of our business operations. Mobile devices and other online technologies connect our employees to our customers and our networks. Such uses give rise to cybersecurity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cybersecurity risk.</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actively assess our cybersecurity and technology risks and modify our operational response to such risks as circumstances and technology change. To avoid the collection and housing of customer payment records, we partner with a Payment Card Industry compliant third party to handle our customers’ credit card transactions in a secure a manner. If we fail to assess and identify current cybersecurity risks and those associated with acquisitions and new initiatives, we may become increasingly vulnerable to such risks. We have implemented measures aimed at preventing security breaches and cyber incidents, including the establishment of processes, procedures and systems focused on response readiness, planning, disaster recovery and business continuity. Despite our best efforts,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w:t>
      </w:r>
    </w:p>
    <w:p>
      <w:pPr>
        <w:spacing w:after="0" w:line="12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Like many companies, we have experienced third-party attacks on our computer systems which resulted in some business disruption while we responded. We believe that no such attack has resulted in any material adverse consequences. Furthermore, while we maintain what we believe is sufficient insurance coverage that may (subject to certain policy terms and conditions, including deductibles) cover certain aspects of third-party security and cybersecurity risks and business interruption, our insurance coverage may not always cover all related costs or losses.</w:t>
      </w:r>
    </w:p>
    <w:p>
      <w:pPr>
        <w:spacing w:after="0" w:line="95"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including effects of climate change and pandemics as well as their residual macroeconomic effects, could negatively affect our business.</w:t>
      </w:r>
    </w:p>
    <w:p>
      <w:pPr>
        <w:spacing w:after="0" w:line="7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Natural disasters such as hurricanes, tornados or earthquakes or other catastrophic events including public health threats could negatively affect our operations and financial performance and harm our reputation. The direct and indirect impact of such events could include physical damage to one or more of our facilities, equipment or locations in which we operate, the temporary lack of an adequate workforce in a market and the temporary disruption in rail or other modes of transportation upon which we rely. These events could prevent or delay shipments to and collections from customers and those from suppliers. Residual and lingering macroeconomic effects from such events could impact our supply chain, distribution network and/or workforce via longer disruptions or increased costs. These impacts could have a material effect on our business, financial condition, results of operations and cash flows.</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108"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w:t>
      </w:r>
    </w:p>
    <w:p>
      <w:pPr>
        <w:spacing w:after="0" w:line="10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 and competition for experienced personnel in the labor market may result in increased costs for wages, overtime and employee recruitment.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We put the safety of our employees at the heart of what we do and believe we have a positive relationship with our workforce. However,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RISKS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business is subject to significant environmental liabilities.</w:t>
      </w:r>
    </w:p>
    <w:p>
      <w:pPr>
        <w:spacing w:after="0" w:line="162" w:lineRule="exact"/>
        <w:rPr>
          <w:sz w:val="20"/>
          <w:szCs w:val="20"/>
          <w:color w:val="auto"/>
        </w:rPr>
      </w:pPr>
    </w:p>
    <w:p>
      <w:pPr>
        <w:ind w:right="20" w:firstLine="180"/>
        <w:spacing w:after="0" w:line="255" w:lineRule="auto"/>
        <w:rPr>
          <w:sz w:val="20"/>
          <w:szCs w:val="20"/>
          <w:color w:val="auto"/>
        </w:rPr>
      </w:pPr>
      <w:r>
        <w:rPr>
          <w:rFonts w:ascii="Times New Roman" w:cs="Times New Roman" w:eastAsia="Times New Roman" w:hAnsi="Times New Roman"/>
          <w:sz w:val="18"/>
          <w:szCs w:val="18"/>
          <w:color w:val="auto"/>
        </w:rPr>
        <w:t>As of December 31, 2023, we have recorded closure, post-closure and remedial liabilities valued at $229.8 million, substantially all of which we assumed in connection with certain acquisitions. We calculate these environmental liabilities on a present value basis in accordance with generally accepted accounting principles, which take into consideration both the estimated cost to remediate such liabilities and the estimated timing of the remediation. We anticipate our environmental liabilities will be payable over many years and that cash flows generated from our operations will generally be sufficient to fund the payment of such liabilities when required. However, events not now anticipated (including future changes in environmental laws and regulations) could require that such payments be made earlier or in greater amounts than we now estimate, which could adversely affect our financial condition, results of operations and cash flows.</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industry is subject to significant economic and business risks.</w:t>
      </w:r>
    </w:p>
    <w:p>
      <w:pPr>
        <w:spacing w:after="0" w:line="162"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future operating results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17" w:lineRule="exact"/>
        <w:rPr>
          <w:sz w:val="20"/>
          <w:szCs w:val="20"/>
          <w:color w:val="auto"/>
        </w:rPr>
      </w:pPr>
    </w:p>
    <w:p>
      <w:pPr>
        <w:ind w:right="9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depends upon the demand for cleanup of major spills and other remedial projects and regulatory developments over which we have no control.</w:t>
      </w:r>
    </w:p>
    <w:p>
      <w:pPr>
        <w:spacing w:after="0" w:line="7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117" w:lineRule="exact"/>
        <w:rPr>
          <w:sz w:val="20"/>
          <w:szCs w:val="20"/>
          <w:color w:val="auto"/>
        </w:rPr>
      </w:pPr>
    </w:p>
    <w:p>
      <w:pPr>
        <w:ind w:right="4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assumptions relating to expansion of our landfills should prove inaccurate, our results of operations and cash flow could be adversely affected.</w:t>
      </w:r>
    </w:p>
    <w:p>
      <w:pPr>
        <w:spacing w:after="0" w:line="9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108"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the demand for oil products and automotive services and volatility in oil prices in the markets we serve may negatively affect certain of our businesses.</w:t>
      </w:r>
    </w:p>
    <w:p>
      <w:pPr>
        <w:spacing w:after="0" w:line="78" w:lineRule="exact"/>
        <w:rPr>
          <w:sz w:val="20"/>
          <w:szCs w:val="20"/>
          <w:color w:val="auto"/>
        </w:rPr>
      </w:pPr>
    </w:p>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Our operations, predominately within the Safety-Kleen Sustainability Solutions ("SKSS")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11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Factors such as geopolitical developments, supply and demand imbalances and macroeconomic shifts may contribute to heightened oil price volatility in global oil markets. This volatility may lead to reduced profitability and increased operating costs in our oil operations and also may impact the cost of fuels throughout our transportation network and facilities. These volatility impacts may affect the Company's financial condition, results of operations and cash flows.</w:t>
      </w:r>
    </w:p>
    <w:p>
      <w:pPr>
        <w:spacing w:after="0" w:line="112"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Other businesses, including our Safety-Kleen branches' core service offerings of containerized waste collection services, parts washer services and vacuum services,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ENVIRONMENTAL AND REGULATORY COMPLIANCE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numerous statutory and regulatory requirements, which may increase in the future.</w:t>
      </w:r>
    </w:p>
    <w:p>
      <w:pPr>
        <w:spacing w:after="0" w:line="16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Future statutory and regulatory requirements, including any legislation focused on combating climate change, may require significant cost to comply or may require changes to our products or services.</w:t>
      </w:r>
    </w:p>
    <w:p>
      <w:pPr>
        <w:spacing w:after="0" w:line="102"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Regulators, in addition to investors, customers and the public in general, have been increasingly focused on environmental, social and cybersecurity practices of companies. We may be subject to additional regulations and disclosure requirements in the future arising from the increased focus these areas, including the SEC's recent disclosure proposal on climate change. In addition, customers, including the U.S. government, may require us to implement or report on certain ESG data, procedures or standards to continue doing business with us.</w:t>
      </w:r>
    </w:p>
    <w:p>
      <w:pPr>
        <w:spacing w:after="0" w:line="11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third-parties with whom we have a relationship, were to fail to comply with such statutory and regulatory requirements.</w:t>
      </w:r>
    </w:p>
    <w:p>
      <w:pPr>
        <w:spacing w:after="0" w:line="108" w:lineRule="exact"/>
        <w:rPr>
          <w:sz w:val="20"/>
          <w:szCs w:val="20"/>
          <w:color w:val="auto"/>
        </w:rPr>
      </w:pPr>
    </w:p>
    <w:p>
      <w:pPr>
        <w:ind w:right="2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extensive environmental regulations to which we are subject, including potential climate change legislation and regulations, may increase our costs and potential liabilities and limit our ability to operate and expand our facilities.</w:t>
      </w:r>
    </w:p>
    <w:p>
      <w:pPr>
        <w:spacing w:after="0" w:line="78"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Our operations and those of others in the environmental services industry are subject to extensive federal, state, provincial and local environmental requirements in both the United States and Canada, including those outlined in the "Government Regulations" section in Item 1 of this report on Form 10-K. If we fail to comply with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From time to time, fines and/or penalties have been levied upon the Company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07"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2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have adversely affected and may adversely affect parts cleaning and other solvent related services.</w:t>
      </w:r>
    </w:p>
    <w:p>
      <w:pPr>
        <w:spacing w:after="0" w:line="16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our parts cleaning and other solvent related services, we have been subject to fines and certain orders requiring us to take environmental remedial action. Recent and potential changes in environmental laws and regulations may also adversely affect future parts cleaning and other solvent related services. Interpretation or enforcement of existing laws and regulations, or the adoption of new laws and regulations, may require a modification or curtailment of our parts cleaning operations or replacement or upgrading our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our customers or competitors may be able to manage waste more effectively themselves, which could decrease the demand for parts cleaning and other solvent related services or increase competition, which could adversely affect the results of operations, most predominately within the Environmental Services segment.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existing and potential product liability lawsuits relating to parts washer services.</w:t>
      </w:r>
    </w:p>
    <w:p>
      <w:pPr>
        <w:spacing w:after="0" w:line="16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Clean Harbors, through its Safety-Kleen branded operations within the Environmental Services segment, from time to time has been named as a defendant in product liability lawsuits in various courts and jurisdictions throughout the United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States. As of December 31, 2023, the Company was involved in 70 such proceedings (including cases which have been settled but not formally dismissed) wherein persons claim personal injury resulting from the use of its parts cleaning equipment or cleaning products. These proceedings typically involve allegations that the solvents used in the parts cleaning equipment contain contaminants or that the solvent recycling process does not effectively remove the contaminants that become entrained in the solvents during their use. In addition, certain claimants assert that the Company failed to adequately warn the product user of potential risks, including a historic failure to warn that such solvents contain trace amounts of toxic or hazardous substances such as benzene.</w:t>
      </w:r>
    </w:p>
    <w:p>
      <w:pPr>
        <w:spacing w:after="0" w:line="12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maintain insurance that we believe will provide coverage for these claims (over amounts accrued for self-insured retentions and deductibles in certain limited cases), though this insurance may not provide coverage for potential awards of punitive damages. Although we have vigorously defended and will continue to vigorously defend the Company and the safety of its products against all of these claims, these lawsuits are subject to many uncertainties and outcomes that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TRANSACTION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Failure to correctly identify strategic acquisitions and divestitures could adversely impact our future results.</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continuously evaluate potential acquisition candidates and from time to time acquire companies that we believe will strategically fit into our business and growth objectives. If we are unable to successfully identify,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of companies may expose us to unknown liabilities.</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If there are unknown liabilities or other obligations, including contingent liabilities, arising from potential acquisitions, our business could be materially affected. We may learn additional information about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 ACCOUNTING AND TAX RELATED RISKS</w:t>
      </w:r>
    </w:p>
    <w:p>
      <w:pPr>
        <w:spacing w:after="0" w:line="144" w:lineRule="exact"/>
        <w:rPr>
          <w:sz w:val="20"/>
          <w:szCs w:val="20"/>
          <w:color w:val="auto"/>
        </w:rPr>
      </w:pPr>
    </w:p>
    <w:p>
      <w:pPr>
        <w:ind w:right="2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91"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2024.</w:t>
      </w:r>
    </w:p>
    <w:p>
      <w:pPr>
        <w:spacing w:after="0" w:line="11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ability to continue operating our facilities and conducting our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5"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9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carry a range of insurance policies intended to protect our assets and operations, including general liability insurance, property damage, business interruption and environmental risk insurance. While we endeavor to purchase insurance coverage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appropriate to our risk assessment, we are unable to predict with certainty the frequency, nature or magnitude of claims for direct or consequential damages, and as a result our insurance program may not fully cover us for losses we may incur.</w:t>
      </w:r>
    </w:p>
    <w:p>
      <w:pPr>
        <w:spacing w:after="0" w:line="9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we may need to take on higher deductibles to obtain such coverage.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to some extent self-insured (property, workers' compensation, employee medical, comprehensive general liability and vehicle liability) may exceed our recorded reserves, which could negatively impact future earnings.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 interpretations and changes in tax regulations and legislation could adversely affect our results of operations.</w:t>
      </w:r>
    </w:p>
    <w:p>
      <w:pPr>
        <w:spacing w:after="0" w:line="16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are subject to various taxes in the United States, Canada, India, Mexico, Puerto Rico and certain state and local jurisdictions. Tax interpretations, regulations and legislation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could affect our financial results.</w:t>
      </w:r>
    </w:p>
    <w:p>
      <w:pPr>
        <w:spacing w:after="0" w:line="14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earn revenues, pay expenses, own assets and incur liabilities in countries using currencies other than the U.S. Dollar. In particular, we recorded approximately 11.5% of our fiscal 2023 direct revenues in Canada and employ approximately 7.0% of our full time active employees at our Global Capabilities Center in India. Because our consolidated financial statements are presented in U.S. Dollars, we must translate revenues, expenses and income,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16"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9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During each of 2023, 2022 and 2021,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AND FINANCING RELATED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levels of outstanding debt and letters of credit could adversely affect our financial condition and ability to fulfill our obligations.</w:t>
      </w:r>
    </w:p>
    <w:p>
      <w:pPr>
        <w:spacing w:after="0" w:line="16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our long-term debt consisted of $1,345.0 million of unsecured senior notes and $980.0 million of secured senior term loans, with letters of credit of $134.3 million drawn against our revolving credit facility. Our levels of outstanding debt and letters of credit may:</w:t>
      </w:r>
    </w:p>
    <w:p>
      <w:pPr>
        <w:spacing w:after="0" w:line="81" w:lineRule="exact"/>
        <w:rPr>
          <w:sz w:val="20"/>
          <w:szCs w:val="20"/>
          <w:color w:val="auto"/>
        </w:rPr>
      </w:pPr>
    </w:p>
    <w:p>
      <w:pPr>
        <w:ind w:left="660" w:right="400" w:hanging="328"/>
        <w:spacing w:after="0" w:line="27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ability to obtain additional financing in the future for working capital, capital expenditures, acquisitions or other general corporate purposes or to repurchase our unsecured senior notes from holders upon any change of control;</w:t>
      </w:r>
    </w:p>
    <w:p>
      <w:pPr>
        <w:spacing w:after="0" w:line="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100" w:hanging="328"/>
        <w:spacing w:after="0" w:line="27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variable interest rate risk on $380.0 million of our $980.0 million secured senior term loans for which the variable rate had not been fixed via an interest rate swap as of December 31, 2023 and borrowings (if any) under our revolving credit facility;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possibility of an event of default under the financial and operating covenants contained in our debt instruments; and</w:t>
      </w:r>
    </w:p>
    <w:p>
      <w:pPr>
        <w:spacing w:after="0" w:line="36"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of principal or interest with respect to our debt, including our outstanding unsecured senior notes, our secured senior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debt agreements may restrict our ability to operate our business and might lead to a default under our debt agreements.</w:t>
      </w:r>
    </w:p>
    <w:p>
      <w:pPr>
        <w:spacing w:after="0" w:line="14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Our revolving credit agreement and the indenture and loan agreement governing our other outstanding debt limit, among other things, the extent to which the Company or our restricted subsidiaries can:</w:t>
      </w:r>
    </w:p>
    <w:p>
      <w:pPr>
        <w:spacing w:after="0" w:line="9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(including, for this purpose, reimbursement obligations under letters of credit) or issue preferred stock;</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our stockholders;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capital stock or subordinated indebtedness;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restricted subsidiaries to pay dividends or make other payments to us;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including capital stock of our subsidiaries;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other companies or transfer all or substantially all of our assets;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5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 repay in full those debts.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revolving credit agreement and the indentures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RELATED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Massachusetts Business Corporation Act and our By-Laws contain certain anti-takeover provisions.</w:t>
      </w:r>
    </w:p>
    <w:p>
      <w:pPr>
        <w:spacing w:after="0" w:line="14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1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6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Clean Harbors recognizes the critical importance of developing, implementing and maintaining cybersecurity measures to safeguard our information technology. The Company has integrated cybersecurity risk management into our overall risk management framework to collectively assess and respond to operational, financial and cybersecurity risks.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 Oversight</w:t>
      </w:r>
    </w:p>
    <w:p>
      <w:pPr>
        <w:spacing w:after="0" w:line="16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led by the Executive Chairman Alan McKim, who is also the Chief Technology Officer of the Company, has primary oversight responsibilities for cybersecurity risks and therefore has established oversight mechanisms to ensure effective governance in managing risks associated with cybersecurity threats.</w:t>
      </w:r>
    </w:p>
    <w:p>
      <w:pPr>
        <w:spacing w:after="0" w:line="10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During 2023, the Board of Directors established a special subcommittee with the goal of reviewing the Company's overall cybersecurity risk and response landscape. The special Cybersecurity subcommittee is comprised of board members with diverse expertise including risk management, technology and finance, with two members holding Cybersecurity Oversight Certificates issued by the National Association of Corporate Directors and Carnegie Mellon University.</w:t>
      </w:r>
    </w:p>
    <w:p>
      <w:pPr>
        <w:spacing w:after="0" w:line="9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Chief Information Security Officer ("CISO") and Chief Information Officer ("CIO") provide comprehensive briefings throughout the year to both the Cybersecurity subcommittee, which meets quarterly, and to the Board of Directors as well. The briefings include the current landscape of cybersecurity risks and emerging threats, relevant Company infrastructure and tools employed to address these risk and threats, status of ongoing initiatives, incident reports and learnings and compliance with regulatory requirements and industry standards.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Oversight and Responsibilities</w:t>
      </w:r>
    </w:p>
    <w:p>
      <w:pPr>
        <w:spacing w:after="0" w:line="16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Reporting to the CIO, Cybersecurity at Clean Harbors is managed by the Chief Information Security Officer who is a Certified Informational Systems Security Professional. The CISO leads the Clean Harbors' cybersecurity response program based on the National Institute of Standards and Technology ("NIST") Cybersecurity Framework providing a collaborative, balanced risk based approach to securing and defending the Company.</w:t>
      </w:r>
    </w:p>
    <w:p>
      <w:pPr>
        <w:spacing w:after="0" w:line="95"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The CISO leverages both open source and private threat intelligence sources to remain current about the latest developments in cybersecurity, including potential threats and innovative risk management techniques. The CISO implements and oversees processes and technologies for regular monitoring of our information systems. Third party cybersecurity advisory services are employed to consult on, monitor, respond and/or assess our IT landscape and cybersecurity response.</w:t>
      </w:r>
    </w:p>
    <w:p>
      <w:pPr>
        <w:spacing w:after="0" w:line="11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CISO is also responsible for the ongoing cybersecurity awareness, training and education of the employees of Clean Harbors and any other parties that may interact with the Company's information technology systems. Awareness activities include cybersecurity training, simulated exercises, cross functional tabletop exercises and internal communication updates. In the event of a cybersecurity incident, the CISO is equipped with a well-defined incident response plan which has been communicated to the IT and operational organization. This plan includes immediate actions to mitigate the impact, solutions to enable the restoration of business critical technology and long-term strategies for remediation and prevention of future incidents.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46"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has not encountered cybersecurity challenges that have materially impacted our operations or financial results. The Company has included the relevant potential risks from cybersecurity threats as part of the Company's Risk Factors in Item 1A herein.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2" w:lineRule="exact"/>
        <w:rPr>
          <w:sz w:val="20"/>
          <w:szCs w:val="20"/>
          <w:color w:val="auto"/>
        </w:rPr>
      </w:pPr>
    </w:p>
    <w:p>
      <w:pPr>
        <w:jc w:val="both"/>
        <w:ind w:right="420" w:firstLine="445"/>
        <w:spacing w:after="0" w:line="289" w:lineRule="auto"/>
        <w:rPr>
          <w:sz w:val="20"/>
          <w:szCs w:val="20"/>
          <w:color w:val="auto"/>
        </w:rPr>
      </w:pPr>
      <w:r>
        <w:rPr>
          <w:rFonts w:ascii="Times New Roman" w:cs="Times New Roman" w:eastAsia="Times New Roman" w:hAnsi="Times New Roman"/>
          <w:sz w:val="17"/>
          <w:szCs w:val="17"/>
          <w:color w:val="auto"/>
        </w:rPr>
        <w:t>Our principal executive offices are in Norwell, Massachusetts. We own our primary executive office building in Massachusetts which occupies 104,000 square feet. We also currently lease 59,300 square feet of additional office space in Norwell, Massachusetts under arrangements which do not expire until 2042. We have regional administrative offices in Texas, Canada and India. Our properties are sufficient and suitable for our current needs.</w:t>
      </w:r>
    </w:p>
    <w:p>
      <w:pPr>
        <w:spacing w:after="0" w:line="7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have nearly 800 operating locations housed at approximately 580 properties covering all 50 states, nine Canadian provinces, Puerto Rico and Mexico. These operating locations include service centers, branches, satellite locations, active hazardous waste management properties and oil processing, blending and packaging facilities. Many of our properties offer multiple capabilities. The following sets forth certain information regarding our key properties as of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Centers, Branches and Satellite Locations</w:t>
      </w:r>
    </w:p>
    <w:p>
      <w:pPr>
        <w:spacing w:after="0" w:line="16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We have more than 520 service centers, branches and satellite locations, across approximately 425 locations throughout the United States and Canada. These serve as principal sales and service centers from which we provide our environmental, industrial and Safety-Kleen branch core services for our Environmental Services business as well as oil collection and product sales locations for our Safety-Kleen Sustainability Solutions ("SKSS")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Hazardous Waste Management Properties</w:t>
      </w:r>
    </w:p>
    <w:p>
      <w:pPr>
        <w:spacing w:after="0" w:line="160"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Incinerator Facilities. </w:t>
      </w:r>
      <w:r>
        <w:rPr>
          <w:rFonts w:ascii="Times New Roman" w:cs="Times New Roman" w:eastAsia="Times New Roman" w:hAnsi="Times New Roman"/>
          <w:sz w:val="18"/>
          <w:szCs w:val="18"/>
          <w:color w:val="auto"/>
        </w:rPr>
        <w:t>We own and operate five incinerator facilities that have a total of nine incinerators with 561,721 tons of total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and an overall average utilization rate for 2023 of 83.7%.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tons by practical capacity at each incinerator. The following table summarizes the practical capacity and utilization for each incinerator for the year ended December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Utilization Rate</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Incinerators</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Practical Capacity (Tons)</w:t>
            </w:r>
          </w:p>
        </w:tc>
        <w:tc>
          <w:tcPr>
            <w:tcW w:w="10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8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145,072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58,808</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66,815</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165,500</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c>
          <w:tcPr>
            <w:tcW w:w="1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125,526</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561,721</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incinerators offer a wide range of technological capabilities to customers through this network. In the United States, we provide incineration through one fluidized bed thermal oxidation unit and three solids and liquids-capable incinerator facilities and we operate one active hazardous waste liquid injection incinerator in Canada.</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currently constructing a second incinerator at our Kimball Nebraska facility that will increase our permitted capacity by approximately 70,000 tons. This incinerator will be the sister site to our El Dorado, Arkansas facility housing a solids and liquids-capable incinerator and is set to open in late 2024.</w:t>
      </w:r>
    </w:p>
    <w:p>
      <w:pPr>
        <w:spacing w:after="0" w:line="10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Commercial and Non-Commercial Landfills. </w:t>
      </w:r>
      <w:r>
        <w:rPr>
          <w:rFonts w:ascii="Times New Roman" w:cs="Times New Roman" w:eastAsia="Times New Roman" w:hAnsi="Times New Roman"/>
          <w:sz w:val="18"/>
          <w:szCs w:val="18"/>
          <w:color w:val="auto"/>
        </w:rPr>
        <w:t>In the United States and Canada, we operate seven commercial landfills with approximately 27.2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one non-commercial landfill that only accepts waste from our on-site incinerator. Additionally, we are in the process of closing two commercial landfills, Altair and Westmorland, which began closure procedures in 2020, and one on-site non-commercial landfill that reached capacity in early 2023. The three landfills that are already in closure, are excluded from the landfill counts above. See "Landfill Accounting" within Note 2, "Significant Accounting Policies," to our consolidated financial statements included in Item 8 of this report for additional information on our commercial and non-commercial landfills.</w:t>
      </w:r>
    </w:p>
    <w:p>
      <w:pPr>
        <w:spacing w:after="0" w:line="104"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Wastewater Treatment Facilities. </w:t>
      </w:r>
      <w:r>
        <w:rPr>
          <w:rFonts w:ascii="Times New Roman" w:cs="Times New Roman" w:eastAsia="Times New Roman" w:hAnsi="Times New Roman"/>
          <w:sz w:val="18"/>
          <w:szCs w:val="18"/>
          <w:color w:val="auto"/>
        </w:rPr>
        <w:t>We operate a total of ten facilities, of which eight are owned and two are leased, that offer a range of 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technologies and services. Wastewater treatment consists primarily of three types of services: hazardous wastewater treatment, sludge dewatering or drying and non-hazardous wastewater treatment.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Treatment, Storage and Disposal Facilities. </w:t>
      </w:r>
      <w:r>
        <w:rPr>
          <w:rFonts w:ascii="Times New Roman" w:cs="Times New Roman" w:eastAsia="Times New Roman" w:hAnsi="Times New Roman"/>
          <w:sz w:val="18"/>
          <w:szCs w:val="18"/>
          <w:color w:val="auto"/>
        </w:rPr>
        <w:t>We operate 32 TSDFs in the United States and Canada, of which 29 are owned and three are 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16" w:lineRule="exact"/>
        <w:rPr>
          <w:sz w:val="20"/>
          <w:szCs w:val="20"/>
          <w:color w:val="auto"/>
        </w:rPr>
      </w:pPr>
    </w:p>
    <w:p>
      <w:pPr>
        <w:ind w:right="7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Hazardous Waste Management Properties. </w:t>
      </w:r>
      <w:r>
        <w:rPr>
          <w:rFonts w:ascii="Times New Roman" w:cs="Times New Roman" w:eastAsia="Times New Roman" w:hAnsi="Times New Roman"/>
          <w:sz w:val="18"/>
          <w:szCs w:val="18"/>
          <w:color w:val="auto"/>
        </w:rPr>
        <w:t>We also own eight facilities specializing in solvent recovery, and two autoclave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designed to treat medical waste.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Processing, Blending and Packaging Facilities</w:t>
      </w:r>
    </w:p>
    <w:p>
      <w:pPr>
        <w:spacing w:after="0" w:line="160"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Oil Terminals. </w:t>
      </w:r>
      <w:r>
        <w:rPr>
          <w:rFonts w:ascii="Times New Roman" w:cs="Times New Roman" w:eastAsia="Times New Roman" w:hAnsi="Times New Roman"/>
          <w:sz w:val="18"/>
          <w:szCs w:val="18"/>
          <w:color w:val="auto"/>
        </w:rPr>
        <w:t>We operate a total of 78 oil terminals, of which 52 are owned and 26 are leased, which collect or process used oil prior to delivery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re-refineries or distribution as recycled fuel oil.</w:t>
      </w:r>
    </w:p>
    <w:p>
      <w:pPr>
        <w:spacing w:after="0" w:line="91"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Oil Recycling and Re-refining Facilities. </w:t>
      </w:r>
      <w:r>
        <w:rPr>
          <w:rFonts w:ascii="Times New Roman" w:cs="Times New Roman" w:eastAsia="Times New Roman" w:hAnsi="Times New Roman"/>
          <w:sz w:val="18"/>
          <w:szCs w:val="18"/>
          <w:color w:val="auto"/>
        </w:rPr>
        <w:t>We own eight oil re-refineries, seven in the United States and one in Canada. With nearly 234.9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gallons of used oil collected this year, we were able to return 221 million gallons of new re-refined oil, lubricants and byproducts back into the marketplace in 2023.</w:t>
      </w:r>
    </w:p>
    <w:p>
      <w:pPr>
        <w:spacing w:after="0" w:line="92" w:lineRule="exact"/>
        <w:rPr>
          <w:sz w:val="20"/>
          <w:szCs w:val="20"/>
          <w:color w:val="auto"/>
        </w:rPr>
      </w:pPr>
    </w:p>
    <w:p>
      <w:pPr>
        <w:ind w:right="60" w:firstLine="405"/>
        <w:spacing w:after="0" w:line="423" w:lineRule="auto"/>
        <w:rPr>
          <w:sz w:val="20"/>
          <w:szCs w:val="20"/>
          <w:color w:val="auto"/>
        </w:rPr>
      </w:pPr>
      <w:r>
        <w:rPr>
          <w:rFonts w:ascii="Times New Roman" w:cs="Times New Roman" w:eastAsia="Times New Roman" w:hAnsi="Times New Roman"/>
          <w:sz w:val="18"/>
          <w:szCs w:val="18"/>
          <w:i w:val="1"/>
          <w:iCs w:val="1"/>
          <w:color w:val="auto"/>
        </w:rPr>
        <w:t xml:space="preserve">Oil Packaging and Blending Facilities. </w:t>
      </w:r>
      <w:r>
        <w:rPr>
          <w:rFonts w:ascii="Times New Roman" w:cs="Times New Roman" w:eastAsia="Times New Roman" w:hAnsi="Times New Roman"/>
          <w:sz w:val="18"/>
          <w:szCs w:val="18"/>
          <w:color w:val="auto"/>
        </w:rPr>
        <w:t>We operate a total of four oil packaging and blending facilities, of which three are owned and one is 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ITEM 3. LEGAL PROCEEDINGS</w:t>
      </w:r>
    </w:p>
    <w:p>
      <w:pPr>
        <w:spacing w:after="0" w:line="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See Note 18, "Commitments and Contingencies," to our consolidated financial statements included in Item 8 of this report for a description of legal proceedings.</w:t>
      </w:r>
    </w:p>
    <w:p>
      <w:pPr>
        <w:spacing w:after="0" w:line="7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common stock trades on the New York Stock Exchange ("NYSE") under the symbol CLH. On February 14, 2024, there were 244 stockholders of record of our common stock, excluding stockholders whose shares were held in nominee, or "street name" accounts through brokers or banks. On our last record date, approximately 90,000 additional stockholders beneficially held shares in street name accounts.</w:t>
      </w:r>
    </w:p>
    <w:p>
      <w:pPr>
        <w:spacing w:after="0" w:line="108"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our stock repurchase program. In addition, our current revolving credit agreement and the indentures and loan agreement governing our other outstanding debt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6"/>
                <w:szCs w:val="16"/>
                <w:color w:val="auto"/>
              </w:rPr>
            </w:pP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20" w:type="dxa"/>
            <w:vAlign w:val="bottom"/>
          </w:tcPr>
          <w:p>
            <w:pPr>
              <w:spacing w:after="0"/>
              <w:rPr>
                <w:sz w:val="14"/>
                <w:szCs w:val="14"/>
                <w:color w:val="auto"/>
              </w:rPr>
            </w:pPr>
          </w:p>
        </w:tc>
        <w:tc>
          <w:tcPr>
            <w:tcW w:w="222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20" w:type="dxa"/>
            <w:vAlign w:val="bottom"/>
          </w:tcPr>
          <w:p>
            <w:pPr>
              <w:spacing w:after="0"/>
              <w:rPr>
                <w:sz w:val="14"/>
                <w:szCs w:val="14"/>
                <w:color w:val="auto"/>
              </w:rPr>
            </w:pPr>
          </w:p>
        </w:tc>
        <w:tc>
          <w:tcPr>
            <w:tcW w:w="2220" w:type="dxa"/>
            <w:vAlign w:val="bottom"/>
          </w:tcPr>
          <w:p>
            <w:pPr>
              <w:jc w:val="center"/>
              <w:ind w:right="16"/>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220" w:type="dxa"/>
            <w:vAlign w:val="bottom"/>
          </w:tcPr>
          <w:p>
            <w:pPr>
              <w:spacing w:after="0"/>
              <w:rPr>
                <w:sz w:val="4"/>
                <w:szCs w:val="4"/>
                <w:color w:val="auto"/>
              </w:rPr>
            </w:pPr>
          </w:p>
        </w:tc>
        <w:tc>
          <w:tcPr>
            <w:tcW w:w="2220" w:type="dxa"/>
            <w:vAlign w:val="bottom"/>
            <w:vMerge w:val="restart"/>
          </w:tcPr>
          <w:p>
            <w:pPr>
              <w:jc w:val="center"/>
              <w:ind w:right="16"/>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(3)</w:t>
            </w:r>
          </w:p>
        </w:tc>
        <w:tc>
          <w:tcPr>
            <w:tcW w:w="0" w:type="dxa"/>
            <w:vAlign w:val="bottom"/>
          </w:tcPr>
          <w:p>
            <w:pPr>
              <w:spacing w:after="0"/>
              <w:rPr>
                <w:sz w:val="1"/>
                <w:szCs w:val="1"/>
                <w:color w:val="auto"/>
              </w:rPr>
            </w:pPr>
          </w:p>
        </w:tc>
      </w:tr>
      <w:tr>
        <w:trPr>
          <w:trHeight w:val="162"/>
        </w:trPr>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540" w:type="dxa"/>
            <w:vAlign w:val="bottom"/>
            <w:tcBorders>
              <w:bottom w:val="single" w:sz="8" w:color="auto"/>
            </w:tcBorders>
            <w:gridSpan w:val="2"/>
          </w:tcPr>
          <w:p>
            <w:pPr>
              <w:jc w:val="right"/>
              <w:ind w:right="92"/>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6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153.29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184,126</w:t>
            </w:r>
          </w:p>
        </w:tc>
        <w:tc>
          <w:tcPr>
            <w:tcW w:w="24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157.92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180,724</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174.58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554,101</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228,189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158.27</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210,718</w:t>
            </w: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right="300" w:hanging="328"/>
        <w:spacing w:after="0" w:line="250"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17,471 shares withheld by us from employees to satisfy employee tax obligations upon vesting of restricted shares granted under our long-term equity incentive programs.</w:t>
      </w:r>
    </w:p>
    <w:p>
      <w:pPr>
        <w:ind w:left="720" w:hanging="38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our stock repurchase program includes commissions paid to the brokers.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1"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2023, our Board of Directors authorized a $500.0 million expansion of the Company’s current share repurchase program. As of December 31, 2023, the amount available for repurchase under the expanded plan is $554.1 million. We have funded and intend to fund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December 31, 2023, 54,574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5-YEAR CUMULATIVE TOTAL RETURN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AMONG CLEAN HARBORS,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NYSE COMPOSITE INDEX, S&amp;P MIDCAP 400 INDEX AND A CUSTOM PEER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five-year return from investing $100 in each of our common stock, the NYSE Composite Index, the S&amp;P Midcap 400 Index and a custom peer group. We established a custom peer group that closely aligns with the breadth and size of our business. This peer group is comprised of ABM Industries Incorporated, Advanced Drainage Systems, Inc., Chemed Corporation, Emcor Group, Inc., Enviri Corporation, GFL Environmental, Inc., Healthcare Services Group, Inc., Huntsman Corporation, Iron Mountain Incorporated, KBR, Inc, Quanta Services, Inc., Republic Services, Inc., Rollins, Inc., Stanley Black &amp; Decker, Inc., Stericycle, Inc., Tetra Tech, Inc., Waste Connections, Inc., and Waste Management, Inc. In 2022, we reassessed our peers to maintain a group that closely aligns with the breath and size of our current operations. Further, Heritage-Crystal Clean, Inc. had previously been in the Peer Group but is no longer listed since being acquired by a private company in 2023.</w:t>
      </w:r>
    </w:p>
    <w:p>
      <w:pPr>
        <w:spacing w:after="0" w:line="108"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values illustrated assume reinvestment of dividends on the ex-dividend date and compares relative performance since a particular starting date. In this instance, the starting date was December 31, 2018, when our common stock closed at $49.35 per share. The graph is presented pursuant to SEC rules and is not meant to be an indication of our future performance.</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NOTE: Index Data: Copyright Standard and Poor’s, Inc. Used with permission.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109220</wp:posOffset>
            </wp:positionV>
            <wp:extent cx="5863590" cy="3111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4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Overview</w:t>
      </w: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largest re-refiner and recycler of used oil in North America.</w:t>
      </w:r>
    </w:p>
    <w:p>
      <w:pPr>
        <w:spacing w:after="0" w:line="12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60" w:hanging="324"/>
        <w:spacing w:after="0" w:line="25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our wide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U.S.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113" w:lineRule="exact"/>
        <w:rPr>
          <w:rFonts w:ascii="Times New Roman" w:cs="Times New Roman" w:eastAsia="Times New Roman" w:hAnsi="Times New Roman"/>
          <w:sz w:val="18"/>
          <w:szCs w:val="18"/>
          <w:color w:val="auto"/>
        </w:rPr>
      </w:pPr>
    </w:p>
    <w:p>
      <w:pPr>
        <w:ind w:left="980" w:hanging="324"/>
        <w:spacing w:after="0" w:line="268" w:lineRule="auto"/>
        <w:tabs>
          <w:tab w:leader="none" w:pos="9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Safety-Kleen Sustainability Solutions - </w:t>
      </w:r>
      <w:r>
        <w:rPr>
          <w:rFonts w:ascii="Times New Roman" w:cs="Times New Roman" w:eastAsia="Times New Roman" w:hAnsi="Times New Roman"/>
          <w:sz w:val="17"/>
          <w:szCs w:val="17"/>
          <w:color w:val="auto"/>
        </w:rPr>
        <w:t>Safety-Kleen Sustainability Solutions ("SKSS") segment results are impacted by our customers'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demand for high-quality, environmentally responsible recycled oil products and their demand for our related service and product offerings. SKSS offers high 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Total direct revenues for 2023 increased 4.7% or $242.5 million to $5,409.2 million, compared with $5,166.6 million in 2022. Our Environmental Services segment direct revenues increased $339.7 million or 8.1% in 2023 compared with 2022 driven by continued growth across all our service offerings, most predominately in our Safety-Kleen branches' core environmental services offerings and our industrial service offerings, including the incremental revenues from the acquisition of Thompson Industrial on March 31, 2023. Direct revenues recorded by our SKSS Segment decreased $97.1 million in 2023 compared to 2022 primarily due lower market-based pricing on our base oil product sales despite higher volumes sold. The SKSS Segment increased the pricing on our collection of used oil services, which partially offset the impact of the lower base oil pricing on direct revenues. Foreign currency translation of our Canadian operations negatively impacted our consolidated direct revenues by $23.3 million in 2023 as compared to 2022.</w:t>
      </w:r>
    </w:p>
    <w:p>
      <w:pPr>
        <w:spacing w:after="0" w:line="10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Income from operations in 2023 was $612.4 million as compared with $634.7 million in 2022. We reported net income in 2023 and 2022 of $377.9 million and $411.7 million, respectively. Adjusted EBITDA, which is the primary financial measure by which we evaluate our segments was $1,012.6 million in 2023 and $1,022.1 million in 2022, a decrease driven by the results of the SKSS Segment, which was largely offset by continued growth in our Environmental Services segment. Additional information regarding Adjusted EBITDA, which is a non-GAAP measure, including a reconciliation of Adjusted EBITDA to net income, appears below under </w:t>
      </w:r>
      <w:r>
        <w:rPr>
          <w:rFonts w:ascii="Times New Roman" w:cs="Times New Roman" w:eastAsia="Times New Roman" w:hAnsi="Times New Roman"/>
          <w:sz w:val="18"/>
          <w:szCs w:val="18"/>
          <w:i w:val="1"/>
          <w:iCs w:val="1"/>
          <w:color w:val="auto"/>
        </w:rPr>
        <w:t>"Adjusted EBITDA."</w:t>
      </w:r>
    </w:p>
    <w:p>
      <w:pPr>
        <w:spacing w:after="0" w:line="11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Net cash from operating activities for 2023 was $734.6 million, an increase of $108.3 million from 2022. Adjusted free cash flow, which management uses to measure our financial strength and ability to generate cash, was $321.9 million in 2023, which represented a $32.0 million increase over 2022. This increase is due to incremental net cash generated by operating activities, partially offset by higher spend on property plant and equipment, net of proceeds from the sale and disposal of fixed assets. Additional information regarding adjusted free cash flow, which is a non-GAAP measure, including a reconciliation of adjusted free cash flow to net cash from operating activities,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years ended December 31, 2023, 2022 and 2021 (in thousands, except percentages):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gridSpan w:val="8"/>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9"/>
                <w:szCs w:val="19"/>
                <w:color w:val="auto"/>
              </w:rPr>
            </w:pPr>
          </w:p>
        </w:tc>
        <w:tc>
          <w:tcPr>
            <w:tcW w:w="198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20" w:type="dxa"/>
            <w:vAlign w:val="bottom"/>
          </w:tcPr>
          <w:p>
            <w:pPr>
              <w:spacing w:after="0"/>
              <w:rPr>
                <w:sz w:val="19"/>
                <w:szCs w:val="19"/>
                <w:color w:val="auto"/>
              </w:rPr>
            </w:pPr>
          </w:p>
        </w:tc>
        <w:tc>
          <w:tcPr>
            <w:tcW w:w="18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1"/>
        </w:trPr>
        <w:tc>
          <w:tcPr>
            <w:tcW w:w="3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1"/>
        </w:trPr>
        <w:tc>
          <w:tcPr>
            <w:tcW w:w="31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4,511,442</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4,171,706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3,032,454</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339,736</w:t>
            </w:r>
          </w:p>
        </w:tc>
        <w:tc>
          <w:tcPr>
            <w:tcW w:w="9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1,139,252</w:t>
            </w:r>
          </w:p>
        </w:tc>
        <w:tc>
          <w:tcPr>
            <w:tcW w:w="9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37.6%</w:t>
            </w: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897,263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994,392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(97,129)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221,579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28.7</w:t>
            </w:r>
          </w:p>
        </w:tc>
      </w:tr>
      <w:tr>
        <w:trPr>
          <w:trHeight w:val="229"/>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9"/>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5,409,152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5,166,605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3,805,566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242,547</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1,361,039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35.8</w:t>
            </w:r>
          </w:p>
        </w:tc>
      </w:tr>
      <w:tr>
        <w:trPr>
          <w:trHeight w:val="210"/>
        </w:trPr>
        <w:tc>
          <w:tcPr>
            <w:tcW w:w="31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3,063,043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2,902,979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2,106,790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160,064</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796,189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37.8</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646,301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484,662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30,998</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130,641</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27.0</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11,132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8"/>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3,746,124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3,543,930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2,609,837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202,194</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934,093</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35.8</w:t>
            </w: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Selling, General and Administrative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346,791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315,674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31,117</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49,728</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18.7</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60,797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5,327</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11,965</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19.7</w:t>
            </w:r>
          </w:p>
        </w:tc>
      </w:tr>
      <w:tr>
        <w:trPr>
          <w:trHeight w:val="230"/>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246,281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238,955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211,219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7,326</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27,736</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13.1</w:t>
            </w:r>
          </w:p>
        </w:tc>
      </w:tr>
      <w:tr>
        <w:trPr>
          <w:trHeight w:val="209"/>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671,161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627,391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537,962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43,770</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89,429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16.6</w:t>
            </w:r>
          </w:p>
        </w:tc>
      </w:tr>
      <w:tr>
        <w:trPr>
          <w:trHeight w:val="20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1,101,608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953,053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659,718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148,555</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293,335</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44.5</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172,873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(133,454)</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78,973</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34.7</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(261,911)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(237,252)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(210,466)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(24,659)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(26,786)</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(12.7)</w:t>
            </w:r>
          </w:p>
        </w:tc>
      </w:tr>
      <w:tr>
        <w:trPr>
          <w:trHeight w:val="208"/>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1,012,570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1,022,128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676,606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(9,558)</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345,522</w:t>
            </w:r>
          </w:p>
        </w:tc>
        <w:tc>
          <w:tcPr>
            <w:tcW w:w="9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51.1%</w:t>
            </w:r>
          </w:p>
        </w:tc>
      </w:tr>
      <w:tr>
        <w:trPr>
          <w:trHeight w:val="19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Adjusted EBITDA as a % of Direct Revenues: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31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Environmental Services</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1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Safety-Kleen Sustainability Solutions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1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Items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consolidated statements of operations, which consist of (i) accretion of environmental liabilities and (ii) depreciation and amortization.</w:t>
      </w: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Company revenue.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impacts of acquisitions and divestitures, the level of emergency response services, government infrastructure investment,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our ability to manage the spread between oil product prices, and prices for the collection of used oil and foreign currency translation. In addition, customer efforts to minimize hazardous waste and changes in regulation can impact our revenues.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5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2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8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52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4,511,442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4,171,706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3,032,454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339,736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1,139,252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2023 increased $339.7 million from the comparable period in 2022 due to growth across our service offerings. Revenue from our Safety-Kleen branches' core service offerings increased $113.9 million as both demand and pricing increased for our containerized waste, parts washer and vacuum services. Revenue from our industrial services operations grew $107.9 million due to contributions from the acquisition of Thompson Industrial on March 31, 2023 coupled with growth of the legacy industrial service offerings. Technical services revenue increased $68.6 million with contributions across our portfolio of waste disposal services more than offsetting slightly lower utilization at our incinerators. Landfill volumes and pricing both increased in 2023 and pricing for our incineration benefitted 2023 as well. Utilization at our incinerators for 2023 was 84% as compared to 86% in the prior year due to unplanned outages for required maintenance and significant weather events earlier in 2023. Field and emergency response service revenues increased $34.6 million from 2022. The Canadian operations of the Environmental Services segment were negatively impacted by $18.5 million due to foreign currency translation.</w:t>
      </w:r>
    </w:p>
    <w:p>
      <w:pPr>
        <w:spacing w:after="0" w:line="12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2022 increased $1,139.3 million from the comparable period in 2021, split almost equally between growth of the legacy operations and incremental revenues from the HydroChemPSC operations acquired on October 8, 2021. More specifically, direct revenues of our industrial service offerings increased $605.1 million, most predominately in revenue streams associated with the HydroChemPSC operations. Technical services and Safety-Kleen Environmental services revenues, which were not impacted by the acquisition of HydroChemPSC, grew by 23.6% and 18.5%, respectively. Technical services revenues increased $285.6 million with revenue growth across our portfolio of waste disposal facilities driven by higher throughput, higher value waste streams at our incinerators and broad based pricing initiatives, including fuel surcharges. In 2022, utilization at our incinerators was 86% as compared to 85% in 2021, largely due to increased volumes and throughput efficiencies offsetting an increase in down days due to weather related events, most notably in the fourth quarter of 2022. We also saw a 29% increase in landfill volumes in 2022 when compared with 2021. Direct revenues for the Safety-Kleen core service offerings increased $119.4 million from the comparable period in 2021 due to improved pricing and greater demand for our containerized waste, vacuum services and parts washer services. Field and emergency response services revenues increased $108.9 million largely due to contributions from the HydroChemPSC operations and as legacy base business returned to pre-pandemic levels despite a $39.3 million decrease in decontamination services. The Canadian operations of the Environmental Services segment were negatively impacted by $19.4 million due to foreign currency translation.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50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22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9"/>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0" w:type="dxa"/>
            <w:vAlign w:val="bottom"/>
            <w:gridSpan w:val="2"/>
            <w:vMerge w:val="continue"/>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(97,129)</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221,579</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SKSS direct revenues for the year ended December 31, 2023 decreased $97.1 million from the comparable period in 2022. Base oil sales revenues decreased $97.6 million due to lower pricing despite an 8% increase in the volume sold during 2023. Revenues from contract packaging also decreased $18.0 million and revenues from recycled fuel oil and refinery byproducts decreased $12.2 million. Blended oil sales revenues increased $19.5 million, a 23% increase in gallons sold, which offset the lower pricing of these products. Revenues from the collection of used oil increased $14.1 million driven by higher pricing for these services. The Canadian operations of the SKSS segment were negatively impacted by $4.8 million in 2023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SKSS direct revenues for the year ended December 31, 2022 increased $221.6 million from the comparable period in 2021. The overall growth was largely driven by a $154.1 million increase in base oil revenue predominately due to higher pricing across slightly lower volumes sold. Revenues from recycled fuel oil and refinery byproducts increased $53.1 million and revenues from blended oil sales increased $30.0 million due to higher pricing which more than offset a 22% decrease of gallons sold. During 2022, the volume of used oil collected increased in line with the expansion of our network through two acquisitions, (see Note 4, "Business Combinations," to our consolidated financial statements included in Item 8 of this report), however, revenue from the collection of used oil decreased $10.0 million. The Canadian operations of the SKSS segment were negatively impacted by $6.7 million in 2022 due to foreign currency translation.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the current macroeconomic inflationary pressures across several cost categories, but most notably related to internal and external labor, transportation, general supplies and energy related costs. We aim to manage these increases through constant cost monitoring and a focus on cost saving areas, including lowering employee turnover, as well as our overall customer pricing strategies designed to offset the negative inflationary impacts on our margins.</w:t>
      </w:r>
    </w:p>
    <w:p>
      <w:pPr>
        <w:spacing w:after="0" w:line="112"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We invest in new business opportunities and aggressively implement strategic sourcing and logistics solutions in the face of inflationary pressures, while also continuing to optimize our management and operating structure in an effort to manage our operating margins.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70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220" w:type="dxa"/>
            <w:vAlign w:val="bottom"/>
            <w:gridSpan w:val="3"/>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26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4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3,063,043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$2,902,979</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$2,106,790</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160,064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796,189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2023 increased $160.1 million from the comparable period in 2022, but as a percentage of revenues, these costs improved 1.7%. Overall, labor and benefit related costs increased $126.1 million, equipment and supply costs increased $23.4 million and external transportation, vehicle and fuel related costs increased $6.8 million. These cost increases were generally commensurate with the revenue growth in the business, however better leverage of our costs drove the cost improvement as a percentage of revenues.</w:t>
      </w:r>
    </w:p>
    <w:p>
      <w:pPr>
        <w:spacing w:after="0" w:line="11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2022 increased $796.2 million from the comparable period in 2021 primarily due to the increase in direct revenues noted above, including additional costs from the HydroChemPSC operations. Cost of revenues as a percentage of direct revenues remained relatively consistent with 2021 despite lower decontamination services and the growth of our industrial services offerings which typically operate at a lower margin than our waste disposal focused offerings. Overall, labor and benefit related costs, including travel, increased $386.4 million, equipment and supply costs increased $199.7 million and external transportation, vehicle and fuel costs increased $132.8 million. These increases were driven by a combination of overall business growth, including the addition of HydroChemPSC, and inflationary pressures.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8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220" w:type="dxa"/>
            <w:vAlign w:val="bottom"/>
            <w:gridSpan w:val="3"/>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8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8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646,301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615,303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484,662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30,998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130,641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SKSS cost of revenues for the year ended December 31, 2023 increased $31.0 million from 2022 and as a percentage of revenues, these costs increased 10.1%, mainly driven by the reduced revenue discussed above. Overall, external transportation, rail, vehicle and fuel costs increased $23.5 million, labor and benefit related costs increased $11.8 million and equipment and supply costs increased $5.5 million. Cost of materials, including oil additives and other raw materials decreased by $16.2 million mainly driven by a lower cost of obtaining used oil though our oil collection services. The remaining cost spread across various cost categories.</w:t>
      </w:r>
    </w:p>
    <w:p>
      <w:pPr>
        <w:spacing w:after="0" w:line="10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SKSS cost of revenues for the year ended December 31, 2022 increased $130.6 million from the comparable period in 2021 and as a percentage of revenue continued to improve. The cost of raw materials used in production of our oil products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increased $74.5 million, more than half of which was due to increased costs to obtain used oil through our used oil collection services. The increase in base oil pricing resulted in a correlating increase in the cost we paid for used oil feedstock. Other primary costs that contributed to the overall increase include external transportation, vehicle and fuel costs which increased $25.3 million, labor and benefit related costs, including travel, which increased $9.7 million and equipment and supply costs which increased $2.8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6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346,791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315,674</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265,946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31,117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49,728</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2023 increased $31.1 million from the comparable period in 2022, but remained relatively consistent as a percentage of revenues by maintaining leverage of our SG&amp;A base in the midst of the revenue growth discussed above. Overall, labor and benefit related costs, including travel, increased $32.0 million primarily driven by incremental headcount, including the acquisitions occurring during the periods, and higher incentive compensation.</w:t>
      </w:r>
    </w:p>
    <w:p>
      <w:pPr>
        <w:spacing w:after="0" w:line="11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2022 increased $49.7 million from the comparable period in 2021, but improved 1.2% as a percentage of revenues driven by leveraging our SG&amp;A base in the midst of the revenue growth discussed above. Increased labor and benefits related cost, including travel, of $35.4 million was the largest contributor to the overall cost increase, predominantly due to the addition of the HydroChemPSC business operations, investments in our employees and higher incentive compensation. The remaining increases were spread across various other cost categories.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48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16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9"/>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120" w:type="dxa"/>
            <w:vAlign w:val="bottom"/>
            <w:gridSpan w:val="2"/>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78,089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72,762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60,797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5,327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SKSS SG&amp;A expenses for the year ended December 31, 2023 increased $5.3 million from the comparable period in 2022 and as a percentage of revenues these costs increased mainly due to the revenue reductions discussed above. Higher labor and benefit costs of $3.5 million and a $1.1 million increase in a remedial liability estimate in 2023 drove the overall cost increase. The higher labor and benefit costs were primarily driven by the expanded sales team established in late 2022 which remained relatively consistent through 2023.</w:t>
      </w:r>
    </w:p>
    <w:p>
      <w:pPr>
        <w:spacing w:after="0" w:line="11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SKSS SG&amp;A expenses for the year ended December 31, 2022 increased $12.0 million from the comparable period in 2021 primarily due to a $9.9 million increase in labor and benefit costs, including travel, as we expanded our sales team for the segment and made other incremental workforce investments to support its growth. The remaining increases were spread across various cost categories. As a percentage of revenue, these costs improved slightly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1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060" w:type="dxa"/>
            <w:vAlign w:val="bottom"/>
            <w:gridSpan w:val="3"/>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8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08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08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1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80" w:type="dxa"/>
            <w:vAlign w:val="bottom"/>
            <w:gridSpan w:val="2"/>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246,281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238,955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211,219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7,326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27,736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 of Total Company Direct</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1"/>
                <w:szCs w:val="21"/>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manage our Corporate SG&amp;A expenses commensurate with the overall total Company performance and direct revenue levels. As a percentage of revenue these costs remained relatively consistent in 2023 after a decrease from 2021 to 2022.</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total, Corporate Items SG&amp;A expenses increased by $7.3 million in 2023; however, as noted above, these costs remained relatively consistent as a percentage of revenues. In general, the overall cost increase was driven by higher labor and benefit related expenses, professional fees and cybersecurity/ information technology costs of $5.6 million, $3.9 million and $3.2 million, respectively, partially offset by lower stock-based compensation expense of $6.1 million.</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Corporate Items SG&amp;A expenses for the year ended December 31, 2022 increased by $27.7 million in 2021. Overall cost increases included a $23.3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labor, benefits and travel related expenses, including incentive compensation, driven by investments in our workforce, and an $8.0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from higher stock-based compensation costs. The increase in stock-based compensation expense was driven by the timing of grants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and higher expense associated with the achievement of performance metrics. Overall grants for 2022 were slightly lower than for 2021.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drivers of the overall increase in Corporate Items SG&amp;A included a $6.7 million increase in cybersecurity information technology related costs and a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closure reserve estimate increase for an inactive non-landfill site. Partially offsetting these cost increases were a reduction in professional fees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million and a reduction in severance costs of $6.0 million, both related to costs from the acquisition of HydroChemPSC in 2021 which did not recur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Additionally, in 2022 we recognized a $3.0 million breakup fee received for the termination of the proposed asset acquisition from Vertex Energy,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1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years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203,247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11,745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298,135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77,657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1,012,570</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1,022,128</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676,606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7"/>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21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9"/>
        </w:trPr>
        <w:tc>
          <w:tcPr>
            <w:tcW w:w="29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of landfills and finance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315,499</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297,357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263,387</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22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86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2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49,459</w:t>
            </w:r>
          </w:p>
        </w:tc>
        <w:tc>
          <w:tcPr>
            <w:tcW w:w="122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2023 increased $18.2 million from the comparable period in 2022 due to incremental depreciation and amortization associated with the Thompson Industrial assets acquired on March 31, 2023 and increased finance lease and landfill amortization in the period. For additional information regarding the acquired balances, see Note 4, "Business Combinations," to our consolidated financial statements included in Item 8 of this report.</w:t>
      </w:r>
    </w:p>
    <w:p>
      <w:pPr>
        <w:spacing w:after="0" w:line="11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2022 increased $49.5 million from the comparable period in 2021 predominately due to the depreciation and amortization of the HydroChemPSC tangible and intangible assets as well as increased depreciation and amortization associated with the acquisition completed in the second quarter of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8"/>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400" w:type="dxa"/>
            <w:vAlign w:val="bottom"/>
            <w:gridSpan w:val="5"/>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9"/>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6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other income (expense), net remained relatively consistent with the comparable period in 2022. For the year ended December 31, 2022, other income (expense), net increased $3.0 million primarily due to gains recognized on the sale of fixed assets in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08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4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4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loss on early extinguishment of debt increased $2.5 million from the comparable period in 2022 due to losses recognized for the repayment of Term Loans due in 2024 and repricing of the Term Loans due in 2028. For additional information regarding our current portfolio of long-term debt and related significant activity, see Note 12, "Financing Arrangements," to our consolidated financial statements included in Item 8 of this report.</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7"/>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1940" w:type="dxa"/>
            <w:vAlign w:val="bottom"/>
            <w:gridSpan w:val="3"/>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 w:type="dxa"/>
            <w:vAlign w:val="bottom"/>
            <w:vMerge w:val="restart"/>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3"/>
                <w:szCs w:val="13"/>
                <w:color w:val="auto"/>
              </w:rPr>
            </w:pPr>
          </w:p>
        </w:tc>
        <w:tc>
          <w:tcPr>
            <w:tcW w:w="960" w:type="dxa"/>
            <w:vAlign w:val="bottom"/>
            <w:tcBorders>
              <w:top w:val="single" w:sz="8" w:color="auto"/>
            </w:tcBorders>
          </w:tcPr>
          <w:p>
            <w:pPr>
              <w:jc w:val="right"/>
              <w:ind w:right="3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5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recognized an $8.9 million gain on the sale of a non-core line of business within our Environmental Services segment. For additional information regarding the gain on sale of business in 2022, see Note 5, "Disposition of Business," to our consolidated financial statements included in Item 8 of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48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218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8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1"/>
        </w:trPr>
        <w:tc>
          <w:tcPr>
            <w:tcW w:w="27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30,006</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Interest expense, net of interest income for the year ended December 31, 2023 remained relatively consistent with the comparable period in 2022 as higher interest rates on our portfolio of debt obligations were partially offset by recognizing an $8.3 million benefit from settling certain interest rate swaps in January 2023 and higher interest income realized, generally on our cash investments. The effective interest rates on our long-term debt for the years ended December 31, 2023 and December 31, 2022 were 5.19% and 4.05%, respectively.</w:t>
      </w:r>
    </w:p>
    <w:p>
      <w:pPr>
        <w:spacing w:after="0" w:line="11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increased $30.0 million in 2022 when compared to 2021. This increase was primarily due to the incremental interest associated with the $1.0 billion of secured senior term loans issued in October 2021 in connection with the acquisition of HydroChemPSC. Increases in the variable rates on our existing debt during the period was offset by increased interest income and capitalized interest.</w:t>
      </w:r>
    </w:p>
    <w:p>
      <w:pPr>
        <w:spacing w:after="0" w:line="95"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As we exit 2023, the effective rate on our debt is approximately 5.34% given the current interest rate environment and our portfolio of long-term debt and related interest rate swaps. For additional information regarding our current portfolio of long-term debt, see Note 12, "Financing Arrangements," to our consolidated financial statements included in Item 8 of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7"/>
          </w:tcPr>
          <w:p>
            <w:pPr>
              <w:ind w:left="6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1980" w:type="dxa"/>
            <w:vAlign w:val="bottom"/>
            <w:gridSpan w:val="3"/>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4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9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2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gridSpan w:val="2"/>
            <w:vMerge w:val="continue"/>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125,423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126,254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66,468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59,786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1.4 %</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provision for income taxes was relatively consistent with the comparable period in 2022 despite a decrease in pre-tax earnings. The effective tax rate for 2023 was 24.9% which is higher than the 2022 effective tax rate of 23.5% primarily due to the utilization of unbenefited losses in 2022, which reduced the effective tax rate in that period.</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provision for income taxes increased $59.8 million from the comparable period in 2021, largely due to the increase in pre-tax earnings. The effective tax rate for 2022 was 23.5% which is relatively consistent with the 2021 effective tax rate of 24.6%.</w:t>
      </w:r>
    </w:p>
    <w:p>
      <w:pPr>
        <w:spacing w:after="0" w:line="8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2022 and 2021 effective tax rates benefited from the utilization of previously unbenefited losses in certain of our Canadian entities for which we had previously recognized valuation allowances. These entities had historically generated operating losses but began to generate profits due to discrete events, including government subsidies and the gain on sale of a business, but more recently due to operational profits. As of December 31, 2022, these net operating losses were fully utilized and any remaining valuation allowance, which was nominal, was released.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or opportunities. Furthermore, our existing cash balance and the availability of additional borrowings under our revolving credit facility provide additional potential sources of liquidity should they be required.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734,552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9"/>
              </w:rPr>
              <w:t>626,214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545,997</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(575,050)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rPr>
              <w:t>(388,944)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(1,507,602)</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from financing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(208,891)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rPr>
              <w:t>(187,315)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898,249</w:t>
            </w: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4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2023 was $734.6 million as compared to $626.2 million for year ended December 31, 2022. This $108.3 million increase in operating cash flows was attributable to improvement in working capital balances, partially offset by higher cash paid for income taxes, environmental expenditures and interest.</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2022 was $626.2 million, an increase of $80.2 million compared to the year ended December 31, 2021. The operating cash flows were most notably impacted by greater levels of operating income partially offset by an increase in working capital caused by the recent significant growth in the business, strategic inventory management and higher payments for interest, income taxes and incentive compensation. With approximately 30% of our debt being subject to variable interest rates during 2022, the LIBOR rate increases during the year, as well as a full year of interest payments for the incremental debt issued in October of 2021, resulted in the increase in interest payments when compared to the prior year. The increased tax payments were attributable to increased profits.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4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$575.1 million, an increase of $186.1 million compared to the year ended December 31, 2022. Amounts spent on additions to property, plant and equipment, net of proceeds from the sale and disposal of fixed assets increased $76.4 million, primarily driven by incremental spend on the new incinerator being built in Kimball, Nebraska. Total spending in 2023 related to the construction of the new incinerator was $82.6 million compared to $44.9 million spent on the project in 2022. Also contributing to the overall increase in cash used in investing activities was a $40.9 million cash outflow from the net purchase of marketable securities in 2023 compared to a $18.8 million cash inflow from the net sale of marketable securities in 2022. Cash paid for acquisitions, net of cash acquired reflected an increase of $33.3 million due to the acquisition of Thompson Industrial in 2023 for $110.9 million compared to $86.3 million paid for acquisitions in 2022. The cash flows in 2022 also include $16.8 million of proceeds from the sale of a business which didn't recur in 2023.</w:t>
      </w:r>
    </w:p>
    <w:p>
      <w:pPr>
        <w:spacing w:after="0" w:line="12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$388.9 million, a decrease of $1,118.7 million compared to the year ended December 31, 2021. Cash paid for acquisitions, net reflected a decrease of $1,167.0 million due to the acquisition of HydroChemPSC in 2021 for $1.23 billion compared to $86.3 million paid for acquisitions in 2022. Also contributing to the overall decrease was an $18.8 million cash inflow from the net sale of marketable securities compared to a $30.8 million cash outflow from the net purchase of marketable securities in 2021. This change in cash flows is largely due to timing. In 2022 we received $16.8 million for the sale of a business which decreased the net cash used in investing activities for 2022. Amounts spent on additions to property, plant and equipment, net of proceeds from the sale and disposal of fixed assets increased $116.6 million which partially offset these decreases. The higher spending on property, plant and equipment was driven by incremental spend on the new incinerator being built in Kimball, Nebraska as well as for the HydroChemPSC operations. Total spend in 2022 related to the construction of the new incinerator in Kimball, Nebraska was $44.9 million.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cash (used in) from financing activities</w:t>
      </w:r>
    </w:p>
    <w:p>
      <w:pPr>
        <w:spacing w:after="0" w:line="146"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$208.9 million as compared to $187.3 million for the year ended December 31, 2022. The total increase of $21.6 million during 2023 is due to $8.3 million of incremental debt repayments, $6.3 million of incremental deferred financing costs paid and a $5.0 million increase in withholdings paid for taxes on vested restricted stock. For more information on the debt transactions during the year, refer to Note 12, "Financing Arrangements" to our consolidated financial statements included in Item 8 of this report. The increase in the withholdings paid on vested restricted stock is due to the higher share prices at vesting during 2023.</w:t>
      </w:r>
    </w:p>
    <w:p>
      <w:pPr>
        <w:spacing w:after="0" w:line="11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$187.3 million, as compared to net cash from financing activities of $898.2 million for the year ended December 31, 2021. The primary drivers of this change were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$995.0 million of cash received in 2021 from the issuance of debt, net of discount, which did not recur in 2022, and the $108.1 million of higher principal payments of long term debt in 2022. In addition to $10.0 million of incremental principal payments required for the aforementioned debt, in November 2022 we also repaid $100.0 million of long term debt due in 2024. Partially offsetting these were higher deferred financing costs paid in 2021 associated with the debt issuance.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4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545,997</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(241,856)</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326,297</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2023, cash and cash equivalents and marketable securities totaled $550.8 million, compared to $554.6 million at December 31, 2022. At December 31, 2023, cash and cash equivalents held by our Canadian subsidiaries totaled $75.9 million. The cash and cash equivalents and marketable securities balance for our U.S. operations was $368.8 million at December 31, 2023. Our U.S. operations had net operating cash inflows of $657.1 million for the year ended December 31, 2023.</w:t>
      </w:r>
    </w:p>
    <w:p>
      <w:pPr>
        <w:spacing w:after="0" w:line="9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also maintain a $400.0 million revolving credit facility, of which, as of December 31, 2023, approximately $265.7 million was available to borrow under the facility, with letters of credit of $134.3 million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In 2023, our capital expenditures were $412.7 million. We anticipate that 2024 capital spending, net of disposals, will be in the range of $395.0 million to $415.0 million. This projected amount is inclusive of capital expenditures of approximately $65.0 million to finish the Kimball, Nebraska incinerator project and $15.0 million to $20.0 million for a strategic project in Baltimore, Maryland.</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2023, capital spending on the construction of our new incinerator at our Kimball, Nebraska facility was approximately $82.6 million. Total spending on the project through December 31, 2023, was $134.7 million. We expect the remaining spending for this project to be approximately $65.0 million and we anticipate it will be complete in late 2024. We have increased the total expected spend on the project to incorporate enhancements including more direct burn bays and specialized lines designed to process incremental high hazard waste.</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February 2, 2024, the Company signed an agreement with Gryphon Investors, Inc. to acquire HEPACO, a leading provider of specialized environmental and emergency response services in the Eastern United States, for $400.0 million in cash, subject to working capital and other adjustments. The Company intends to fund the acquisition with a combination of available cash and incremental borrowings under our term loan facility.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2023, our financing arrangements included (i) $545.0 million of 4.875% unsecured senior notes due 2027, (ii) $980.0 million of secured senior term loans due 2028, (iii) $300.0 million of 5.125% unsecured senior notes due 2029 and (iv) $500.0 million of 6.375% unsecured senior notes due 2031. As noted above, we also maintain our $400.0 million revolving credit facility with no amounts owed as of December 31, 2023.</w:t>
      </w:r>
    </w:p>
    <w:p>
      <w:pPr>
        <w:spacing w:after="0" w:line="9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12, “Financing Arrangements,” to our consolidated financial statements included in Item 8 of this report. In 2024, we expect to pay $10.0 million in principal payments on the secured senior term loans and approximately $120 million interest payments on the entire portfolio of financing arrangements, assuming the variable rate remains consistent throughout 2024. We expect that future payments of interest will continue to be funded through cash flows from operations and any principal payments will either be funded through available cash from operations or through available financing alternatives. We will continue to monitor our debt instruments and evaluate opportunities where it may be beneficial to refinance or reallocate the portfolio.</w:t>
      </w:r>
    </w:p>
    <w:p>
      <w:pPr>
        <w:spacing w:after="0" w:line="120"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we were in compliance with the covenants of all of our debt agreements, and we believe we will continue to meet such covenants.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Pr>
          <w:p>
            <w:pPr>
              <w:spacing w:after="0"/>
              <w:rPr>
                <w:sz w:val="18"/>
                <w:szCs w:val="18"/>
                <w:color w:val="auto"/>
              </w:rPr>
            </w:pPr>
          </w:p>
        </w:tc>
        <w:tc>
          <w:tcPr>
            <w:tcW w:w="2340" w:type="dxa"/>
            <w:vAlign w:val="bottom"/>
            <w:gridSpan w:val="3"/>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2023 over 2022</w:t>
            </w:r>
          </w:p>
        </w:tc>
      </w:tr>
      <w:tr>
        <w:trPr>
          <w:trHeight w:val="21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Total environmental liabilities as of December 31, 2023 were $229.8 million, a decrease of $5.2 million compared to December 31, 2022. This decrease was primarily due to expenditures of $29.0 million made during 2023 and decreases in environmental liability estimates recorded to the consolidated balance sheet of $2.1 million. These decreases were partially offset by annual accretion of $13.7 million, changes in environmental liability estimates resulting in charges to the consolidated statement of operations of $4.8 million and new liabilities, including those recognized as a result of recent acquisitions of $6.7 million.</w:t>
      </w:r>
    </w:p>
    <w:p>
      <w:pPr>
        <w:spacing w:after="0" w:line="10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We have included a schedule of our expected payments as of December 31, 2023, in Note 10, “Closure and Post-closure Liabilities" and Note 11, "Remedial Liabilities,” to our consolidated financial statements included in Item 8 of this report.</w:t>
      </w:r>
    </w:p>
    <w:p>
      <w:pPr>
        <w:spacing w:after="0" w:line="11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46" w:lineRule="exact"/>
        <w:rPr>
          <w:sz w:val="20"/>
          <w:szCs w:val="20"/>
          <w:color w:val="auto"/>
        </w:rPr>
      </w:pPr>
    </w:p>
    <w:p>
      <w:pPr>
        <w:jc w:val="both"/>
        <w:ind w:right="220" w:firstLine="177"/>
        <w:spacing w:after="0" w:line="258"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2023, there were $134.3 million outstanding letters of credit. See Note 12, "Financing Arrangements," to the accompanying financial statements included in Item 8 of this report for further discussion of our standby letters of credit and other financing arrangements.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judgements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policies related to these estimates are discussed in Note 2, "Significant Accounting Policies," to our consolidated financial statements included in Item 8 of this report.</w:t>
      </w:r>
    </w:p>
    <w:p>
      <w:pPr>
        <w:spacing w:after="0" w:line="94"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pacing w:after="0" w:line="93"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Landfill Accounting. </w:t>
      </w:r>
      <w:r>
        <w:rPr>
          <w:rFonts w:ascii="Times New Roman" w:cs="Times New Roman" w:eastAsia="Times New Roman" w:hAnsi="Times New Roman"/>
          <w:sz w:val="18"/>
          <w:szCs w:val="18"/>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117"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Assets. </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116"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Capacity. </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probable of ultimately being permitted based on established criteria. As of December 31, 2023,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02"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Landfill Final Closure and Post-Closure Liabilities. </w:t>
      </w:r>
      <w:r>
        <w:rPr>
          <w:rFonts w:ascii="Times New Roman" w:cs="Times New Roman" w:eastAsia="Times New Roman" w:hAnsi="Times New Roman"/>
          <w:sz w:val="17"/>
          <w:szCs w:val="17"/>
          <w:color w:val="auto"/>
        </w:rPr>
        <w:t>Landfill final closure and post-closure liabilities recorded at December 31, 2023 and 2022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$59.4 million and $62.3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10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or provincial regulatory agency. These costs generally include the costs required for capping the final cell of the landfill (if not included in cell closure), dismantling certain structures for landfills and other landfill improvements and regulation-mandated groundwater monitoring and leachate management. Post-closure costs involve the maintenance and monitoring of a landfill site that has been certified closed by the applicable regulatory agency, generally including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 Changes in the determination of when the landfill will cease accepting waste, either through a business decision by management, determination that expansion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should no longer be considered probable or changes in estimates on annual airspace consumption, will accelerate accrual of these costs.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Non-Landfill Closure and Post-Closure Liabilities. </w:t>
      </w:r>
      <w:r>
        <w:rPr>
          <w:rFonts w:ascii="Times New Roman" w:cs="Times New Roman" w:eastAsia="Times New Roman" w:hAnsi="Times New Roman"/>
          <w:sz w:val="18"/>
          <w:szCs w:val="18"/>
          <w:color w:val="auto"/>
        </w:rPr>
        <w:t>Non-landfill closure and post-closure liabilities recorded at December 31, 2023 and 2022 were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$59.2 million and $56.6 million, respectively. We base estimates for non-landfill closure and post-closure liabilities on our interpretations of existing permit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regulatory requirements for closure and post-closure maintenance and monitoring. Our cost estimates are calculated using internal sources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 from third-party experts. We estimate when future operations will cease and inflate the current cost of closing the non-landfill facility using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inflation rate and then discounting the future value to arrive at an estimated present value of closure and post-closure costs. The estimates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non-landfill closure and post-closure liabilities are inherently uncertain due to the possibility that permit and regulatory requirements will change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impacting the estimation of total costs and the timing of the expenditures. We review non-landfill closure and post-closure liabilities for changes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that would impact the amount of the recorded liabilities. Changes that would prompt us to revise a liability estimate include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requirements that impact our expected closure plan or scope of work, in the market price of a significant cost item, in estimates as to when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may cease or in the expected timing of the cost expenditures. Changes in estimates for non-landfill closure and post-closure events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the required liability and the value of the corresponding asset. If a change is made to a fully-amortized asset, the adjustment is charged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expense. When a change in estimate relates to an asset that has not been fully amortized, the adjustment to the asset is recognized in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prospectively as a component of amortization. Historically, material changes to non-landfill closure and post-closure estimates have been infrequent.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"Closure and Post-Closure Liabilities," to our consolidated financial statements included in Item 8 of this report for the changes to these Landfill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Non-Landfill Closure and Post-Closure liabilities during the years ended December 31, 2023 and 2022.</w:t>
      </w:r>
    </w:p>
    <w:p>
      <w:pPr>
        <w:spacing w:after="0" w:line="12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Remedial Liabilities. </w:t>
      </w:r>
      <w:r>
        <w:rPr>
          <w:rFonts w:ascii="Times New Roman" w:cs="Times New Roman" w:eastAsia="Times New Roman" w:hAnsi="Times New Roman"/>
          <w:sz w:val="18"/>
          <w:szCs w:val="18"/>
          <w:color w:val="auto"/>
        </w:rPr>
        <w:t>Remedial liabilities recorded at December 31, 2023 and 2022 were $111.2 million and $116.3 million, respectively. Remedial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 or inaction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2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12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8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See Note 11, "Remedial Liabilities," to our consolidated financial statements included in Item 8 of this report for the changes to the remedial liabilities during the years ended December 31, 2023 and 2022. The changes in our estimates have not been material.</w:t>
      </w:r>
    </w:p>
    <w:p>
      <w:pPr>
        <w:spacing w:after="0" w:line="9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In accordance with the acquisition method of accounting, the purchase price paid for an acquisition is allocated to the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acquired based upon their estimated fair values as of the acquisition date, with the excess of the purchase price over the net assets acquired recorded as goodwill. Intangible assets acquired in a business combination may consist of patents, trademarks and tradenames, developed technology, customer relationships and other intangibles.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revenue from these customers, less a contributory assets charge, all of which is discounted to present value. The fair value of the trademark and tradename intangible assets as well as the developed technology intangible assets are determined utilizing the relief from royalty method which is a form of the income approach. Under this method, a royalty rate based on observed market royalties is applied to projected revenue supporting the tradename or technology and discounted to present value using an appropriate discount rate. Tangible assets acquired in a business combination include real estate and personal property. When determining the fair value of tangible personal property acquired, we must estimate the cost to replace the asset with a new asset taking into consideration such factors as age, condition and the economic useful life of the asset. Valuations are performed by management or third-party valuation specialists under management's supervision, where appropriate.</w:t>
      </w:r>
    </w:p>
    <w:p>
      <w:pPr>
        <w:spacing w:after="0" w:line="106" w:lineRule="exact"/>
        <w:rPr>
          <w:sz w:val="20"/>
          <w:szCs w:val="20"/>
          <w:color w:val="auto"/>
        </w:rPr>
      </w:pPr>
    </w:p>
    <w:p>
      <w:pPr>
        <w:ind w:right="220" w:firstLine="40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Goodwill and Other Long-Lived Assets. </w:t>
      </w:r>
      <w:r>
        <w:rPr>
          <w:rFonts w:ascii="Times New Roman" w:cs="Times New Roman" w:eastAsia="Times New Roman" w:hAnsi="Times New Roman"/>
          <w:sz w:val="17"/>
          <w:szCs w:val="17"/>
          <w:color w:val="auto"/>
        </w:rPr>
        <w:t>We have a significant amount of goodwill associated with previous acquisitions. We conducted our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impairment test of goodwill as of December 31, 2023 in which we assessed the recoverability of the goodwill associated with our reporting units.</w:t>
      </w:r>
    </w:p>
    <w:p>
      <w:pPr>
        <w:spacing w:after="0" w:line="6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each reporting unit, we compared the reporting unit's fair value to its respective carrying value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24"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2023.</w:t>
      </w:r>
    </w:p>
    <w:p>
      <w:pPr>
        <w:spacing w:after="0" w:line="106"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described in Note 18, "Commitments and Contingencies," to our consolidated financial statements included in Item 8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we are subject to legal proceedings which relate to our past acquisitions or which have arisen in the ordinary course of business.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As of December 31, 2023, we had reserves of $32.4 million consisting of (i) $25.0 million related to pending legal or administrative proceedings, including Superfund liabilities, which were included in remedial liabilities on the consolidated balance sheets and (ii) $7.4 million primarily related to legal claims as well as federal, state and provincial enforcement actions,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and certain foreign currency rates, primarily relating to the Canadian dollar.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Our philosophy in managing interest rate risk is to maintain a debt portfolio inclusive of both variable and fixed-rate debt so as to limit our exposure to interest rate volatility. As of December 31, 2023, before taking into account any interest rate swap agreements then in place, we held $980.0 million of variable rate debt under our secured senior term loans due 2028. The secured senior term loans due 2028 ("2028 Term Loans") pay interest at the Term SOFR rate plus the Term SOFR adjustment (as defined by the Term Loan Agreement) of 0.11448% plus a margin of 1.75% (reduced from 2.00% in December 2023).</w:t>
      </w:r>
    </w:p>
    <w:p>
      <w:pPr>
        <w:spacing w:after="0" w:line="116" w:lineRule="exact"/>
        <w:rPr>
          <w:sz w:val="20"/>
          <w:szCs w:val="20"/>
          <w:color w:val="auto"/>
        </w:rPr>
      </w:pPr>
    </w:p>
    <w:p>
      <w:pPr>
        <w:ind w:right="80" w:firstLine="445"/>
        <w:spacing w:after="0" w:line="268" w:lineRule="auto"/>
        <w:rPr>
          <w:sz w:val="20"/>
          <w:szCs w:val="20"/>
          <w:color w:val="auto"/>
        </w:rPr>
      </w:pPr>
      <w:r>
        <w:rPr>
          <w:rFonts w:ascii="Times New Roman" w:cs="Times New Roman" w:eastAsia="Times New Roman" w:hAnsi="Times New Roman"/>
          <w:sz w:val="17"/>
          <w:szCs w:val="17"/>
          <w:color w:val="auto"/>
        </w:rPr>
        <w:t>To hedge interest rate exposure on a portion of this outstanding variable debt, we entered into interest rate swap agreements. Under the terms of the interest rate swaps entered into in 2022 ("2022 Swaps"), which hedge the interest rate exposure on the 2028 Term Loans, we receive interest based on the variable rates on the 2028 Term Loans and we pay a fixed amount of interest. For more information on the structure of the 2028 Term Loans or 2022 Swaps, see Note 12, "Financing Arrangements," to our consolidated financial statements included in Item 8 of this report. As of December 31, 2023, under the terms of the 2022 Swaps, the Company received interest based on the one-month Term SOFR index and paid interest at the fixed rate of 1.9645% on a notional amount of $600.0 million. When combined with the 1.75% interest rate margin for Term SOFR borrowings and the Term SOFR adjustment of</w:t>
      </w:r>
    </w:p>
    <w:p>
      <w:pPr>
        <w:spacing w:after="0" w:line="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0.11448% under the 2028 Term Loans, the effective annual interest rate on such $600.0 million aggregate principal amount of the 2028 Term Loans was approximately 3.83%. The remaining balance of the 2028 Term Loans subject to interest rate risk as of December 31, 2023 was $380.0 million.</w:t>
      </w:r>
    </w:p>
    <w:p>
      <w:pPr>
        <w:spacing w:after="0" w:line="100"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We designated our interest rate swap instruments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total borrowings at December 31, 2023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Maturity Dates</w:t>
            </w:r>
          </w:p>
        </w:tc>
        <w:tc>
          <w:tcPr>
            <w:tcW w:w="22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senior term loans due 2028</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2027</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2029</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at par</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2,325,000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interest rate on the $545.0 million unsecured senior notes due July 15, 2027 is fixed at 4.875%. Interest payments on this debt are due semiannually on January 15 and July 15 in the amount of $13.3 million upon each date. The interest rate on the $300.0 million unsecured senior notes due July 15, 2029 is fixed at 5.125%. Interest payments on these $300.0 million unsecured senior notes are also due semiannually on January 15 and July 15 in the amount of $7.7 million upon each date.</w:t>
      </w:r>
    </w:p>
    <w:p>
      <w:pPr>
        <w:spacing w:after="0" w:line="112"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In January 2023, we issued $500.0 million principal amount of 6.375% unsecured senior notes due February 1, 2031. Interest payments on this debt are due semiannually on February 1 and August 1 in the amount of $15.9 million upon each date, and the payments commenced on August 1, 2023.</w:t>
      </w:r>
    </w:p>
    <w:p>
      <w:pPr>
        <w:spacing w:after="0" w:line="8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2023, interest payments on the $600.0 million of our secured senior term loan, that is effectively fixed by the 2022 Swaps, are approximately $1.9 million per month, inclusive of the margin, Term SOFR Adjustment and fixed swap rate, discussed above. We continue to have variable interest rate risk relative to the portion of our secured senior term loans which exceeds the $600.0 million of principal which is subject to the 2022 Swaps. Should the average interest rate on the remaining variable portion of our long-term debt change by 100 basis points, we estimate that our annual interest expense would change by up to approximately $4.8 million.</w:t>
      </w:r>
    </w:p>
    <w:p>
      <w:pPr>
        <w:spacing w:after="0" w:line="11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In addition to the fixed and variable borrowings described above, we have a revolving credit agreement with a maximum borrowing of up to $400.0 million. As of December 31, 2023, the Company had no borrowings outstanding under the facility, letters of credit of $134.3 million issued under the facility and $265.7 million available to borrow. Borrowings under this facility would be subject to interest rate variability.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We view our investment in our foreign subsidiaries as long-term; thus, we have not entered into any hedging transactions between any two foreign currencies or between any of the foreign currencies in which we transact business and the U.S. Dollar. Given our significant investment in Canada and operations in India and the fluctuations that have and can occur between the U.S. Dollar and Canadian Dollar or Indian Rupee exchange rates, significant movements in cumulative translation adjustment amounts recorded as a component of other comprehensive loss can occur in any given period.</w:t>
      </w:r>
    </w:p>
    <w:p>
      <w:pPr>
        <w:spacing w:after="0" w:line="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During 2023, our Canadian subsidiaries transacted a portion of their business in U.S. Dollars and at any period end had cash on deposit in U.S. Dollars and outstanding U.S. Dollar accounts receivable and payable balances related to their operations. Those U.S. denominated balances are subject to foreign currency gains or losses. Exchange rate movements also affect the translation of Canadian generated profits and losses into U.S. Dollars. Had the Canadian Dollar been 10.0% stronger or weaker against the U.S. Dollar, we would have reported increased or decreased net income of $11.9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0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SUPPLEMENTARY DATA</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r>
      <w:tr>
        <w:trPr>
          <w:trHeight w:val="417"/>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w:t>
            </w:r>
            <w:r>
              <w:rPr>
                <w:rFonts w:ascii="Times New Roman" w:cs="Times New Roman" w:eastAsia="Times New Roman" w:hAnsi="Times New Roman"/>
                <w:sz w:val="18"/>
                <w:szCs w:val="18"/>
                <w:color w:val="3051F2"/>
              </w:rPr>
              <w:t>OB ID No. 34</w:t>
            </w:r>
            <w:r>
              <w:rPr>
                <w:rFonts w:ascii="Times New Roman" w:cs="Times New Roman" w:eastAsia="Times New Roman" w:hAnsi="Times New Roman"/>
                <w:sz w:val="18"/>
                <w:szCs w:val="18"/>
                <w:u w:val="single" w:color="auto"/>
                <w:color w:val="3051F2"/>
              </w:rPr>
              <w: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2620" w:type="dxa"/>
            <w:vAlign w:val="bottom"/>
            <w:gridSpan w:val="12"/>
          </w:tcPr>
          <w:p>
            <w:pPr>
              <w:spacing w:after="0"/>
              <w:rPr>
                <w:sz w:val="18"/>
                <w:szCs w:val="18"/>
                <w:color w:val="auto"/>
              </w:rPr>
            </w:pPr>
          </w:p>
        </w:tc>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6380" w:type="dxa"/>
            <w:vAlign w:val="bottom"/>
            <w:gridSpan w:val="8"/>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4"/>
          </w:tcPr>
          <w:p>
            <w:pPr>
              <w:spacing w:after="0"/>
              <w:rPr>
                <w:sz w:val="18"/>
                <w:szCs w:val="18"/>
                <w:color w:val="auto"/>
              </w:rPr>
            </w:pPr>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3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0" w:type="dxa"/>
            <w:vAlign w:val="bottom"/>
          </w:tcPr>
          <w:p>
            <w:pPr>
              <w:spacing w:after="0"/>
              <w:rPr>
                <w:sz w:val="18"/>
                <w:szCs w:val="18"/>
                <w:color w:val="auto"/>
              </w:rPr>
            </w:pP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27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Operations</w:t>
            </w:r>
          </w:p>
        </w:tc>
        <w:tc>
          <w:tcPr>
            <w:tcW w:w="5980" w:type="dxa"/>
            <w:vAlign w:val="bottom"/>
            <w:gridSpan w:val="5"/>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Significant Accounting Policies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Revenues</w:t>
            </w:r>
          </w:p>
        </w:tc>
        <w:tc>
          <w:tcPr>
            <w:tcW w:w="1580" w:type="dxa"/>
            <w:vAlign w:val="bottom"/>
            <w:gridSpan w:val="12"/>
          </w:tcPr>
          <w:p>
            <w:pPr>
              <w:spacing w:after="0"/>
              <w:rPr>
                <w:sz w:val="18"/>
                <w:szCs w:val="18"/>
                <w:color w:val="auto"/>
              </w:rPr>
            </w:pPr>
          </w:p>
        </w:tc>
        <w:tc>
          <w:tcPr>
            <w:tcW w:w="6380" w:type="dxa"/>
            <w:vAlign w:val="bottom"/>
            <w:gridSpan w:val="8"/>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7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Business Combinations</w:t>
            </w:r>
          </w:p>
        </w:tc>
        <w:tc>
          <w:tcPr>
            <w:tcW w:w="6960" w:type="dxa"/>
            <w:vAlign w:val="bottom"/>
            <w:gridSpan w:val="1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Disposition of Business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18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Inventories and Supplies</w:t>
            </w:r>
          </w:p>
        </w:tc>
        <w:tc>
          <w:tcPr>
            <w:tcW w:w="6880" w:type="dxa"/>
            <w:vAlign w:val="bottom"/>
            <w:gridSpan w:val="1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Property, Plant and Equipment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Goodwill and Other Intangible Assets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1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8"/>
              </w:rPr>
              <w:t>Accrued Expenses</w:t>
            </w:r>
          </w:p>
        </w:tc>
        <w:tc>
          <w:tcPr>
            <w:tcW w:w="1340" w:type="dxa"/>
            <w:vAlign w:val="bottom"/>
            <w:gridSpan w:val="12"/>
          </w:tcPr>
          <w:p>
            <w:pPr>
              <w:spacing w:after="0"/>
              <w:rPr>
                <w:sz w:val="18"/>
                <w:szCs w:val="18"/>
                <w:color w:val="auto"/>
              </w:rPr>
            </w:pPr>
          </w:p>
        </w:tc>
        <w:tc>
          <w:tcPr>
            <w:tcW w:w="5980" w:type="dxa"/>
            <w:vAlign w:val="bottom"/>
            <w:gridSpan w:val="5"/>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(10)</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Closure and Post-Closure Liabilities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(11) Remedial Liabilities</w:t>
            </w:r>
          </w:p>
        </w:tc>
        <w:tc>
          <w:tcPr>
            <w:tcW w:w="5980" w:type="dxa"/>
            <w:vAlign w:val="bottom"/>
            <w:gridSpan w:val="5"/>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(12)</w:t>
            </w:r>
          </w:p>
        </w:tc>
        <w:tc>
          <w:tcPr>
            <w:tcW w:w="1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Financing Arrangements</w:t>
            </w:r>
          </w:p>
        </w:tc>
        <w:tc>
          <w:tcPr>
            <w:tcW w:w="6780" w:type="dxa"/>
            <w:vAlign w:val="bottom"/>
            <w:gridSpan w:val="11"/>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p>
        </w:tc>
        <w:tc>
          <w:tcPr>
            <w:tcW w:w="1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6780" w:type="dxa"/>
            <w:vAlign w:val="bottom"/>
            <w:gridSpan w:val="11"/>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(14)</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(15)</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(16)</w:t>
            </w:r>
          </w:p>
        </w:tc>
        <w:tc>
          <w:tcPr>
            <w:tcW w:w="29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8"/>
              </w:rPr>
              <w:t>Accumulated Other Comprehensive Loss</w:t>
            </w: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(17)</w:t>
            </w:r>
          </w:p>
        </w:tc>
        <w:tc>
          <w:tcPr>
            <w:tcW w:w="29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Stock Based Compensation</w:t>
            </w: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(18)</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10"/>
            <w:shd w:val="clear" w:color="auto" w:fill="0000FF"/>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7"/>
              </w:rPr>
              <w:t>Leases</w:t>
            </w:r>
          </w:p>
        </w:tc>
        <w:tc>
          <w:tcPr>
            <w:tcW w:w="1900" w:type="dxa"/>
            <w:vAlign w:val="bottom"/>
            <w:gridSpan w:val="15"/>
          </w:tcPr>
          <w:p>
            <w:pPr>
              <w:spacing w:after="0"/>
              <w:rPr>
                <w:sz w:val="18"/>
                <w:szCs w:val="18"/>
                <w:color w:val="auto"/>
              </w:rPr>
            </w:pPr>
          </w:p>
        </w:tc>
        <w:tc>
          <w:tcPr>
            <w:tcW w:w="618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20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(20)</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Segment Reporting</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4"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20" w:firstLine="2535"/>
        <w:spacing w:after="0" w:line="49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Clean Harbors,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Clean Harbors, Inc. and subsidiaries (the "Company") as of December 31, 2023 and 2022, the related consolidated statements of operations, comprehensive income, cash flows, and stockholders’ equity,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21, 2024, expressed an unqualified opinion on the Company's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ind w:right="1020"/>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Remedial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Refer to Note 2, "Significant Accounting Policies", and Note 11, "Remedial Liabilities",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that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remedial liabilities recorded as of December 31, 2023 were $111.2 million.</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remedial liabilities included the following, among others:</w:t>
      </w:r>
    </w:p>
    <w:p>
      <w:pPr>
        <w:spacing w:after="0" w:line="144"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the recognition and measurement of remedial liabilities, including those controls over changes in estimates.</w:t>
      </w:r>
    </w:p>
    <w:p>
      <w:pPr>
        <w:spacing w:after="0" w:line="9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108"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auditor specialists who have expertise in environmental matters and specialized skills and training, we evaluated the reasonableness of the Company’s estimates by:</w:t>
      </w:r>
    </w:p>
    <w:p>
      <w:pPr>
        <w:spacing w:after="0" w:line="8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Searching for information in the public domain for completeness of sites identified for remediation.</w:t>
      </w:r>
    </w:p>
    <w:p>
      <w:pPr>
        <w:spacing w:after="0" w:line="157"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the completeness of the Company’s cost estimates for a selection of sites, specifically, comparing the cost estimates to relevant regulatory guidelines and specifications.</w:t>
      </w:r>
    </w:p>
    <w:p>
      <w:pPr>
        <w:spacing w:after="0" w:line="94" w:lineRule="exact"/>
        <w:rPr>
          <w:rFonts w:ascii="Times New Roman" w:cs="Times New Roman" w:eastAsia="Times New Roman" w:hAnsi="Times New Roman"/>
          <w:sz w:val="18"/>
          <w:szCs w:val="18"/>
          <w:color w:val="auto"/>
        </w:rPr>
      </w:pPr>
    </w:p>
    <w:p>
      <w:pPr>
        <w:ind w:left="1300" w:right="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492,603</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62,033</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aggregating $42,209 and $45,253,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964,603</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107,010</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324,994</w:t>
            </w:r>
          </w:p>
        </w:tc>
      </w:tr>
      <w:tr>
        <w:trPr>
          <w:trHeight w:val="229"/>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82,518</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2,033,761</w:t>
            </w:r>
          </w:p>
        </w:tc>
      </w:tr>
      <w:tr>
        <w:trPr>
          <w:trHeight w:val="22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1,980,302</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166,181</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1,246,878</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620,782</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81,803</w:t>
            </w:r>
          </w:p>
        </w:tc>
      </w:tr>
      <w:tr>
        <w:trPr>
          <w:trHeight w:val="223"/>
        </w:trPr>
        <w:tc>
          <w:tcPr>
            <w:tcW w:w="8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2,115,644</w:t>
            </w:r>
          </w:p>
        </w:tc>
      </w:tr>
      <w:tr>
        <w:trPr>
          <w:trHeight w:val="248"/>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6,129,707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446,629</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94,094</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396,716</w:t>
            </w: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23,123</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49,532</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1,020,094</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$13,556 and $13,205,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105,596</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Remedial liabilities, less current portion of $13,358 and $9,918, respectively</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106,372</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2,414,828</w:t>
            </w:r>
          </w:p>
        </w:tc>
      </w:tr>
      <w:tr>
        <w:trPr>
          <w:trHeight w:val="229"/>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119,259</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350,389</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90,847</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3,187,291</w:t>
            </w: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(See Note 18)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80,000,000 shares; issued and outstanding 53,929,703 and 54,064,797 shares,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504,240</w:t>
            </w: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1,584,722</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r>
      <w:tr>
        <w:trPr>
          <w:trHeight w:val="223"/>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6,382,869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6,129,707</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4,449,542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4,133,184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3,048,019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757,547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2,105,043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504,794</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3,746,124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3,543,930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2,609,837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537,962</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347,887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$11,930, $4,607 and $2,218, respectively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269,715</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54,382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54,487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54,761</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203,247</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fair value of interest rate hedges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settlement of interest rate hedges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adjustments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r>
      <w:tr>
        <w:trPr>
          <w:trHeight w:val="223"/>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369,698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440,575</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218,712</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CLEAN HARBORS, INC. AND SUBSIDIARIES</w:t>
      </w:r>
    </w:p>
    <w:p>
      <w:pPr>
        <w:spacing w:after="0" w:line="6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411,744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203,247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298,135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11,745</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18,839</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(31,689)</w:t>
            </w:r>
          </w:p>
        </w:tc>
        <w:tc>
          <w:tcPr>
            <w:tcW w:w="0" w:type="dxa"/>
            <w:vAlign w:val="bottom"/>
          </w:tcPr>
          <w:p>
            <w:pPr>
              <w:spacing w:after="0"/>
              <w:rPr>
                <w:sz w:val="1"/>
                <w:szCs w:val="1"/>
                <w:color w:val="auto"/>
              </w:rPr>
            </w:pP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108,398</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22,872</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626,214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545,997</w:t>
            </w:r>
          </w:p>
        </w:tc>
        <w:tc>
          <w:tcPr>
            <w:tcW w:w="0" w:type="dxa"/>
            <w:vAlign w:val="bottom"/>
          </w:tcPr>
          <w:p>
            <w:pPr>
              <w:spacing w:after="0"/>
              <w:rPr>
                <w:sz w:val="1"/>
                <w:szCs w:val="1"/>
                <w:color w:val="auto"/>
              </w:rPr>
            </w:pPr>
          </w:p>
        </w:tc>
      </w:tr>
      <w:tr>
        <w:trPr>
          <w:trHeight w:val="20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(241,856)</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(1,253,232)</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business, net of transaction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(129,234)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98,412</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(388,944)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(1,507,602)</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from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995,000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on revolving credit facility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from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(208,891)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(187,315)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898,249</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(66,526)</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492,603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519,101</w:t>
            </w:r>
          </w:p>
        </w:tc>
        <w:tc>
          <w:tcPr>
            <w:tcW w:w="0" w:type="dxa"/>
            <w:vAlign w:val="bottom"/>
          </w:tcPr>
          <w:p>
            <w:pPr>
              <w:spacing w:after="0"/>
              <w:rPr>
                <w:sz w:val="1"/>
                <w:szCs w:val="1"/>
                <w:color w:val="auto"/>
              </w:rPr>
            </w:pP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65,192</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0" w:type="dxa"/>
            <w:vAlign w:val="bottom"/>
          </w:tcPr>
          <w:p>
            <w:pPr>
              <w:spacing w:after="0"/>
              <w:rPr>
                <w:sz w:val="1"/>
                <w:szCs w:val="1"/>
                <w:color w:val="auto"/>
              </w:rPr>
            </w:pPr>
          </w:p>
        </w:tc>
      </w:tr>
      <w:tr>
        <w:trPr>
          <w:trHeight w:val="210"/>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Remedial liability assumed in acquisition of property, plant and equipment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920" w:type="dxa"/>
            <w:vAlign w:val="bottom"/>
            <w:gridSpan w:val="11"/>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CLEAN HARBORS, INC. AND SUBSIDIARIES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460" w:type="dxa"/>
            <w:vAlign w:val="bottom"/>
            <w:gridSpan w:val="1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$0.01 Par</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3"/>
                <w:szCs w:val="13"/>
                <w:color w:val="auto"/>
              </w:rPr>
            </w:pPr>
          </w:p>
        </w:tc>
        <w:tc>
          <w:tcPr>
            <w:tcW w:w="124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1,341,551</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w:t>
      </w:r>
    </w:p>
    <w:p>
      <w:pPr>
        <w:spacing w:after="0" w:line="16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Clean Harbors, Inc., through its subsidiaries (collectively, the "Company"), is a leading provider of sustainable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reflect the application of certain significant accounting policies as described below:</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0"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Clean Harbors, Inc. and its majority-owned subsidiaries. All intercompany accounts and transactions have been eliminated in consolidation.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about future events that affect the amounts reported in the consolidated financial statements and the accompanying notes. Management bases its estimates on historical experience and other assumptions that it believes to be reasonable at the time. Actual results could differ from those estimates, and any such differences may be material to the consolidated financial statements. Estimates and assumptions are reviewed periodically and the effects of changes, if any, are reflected in our consolidated financial statements in the period they are determined.</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Cash Equivalents, Marketable Securities and Uncashed Checks</w:t>
      </w:r>
    </w:p>
    <w:p>
      <w:pPr>
        <w:spacing w:after="0" w:line="146"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Cash consists primarily of cash on deposit and money market accounts. The Company, through its wholly-owned captive insurance subsidiary, invests in marketable securities. Marketable securities with maturities of three months or less from the date of purchase are classified as cash equivalents. As of December 31, 2023 and 2022, the Company had total marketable securities as follows (in thousands):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w:t>
            </w:r>
          </w:p>
        </w:tc>
      </w:tr>
      <w:tr>
        <w:trPr>
          <w:trHeight w:val="223"/>
        </w:trPr>
        <w:tc>
          <w:tcPr>
            <w:tcW w:w="77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w:t>
            </w:r>
          </w:p>
        </w:tc>
      </w:tr>
      <w:tr>
        <w:trPr>
          <w:trHeight w:val="257"/>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36,028</w:t>
            </w:r>
          </w:p>
        </w:tc>
      </w:tr>
      <w:tr>
        <w:trPr>
          <w:trHeight w:val="223"/>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62,033</w:t>
            </w:r>
          </w:p>
        </w:tc>
      </w:tr>
      <w:tr>
        <w:trPr>
          <w:trHeight w:val="248"/>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94" w:lineRule="exact"/>
        <w:rPr>
          <w:sz w:val="20"/>
          <w:szCs w:val="20"/>
          <w:color w:val="auto"/>
        </w:rPr>
      </w:pPr>
    </w:p>
    <w:p>
      <w:pPr>
        <w:ind w:right="280" w:firstLine="445"/>
        <w:spacing w:after="0" w:line="256" w:lineRule="auto"/>
        <w:rPr>
          <w:sz w:val="20"/>
          <w:szCs w:val="20"/>
          <w:color w:val="auto"/>
        </w:rPr>
      </w:pPr>
      <w:r>
        <w:rPr>
          <w:rFonts w:ascii="Times New Roman" w:cs="Times New Roman" w:eastAsia="Times New Roman" w:hAnsi="Times New Roman"/>
          <w:sz w:val="18"/>
          <w:szCs w:val="18"/>
          <w:color w:val="auto"/>
        </w:rPr>
        <w:t>The Company's cash management program with its revolving credit lender allows the Company to maintain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in accounts payable and changes in the balance are reported as a financing activity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Allowance for Doubtful Accounts and Revenue Allowance</w:t>
      </w:r>
    </w:p>
    <w:p>
      <w:pPr>
        <w:spacing w:after="0" w:line="146"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a regular basis, the Company evaluates its accounts receivable and establishes the allowance for doubtful accounts 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11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activity in the allowance for doubtful accounts and revenue allowance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20,594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6"/>
              </w:rPr>
              <w:t>16,004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6"/>
              </w:rPr>
              <w:t>20,115</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earnings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46,467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6"/>
              </w:rPr>
              <w:t>54,836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34,319</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(47,420)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(50,246)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(38,430)</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rPr>
              <w:t>19,641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6"/>
              </w:rPr>
              <w:t>20,594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6"/>
              </w:rPr>
              <w:t>16,004</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Concentration</w:t>
      </w:r>
    </w:p>
    <w:p>
      <w:pPr>
        <w:spacing w:after="0" w:line="146"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third-party revenues in the periods presented.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Inventories and Supplies</w:t>
      </w:r>
    </w:p>
    <w:p>
      <w:pPr>
        <w:spacing w:after="0" w:line="160"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The cost of oil and oil products as well as the cost of supplies and drums, solvent and solution and other inventories is principally determined on a first-in, first-out ("FIFO") basis. The Company continually reviews its inventories for obsolete or unsalable items and adjusts its carrying value to reflect estimated realizable values.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Property, Plant and Equipment, net (excluding landfill assets and finance lease right-of-use assets)</w:t>
      </w:r>
    </w:p>
    <w:p>
      <w:pPr>
        <w:spacing w:after="0" w:line="16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interest expense, are classified as construction-in-progress. When the asset is ready for its intended use, the asset is reclassified to an appropriate asset classification and depreciation or amortization commences.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depreciates and amortizes the capitalized cost of these assets, using the straight-line method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9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20-42 years</w:t>
            </w:r>
          </w:p>
        </w:tc>
      </w:tr>
      <w:tr>
        <w:trPr>
          <w:trHeight w:val="229"/>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2-45 years</w:t>
            </w:r>
          </w:p>
        </w:tc>
      </w:tr>
      <w:tr>
        <w:trPr>
          <w:trHeight w:val="23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2-15 years</w:t>
            </w:r>
          </w:p>
        </w:tc>
      </w:tr>
      <w:tr>
        <w:trPr>
          <w:trHeight w:val="22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780" w:type="dxa"/>
            <w:vAlign w:val="bottom"/>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Capitalized software and computer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30"/>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railcars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8-16 years</w:t>
            </w: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other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4-30 years</w:t>
            </w:r>
          </w:p>
        </w:tc>
      </w:tr>
      <w:tr>
        <w:trPr>
          <w:trHeight w:val="22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 years</w:t>
            </w:r>
          </w:p>
        </w:tc>
      </w:tr>
    </w:tbl>
    <w:p>
      <w:pPr>
        <w:spacing w:after="0" w:line="225"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Gains and losses on the sale of property, plant and equipment are included in Other income (expense), net. Fully depreciated assets are retained in property, plant and equipment and accumulated depreciation until they are removed from service.</w:t>
      </w:r>
    </w:p>
    <w:p>
      <w:pPr>
        <w:spacing w:after="0" w:line="8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acquisition method of accounting, the purchase price paid for an acquisition is allocated to the assets and liabilities acquired based upon their estimated fair values as of the acquisition date, with the excess of the purchase price over the net assets acquired recorded as goodwill. As required, a preliminary fair value is determined once a business is acquired, with the final determination of the fair value being completed no later than one year from the date of acquisition.</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1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by identifying the components of each operating segment. As of December 31, 2023, the Company had four reporting units consisting of, Environmental Sales and Service, Industrial Services, Environmental Facilities and Safety-Kleen Sustainability Solutions ("SKSS"). See Note 8, "Goodwill and Other Intangible Assets," for additional information related to the Company's goodwill impairment tests.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Permits and Other Intangibles</w:t>
      </w:r>
    </w:p>
    <w:p>
      <w:pPr>
        <w:spacing w:after="0" w:line="160" w:lineRule="exact"/>
        <w:rPr>
          <w:sz w:val="20"/>
          <w:szCs w:val="20"/>
          <w:color w:val="auto"/>
        </w:rPr>
      </w:pPr>
    </w:p>
    <w:p>
      <w:pPr>
        <w:jc w:val="both"/>
        <w:ind w:right="600" w:firstLine="405"/>
        <w:spacing w:after="0" w:line="312" w:lineRule="auto"/>
        <w:rPr>
          <w:sz w:val="20"/>
          <w:szCs w:val="20"/>
          <w:color w:val="auto"/>
        </w:rPr>
      </w:pPr>
      <w:r>
        <w:rPr>
          <w:rFonts w:ascii="Times New Roman" w:cs="Times New Roman" w:eastAsia="Times New Roman" w:hAnsi="Times New Roman"/>
          <w:sz w:val="17"/>
          <w:szCs w:val="17"/>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7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Permits relating to landfills are amortized on a units-of-consumption basis. All other permits are amortized over periods ranging from five to 30 years on a straight-line basis. Finite-lived other intangible assets are amortized on a straight-line basis over their respective useful lives, which range from two to 25 years.</w:t>
      </w:r>
    </w:p>
    <w:p>
      <w:pPr>
        <w:spacing w:after="0" w:line="9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16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122"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Landfill assets</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$18.6 million, $16.2 million and $13.7 million for the years ended December 31, 2023, 2022 and 2021,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10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Landfill capacity</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highly probable of ultimately being permitted. As of December 31, 2023,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the Company's profitability.</w:t>
      </w:r>
    </w:p>
    <w:p>
      <w:pPr>
        <w:spacing w:after="0" w:line="118" w:lineRule="exact"/>
        <w:rPr>
          <w:sz w:val="20"/>
          <w:szCs w:val="20"/>
          <w:color w:val="auto"/>
        </w:rPr>
      </w:pPr>
    </w:p>
    <w:p>
      <w:pPr>
        <w:ind w:right="380" w:firstLine="445"/>
        <w:spacing w:after="0" w:line="270" w:lineRule="auto"/>
        <w:rPr>
          <w:sz w:val="20"/>
          <w:szCs w:val="20"/>
          <w:color w:val="auto"/>
        </w:rPr>
      </w:pPr>
      <w:r>
        <w:rPr>
          <w:rFonts w:ascii="Times New Roman" w:cs="Times New Roman" w:eastAsia="Times New Roman" w:hAnsi="Times New Roman"/>
          <w:sz w:val="18"/>
          <w:szCs w:val="18"/>
          <w:color w:val="auto"/>
        </w:rPr>
        <w:t>As of December 31, 2023, the Company had eight active landfill sites (including the Company's non-commercial landfill), which have estimated remaining lives (based on anticipated waste volumes and the remaining highly probable airspace) as follows:</w:t>
      </w: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Permitted Remaining Highly</w:t>
            </w:r>
          </w:p>
        </w:tc>
        <w:tc>
          <w:tcPr>
            <w:tcW w:w="0" w:type="dxa"/>
            <w:vAlign w:val="bottom"/>
          </w:tcPr>
          <w:p>
            <w:pPr>
              <w:spacing w:after="0"/>
              <w:rPr>
                <w:sz w:val="1"/>
                <w:szCs w:val="1"/>
                <w:color w:val="auto"/>
              </w:rPr>
            </w:pPr>
          </w:p>
        </w:tc>
      </w:tr>
      <w:tr>
        <w:trPr>
          <w:trHeight w:val="146"/>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434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Lives</w:t>
            </w:r>
          </w:p>
        </w:tc>
        <w:tc>
          <w:tcPr>
            <w:tcW w:w="2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Probable Airspace</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(cubic yards) (in thousands)</w:t>
            </w:r>
          </w:p>
        </w:tc>
        <w:tc>
          <w:tcPr>
            <w:tcW w:w="0" w:type="dxa"/>
            <w:vAlign w:val="bottom"/>
          </w:tcPr>
          <w:p>
            <w:pPr>
              <w:spacing w:after="0"/>
              <w:rPr>
                <w:sz w:val="1"/>
                <w:szCs w:val="1"/>
                <w:color w:val="auto"/>
              </w:rPr>
            </w:pPr>
          </w:p>
        </w:tc>
      </w:tr>
      <w:tr>
        <w:trPr>
          <w:trHeight w:val="229"/>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Buttonwillow</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 Trail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Grassy Mountain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Kimball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Lambton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Lone Mountain</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Ryley</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Alberta,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Sawyer</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2023, as expected, the Company's non-commercial landfill at Deer Park, Texas reached permitted capacity and is in the process of closing. This landfill has been excluded from the table above.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2023 and 2022, the Company had no cubic yards of permitted, but not highly probable, airspace.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remaining highly probable airspace from January 1, 2022 through December 31, 2023 (in thousands of cubic yards):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capacity, beginning of year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highly probable airspace,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capacity, end of year</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28,270</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the Company received a permit for expansion of its Kimball, Nebraska landfill. In the year ended December 31, 2022, the Company received a permit for the expansion of its Ryley landfill in Alberta, Canada.</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Amortization of cell construction costs and accrual of cell closure obligations</w:t>
      </w:r>
      <w:r>
        <w:rPr>
          <w:rFonts w:ascii="Times New Roman" w:cs="Times New Roman" w:eastAsia="Times New Roman" w:hAnsi="Times New Roman"/>
          <w:sz w:val="18"/>
          <w:szCs w:val="18"/>
          <w:color w:val="auto"/>
        </w:rPr>
        <w:t>—Landfills are typically comprised of a number of cells,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11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14" w:lineRule="exact"/>
        <w:rPr>
          <w:sz w:val="20"/>
          <w:szCs w:val="20"/>
          <w:color w:val="auto"/>
        </w:rPr>
      </w:pPr>
    </w:p>
    <w:p>
      <w:pPr>
        <w:ind w:right="20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final closure and post-closure liabilities </w:t>
      </w:r>
      <w:r>
        <w:rPr>
          <w:rFonts w:ascii="Times New Roman" w:cs="Times New Roman" w:eastAsia="Times New Roman" w:hAnsi="Times New Roman"/>
          <w:sz w:val="18"/>
          <w:szCs w:val="18"/>
          <w:color w:val="auto"/>
        </w:rPr>
        <w:t>—The balance of landfill final closure and post-closure liabilities at December 31,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$59.4 million and $62.3 million,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03"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12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Cell closure, final closure and post-closure costs (also referred to as "asset retirement obligations") are calculated by estimating the total obligation in current dollars, adjusted for future inflation estimates and discounted at the Company's credit-adjusted risk-free interest rate (6.51% and 5.37% during 2023 and 2022, respectively).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Non-Landfill Closure and Post-Closure Liabilities</w:t>
      </w:r>
    </w:p>
    <w:p>
      <w:pPr>
        <w:spacing w:after="0" w:line="14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balance of non-landfill closure and post-closure liabilities at December 31, 2023 and 2022 was $59.2 million and $56.6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10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Remedial Liabilities</w:t>
      </w:r>
    </w:p>
    <w:p>
      <w:pPr>
        <w:spacing w:after="0" w:line="160"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balance of remedial liabilities at December 31, 2023 and 2022 was $111.2 million and $116.3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1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Where the Company concludes that it is probable that a liability has been incurred and an amount can be estimated, a liability is recognized. 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value of the remedial liabilities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12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Self-Insurance Liabilities</w:t>
      </w:r>
    </w:p>
    <w:p>
      <w:pPr>
        <w:spacing w:after="0" w:line="14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actuarial estimates and judgments which consider the frequency and settlement amount of historical claims data and are discounted to present value using a risk-free interest rate.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4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Company has international operations in Canada and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60"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Company has defined contribution plans under which eligible employees may contribute up to the maximum amount as provided by law. The Company matches a portion of these employee contributions and contributed $28.8 million, $25.3 million and $20.5 million in 2023, 2022 and 2021 respectively.</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 was $10.9 million in 2023, $9.4 million in 2022 and $6.0 million in 2021.</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The fair value of the Company's grants are based on the closing price of the Company's common stock on the respective dates of grant. Forfeitures are recognized as they occur. Stock-based compensation is recognized in selling, general and administrative expense.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6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Company enters into interest rate derivative agreements as part of the overall strategy to hedge against fluctuations in variable interest rates. These interest rate derivatives swap a variable interest rate for a fixed interest rate and have been designated as cash flow hedges. The Company assesses the hedge’s effectiveness at the inception of the hedge and at regular intervals throughout the life of the derivative. To the extent that the interest rate swap is highly effective, changes in fair value are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 Although it was determined that the interest rate swaps will be a highly effective hedge, any portion of the interest rate swaps subsequently determined to be ineffective will be recognized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earnings. Further, if it becomes probable that a forecasted transaction designated as the hedged item will not occur, any gain or loss deferred is recognized in interest expense at that time.</w:t>
      </w:r>
    </w:p>
    <w:p>
      <w:pPr>
        <w:spacing w:after="0" w:line="8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swaps is calculated using discounted cash flow valuation methodologies based upon the one-month variable rate yield curves that are observable at commonly quoted intervals for the full term of the interest rate swaps and as such is considered a Level 2 measure according to the fair value hierarchy. The Company recognizes the fair value of the derivative instruments by counterparty as either a net asset, included in Other long-term assets, or net liability, included in Accrued expenses and other current liabilities, on the consolidated balance sheets.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108"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121"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within the provision for income taxes line in the consolidated statements of operations. Accrued interest and penalties are included within the other long-term liabilities line in the consolidated balance sheets.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146"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jc w:val="both"/>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99"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The Company generally enters into long-term real estate leases with two to ten-year terms and long-term non-real estate leases with three to eight-year terms. In the normal course of business, the Company also enters into short-term leases having terms of one year or less. These leases are generally equipment leases entered into for short periods of time (e.g. daily, weekly or monthly) to satisfy immediate and/or short-term operational needs of the business which can arise based upon the nature of particular services performed. The Company has elected not to recognize right-of-use ("ROU") assets and lease liabilities for these short-term leases. Operating and finance leases with terms exceeding one year are recognized as ROU assets and lease liabilities and measured at commencement date based on the present value of the future lease payments over the lease term.</w:t>
      </w:r>
    </w:p>
    <w:p>
      <w:pPr>
        <w:spacing w:after="0" w:line="12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95"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9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and interest expense is recognized based on the incremental borrowing rate. Finance lease amortization is recognized in depreciation and amortization and finance lease related interest expense is recognized in interest expense, net of interest income.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4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an enhanced disclosure of significant segment expenses on an annual and interim basis. This guidance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the impact of adopting this new pronouncement on its consolidated financial statements disclosures.</w:t>
      </w:r>
    </w:p>
    <w:p>
      <w:pPr>
        <w:spacing w:after="0" w:line="21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Company is currently evaluating the impact of adopting this new pronouncement on its consolidated financial statements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11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remediation, railcar cleaning, manhole/vault clean outs, product recovery and transfer and vacuum services. Additional services include filtration and water treatment services.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w:t>
      </w:r>
    </w:p>
    <w:p>
      <w:pPr>
        <w:spacing w:after="0" w:line="117" w:lineRule="exact"/>
        <w:rPr>
          <w:sz w:val="20"/>
          <w:szCs w:val="20"/>
          <w:color w:val="auto"/>
        </w:rPr>
      </w:pPr>
    </w:p>
    <w:p>
      <w:pPr>
        <w:ind w:right="180" w:firstLine="405"/>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11" w:lineRule="exact"/>
        <w:rPr>
          <w:sz w:val="20"/>
          <w:szCs w:val="20"/>
          <w:color w:val="auto"/>
        </w:rPr>
      </w:pPr>
    </w:p>
    <w:p>
      <w:pPr>
        <w:jc w:val="both"/>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4,022,394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846,339</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899,780</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199,360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693,542</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779,360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779,360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964,603</w:t>
            </w: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107,010</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94,094</w:t>
            </w:r>
          </w:p>
        </w:tc>
      </w:tr>
    </w:tbl>
    <w:p>
      <w:pPr>
        <w:spacing w:after="0" w:line="21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included in the estimated transaction price based on historical experience, anticipated performance and management's best judgment at the time. The Company includes estimated amounts in the transaction price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 as it is brought to the Company’s facilities or third-party sites. Costs related to the treatment of waste include costs for waste receiving, drum movement and storage, waste consolidation and transportation between facilities.</w:t>
      </w:r>
    </w:p>
    <w:p>
      <w:pPr>
        <w:spacing w:after="0" w:line="112"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The Company’s contract costs that are subject to capitalization are comprised of costs associated with parts washer services and with the treatment and disposal of waste. As of December 31, 2023 and 2022, the Company's deferred contract costs totaled $29.9 million and $29.7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total current assets in the Company’s consolidated balance sheets. The deferred contract cost balances at the beginning of each period presented were fully recognized in cost of revenue in the subsequent three-month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2024 Acquisition</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2, 2024, the Company signed a definitive agreement with Gryphon Investors, Inc. to acquire HEPACO, a leading provider of specialized environmental and emergency response services in the Eastern United States, for $400.0 million in cash, subject to working capital and other adjustments. The Company intends to fund the acquisition with a combination of available cash and incremental borrowings under our term loan facility. The acquisition will expand field services operations within the Environmental Services segment and is expected to close in the first half of 2024, subject to regulatory approval and other customary closing conditions.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6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On March 31, 2023, the Company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the acquisition date.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At Acquisition Date</w:t>
            </w:r>
          </w:p>
        </w:tc>
      </w:tr>
      <w:tr>
        <w:trPr>
          <w:trHeight w:val="189"/>
        </w:trPr>
        <w:tc>
          <w:tcPr>
            <w:tcW w:w="9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25"/>
        </w:trPr>
        <w:tc>
          <w:tcPr>
            <w:tcW w:w="9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r>
      <w:tr>
        <w:trPr>
          <w:trHeight w:val="257"/>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57"/>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5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56"/>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5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5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56"/>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5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8"/>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71,509</w:t>
            </w:r>
          </w:p>
        </w:tc>
      </w:tr>
      <w:tr>
        <w:trPr>
          <w:trHeight w:val="22"/>
        </w:trPr>
        <w:tc>
          <w:tcPr>
            <w:tcW w:w="9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7"/>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r>
      <w:tr>
        <w:trPr>
          <w:trHeight w:val="228"/>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r>
      <w:tr>
        <w:trPr>
          <w:trHeight w:val="22"/>
        </w:trPr>
        <w:tc>
          <w:tcPr>
            <w:tcW w:w="9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customer relationships, trademarks/tradenames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1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year ended December 31, 2023, and pro forma revenue and earnings amounts on a combined basis as if this acquisition had been completed on January 1, 2022 are immaterial to the consolidated financial statements of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June 17, 2022, the Company acquired a privately-owned company for an all-cash purchase price of approximately $78.9 million, net of cash acquired. The operations of the newly acquired company expand the SKSS segment's waste oil collection capabilities and re-refining business throughout the southeastern region of the United States, including the addition of a re-refinery in Georgia.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second quarter of 2023. The allocation of the purchase price was based on estimates of the fair value and assets acquired and liabilities assumed as of June 17, 2022. The following table summarizes the final determination and recognition of assets acquired and liabilities assumed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Preliminary Allocation</w:t>
            </w:r>
          </w:p>
        </w:tc>
        <w:tc>
          <w:tcPr>
            <w:tcW w:w="180" w:type="dxa"/>
            <w:vAlign w:val="bottom"/>
          </w:tcPr>
          <w:p>
            <w:pPr>
              <w:spacing w:after="0"/>
              <w:rPr>
                <w:sz w:val="15"/>
                <w:szCs w:val="15"/>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60" w:type="dxa"/>
            <w:vAlign w:val="bottom"/>
          </w:tcPr>
          <w:p>
            <w:pPr>
              <w:spacing w:after="0"/>
              <w:rPr>
                <w:sz w:val="15"/>
                <w:szCs w:val="15"/>
                <w:color w:val="auto"/>
              </w:rPr>
            </w:pPr>
          </w:p>
        </w:tc>
        <w:tc>
          <w:tcPr>
            <w:tcW w:w="15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Final Allocation</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 December 31,</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15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0" w:type="dxa"/>
            <w:vAlign w:val="bottom"/>
          </w:tcPr>
          <w:p>
            <w:pPr>
              <w:spacing w:after="0"/>
              <w:rPr>
                <w:sz w:val="1"/>
                <w:szCs w:val="1"/>
                <w:color w:val="auto"/>
              </w:rPr>
            </w:pPr>
          </w:p>
        </w:tc>
      </w:tr>
      <w:tr>
        <w:trPr>
          <w:trHeight w:val="25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5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2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46,666</w:t>
            </w: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0" w:type="dxa"/>
            <w:vAlign w:val="bottom"/>
          </w:tcPr>
          <w:p>
            <w:pPr>
              <w:spacing w:after="0"/>
              <w:rPr>
                <w:sz w:val="1"/>
                <w:szCs w:val="1"/>
                <w:color w:val="auto"/>
              </w:rPr>
            </w:pPr>
          </w:p>
        </w:tc>
      </w:tr>
      <w:tr>
        <w:trPr>
          <w:trHeight w:val="22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78,878</w:t>
            </w: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supplier relationships, permits, customer relationships and trademarks/tradenames and are anticipated to have estimated useful lives of between five and 20 years with a weighted average useful life of approximately 18 years. The excess of the total purchase price, which includes the aggregate cash consideration paid in excess of the fair value of the tangible and intangible assets acquired,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10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December 31, 2022 and pro forma revenue and earnings amounts on a combined basis as if this acquisition had been completed on January 1, 2021 were not material in 2022 to the consolidated financial statements of the Company.</w:t>
      </w:r>
    </w:p>
    <w:p>
      <w:pPr>
        <w:spacing w:after="0" w:line="108"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On December 9, 2022, the Company acquired a privately-owned business for $12.6 million cash consideration. The acquired company expands the SKSS segment's oil collection operations in the southeastern United States. In connection with this acquisition, goodwill of $2.7 million was recognized. The results of operations for the acquired business were not material in 2022 to the consolidated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HydroChemPSC</w:t>
      </w:r>
    </w:p>
    <w:p>
      <w:pPr>
        <w:spacing w:after="0" w:line="14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October 8, 2021, the Company completed its acquisition of LJ Energy Services Intermediate Holding Corp. and its subsidiaries (collectively, “HydroChemPSC”), a privately owned company, for an all-cash purchase price of approximately $1.23 billion. HydroChemPSC is a leading U.S. provider of industrial cleaning, specialty maintenance and utilities services. These operations enhance and have been fully integrated into the Company's Environmental Services segment. In the first quarter of 2022, the Company received $5.0 million after finalizing the acquisition date working capital balances, which decreased the overall purchase price.</w:t>
      </w:r>
    </w:p>
    <w:p>
      <w:pPr>
        <w:spacing w:after="0" w:line="11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accounting for the acquisition of HydroChemPSC in the third quarter of 2022. The allocation of the purchase price was based on estimates of the fair value of assets acquired and liabilities assumed as of October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2021. The following table summarizes the final determination and recognition of assets acquired and liabilities assumed (in thousands):</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and supplies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Final Allocation</w:t>
      </w:r>
    </w:p>
    <w:p>
      <w:pPr>
        <w:spacing w:after="0" w:line="75" w:lineRule="exact"/>
        <w:rPr>
          <w:sz w:val="20"/>
          <w:szCs w:val="20"/>
          <w:color w:val="auto"/>
        </w:rPr>
      </w:pPr>
    </w:p>
    <w:p>
      <w:pPr>
        <w:ind w:left="1120" w:hanging="1118"/>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131,516</w:t>
      </w:r>
    </w:p>
    <w:p>
      <w:pPr>
        <w:spacing w:after="0" w:line="4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w:t>
      </w:r>
    </w:p>
    <w:p>
      <w:pPr>
        <w:spacing w:after="0" w:line="5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16,291</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314,397</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289,000</w:t>
      </w:r>
    </w:p>
    <w:p>
      <w:pPr>
        <w:spacing w:after="0" w:line="5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34,415</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962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(118,854)</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(11,277)</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(26,344)</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(80,386)</w:t>
      </w:r>
    </w:p>
    <w:p>
      <w:pPr>
        <w:spacing w:after="0" w:line="5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(4,170)</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548,712</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676,701</w:t>
      </w:r>
    </w:p>
    <w:p>
      <w:pPr>
        <w:spacing w:after="0" w:line="63" w:lineRule="exact"/>
        <w:rPr>
          <w:sz w:val="20"/>
          <w:szCs w:val="20"/>
          <w:color w:val="auto"/>
        </w:rPr>
      </w:pPr>
    </w:p>
    <w:p>
      <w:pPr>
        <w:ind w:left="980" w:hanging="97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11398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8740" w:space="720"/>
            <w:col w:w="1780"/>
          </w:cols>
          <w:pgMar w:left="320" w:top="2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right="60" w:firstLine="413"/>
        <w:spacing w:after="0" w:line="253"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fair value of the net assets acquired over the purchase price. Goodwill of $676.7 million is attributable to the future economic benefits arising from the acquired operations, synergies and the acquired workforce of HydroChemPSC. None of the goodwill related to this acquisition will be deductible for tax purposes. Final Goodwill was assigned to the Environmental Sales and Service reporting unit, see Note 8, "Goodwill and Other Intangible Assets" for details on reporting unit change as of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62" w:lineRule="exact"/>
        <w:rPr>
          <w:sz w:val="20"/>
          <w:szCs w:val="20"/>
          <w:color w:val="auto"/>
        </w:rPr>
      </w:pPr>
    </w:p>
    <w:p>
      <w:pPr>
        <w:ind w:right="140" w:firstLine="414"/>
        <w:spacing w:after="0" w:line="282" w:lineRule="auto"/>
        <w:rPr>
          <w:sz w:val="20"/>
          <w:szCs w:val="20"/>
          <w:color w:val="auto"/>
        </w:rPr>
      </w:pPr>
      <w:r>
        <w:rPr>
          <w:rFonts w:ascii="Times New Roman" w:cs="Times New Roman" w:eastAsia="Times New Roman" w:hAnsi="Times New Roman"/>
          <w:sz w:val="18"/>
          <w:szCs w:val="18"/>
          <w:color w:val="auto"/>
        </w:rPr>
        <w:t>The following table presents unaudited pro forma combined summary financial information for the year ended December 31, 2021, and assumes the acquisition of HydroChemPSC occurred on January 1, 2020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5"/>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combined 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4,380,724</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combined net income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229,807</w:t>
            </w:r>
          </w:p>
        </w:tc>
      </w:tr>
    </w:tbl>
    <w:p>
      <w:pPr>
        <w:spacing w:after="0" w:line="233" w:lineRule="exact"/>
        <w:rPr>
          <w:sz w:val="20"/>
          <w:szCs w:val="20"/>
          <w:color w:val="auto"/>
        </w:rPr>
      </w:pPr>
    </w:p>
    <w:p>
      <w:pPr>
        <w:jc w:val="both"/>
        <w:ind w:right="260" w:firstLine="414"/>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costs incurred directly attributable to the acquisition of HydroChemPSC. The pro forma results do reflect impacts resulting from the issuance of $1.0 billion secured senior term loans issued in connection with the acquisition assuming interest rates in effect at the time of the acquisition.</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not necessarily indicative of the Company's consolidated operating results that would have been reported had the transactions been completed as described herein, nor is such information necessarily indicative of the Company's consolidated results for any future period. Interest expense used in calculating the pro forma net income in both periods did not contemplate the interest rate swap that the Company put in place in early 2022. See Note 12, "Financing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2021 Acquisition Activity</w:t>
      </w:r>
    </w:p>
    <w:p>
      <w:pPr>
        <w:spacing w:after="0" w:line="14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March 27, 2021, the Company acquired a privately-owned business for $22.8 million cash consideration. The acquired company increases the SKSS segment's network within the south central United States. In connection with this acquisition, a goodwill amount of $16.3 million was recognized. The results of operations for this acquired business were not material in 2021.</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On June 29, 2021, the Company signed a definitive agreement with Vertex Energy, Inc. ("Vertex") to acquire certain assets related to Vertex's used motor oil collection and re-refinery business in an all-cash transaction for $140.0 million, subject</w:t>
      </w:r>
    </w:p>
    <w:p>
      <w:pPr>
        <w:sectPr>
          <w:pgSz w:w="11900" w:h="16838" w:orient="portrait"/>
          <w:cols w:equalWidth="0" w:num="1">
            <w:col w:w="11240"/>
          </w:cols>
          <w:pgMar w:left="320" w:top="26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working capital and other adjustments. On January 25, 2022, Vertex and the Company mutually agreed to terminate the planned acquisition. Pursuant to the agreement, Vertex paid Clean Harbors a breakup fee of $3.0 million in early 2022 in connection with the termination.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DISPOSITION OF BUSINESS</w:t>
      </w:r>
    </w:p>
    <w:p>
      <w:pPr>
        <w:spacing w:after="0" w:line="162"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On June 30, 2022, the Company completed the sale of a line of business as part of its continuous focus on divesting certain non-core operations. The divested line of business was previously included within the Environmental Sales &amp; Service reporting unit of the Environmental Services segment. The Company determined that the disposition did not constitute a strategic shift and that the impact on the Company's overall operations and financial results was not material. Accordingly, the operations associated with the disposal were not reported in discontinued operations. The final purchase price for the line of business was $18.8 million, after settling working capital, of which $1.5 million was held in escrow, half of which was received in 2023, and the remaining amount received in early 2024. The gain on sale of $8.9 million, after accounting for the assets sold, liabilities transferred upon sale and transaction costs, was included in gain on sale of business in the Company's consolidated statement of operations for the year ended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AND SUPPLIES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151,519</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324,994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balance of oil and oil related products has decreased due to lower volumes of base and blended oil on hand at December 31, 2023 when compared with December 31, 2022 and overall price decreases for the oil inventory and additives. 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7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172,579</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22,001</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232,872</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591,397</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1,112,188</w:t>
            </w:r>
          </w:p>
        </w:tc>
      </w:tr>
      <w:tr>
        <w:trPr>
          <w:trHeight w:val="229"/>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2,195,064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140,328</w:t>
            </w:r>
          </w:p>
        </w:tc>
      </w:tr>
      <w:tr>
        <w:trPr>
          <w:trHeight w:val="223"/>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4,466,429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2,486,127</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1,980,302</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$8.0 million.</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$151.7 million and $106.7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$9.2 million.</w:t>
      </w:r>
    </w:p>
    <w:p>
      <w:pPr>
        <w:spacing w:after="0" w:line="12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$315.5 million, $297.4 million and $263.4 million for the years ended December 31, 2023, 2022 and 2021, respectively. The Company recorded $6.6 million and $3.4</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million capitalized interest in 2023 and 2022, respectively, mainly due to the construction of a new incinerator in Kimball, Nebraska. Capitalized interest in 2021 was negligible.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goodwill for the years ended December 31, 2023 and 2022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2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from disposition of business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1,246,878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changed reporting units, separating the historical Environmental Sales and Service reporting unit into two reporting units, Environmental Sales and Service and Industrial Services. This change required goodwill in the Environmental Sales and Services reporting unit to be allocated to the new reporting units based on relative fair value. The Company tested goodwill of the new reporting units for impairment both before and following the change in reporting unit structure, and no impairment was identified.</w:t>
      </w:r>
    </w:p>
    <w:p>
      <w:pPr>
        <w:spacing w:after="0" w:line="9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conducted its annual impairment test of goodwill as of December 31, 2023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12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1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there is a significant prolonged change in demand for the Company's products and services, it is possible that goodwill impairment charges may result. Therefore, there can be no assurance that future events will not result in an impairment of goodwill.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and 2022, the Company's intangible assets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79,337</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64,570</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Total amortizable permits and other intangible assets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498,248</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122,534</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620,782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05"/>
        <w:spacing w:after="0" w:line="265" w:lineRule="auto"/>
        <w:rPr>
          <w:sz w:val="20"/>
          <w:szCs w:val="20"/>
          <w:color w:val="auto"/>
        </w:rPr>
      </w:pPr>
      <w:r>
        <w:rPr>
          <w:rFonts w:ascii="Times New Roman" w:cs="Times New Roman" w:eastAsia="Times New Roman" w:hAnsi="Times New Roman"/>
          <w:sz w:val="18"/>
          <w:szCs w:val="18"/>
          <w:color w:val="auto"/>
        </w:rPr>
        <w:t>During the periods presented, there were no events or changes in circumstances which would indicate that the carrying values of the Company's asset groups would not be recoverable and thus no impairment charges were recorded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If expectations of future cash flows were to decrease in the future as a result of worse than expected or prolonged periods of depressed activity, future impairments may become evident.</w:t>
      </w:r>
    </w:p>
    <w:p>
      <w:pPr>
        <w:spacing w:after="0" w:line="9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for the years ended December 31, 2023, 2022 and 2021 were $50.3 million, $50.2 million and $34.7 million, respectively.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December 31, 2023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80" w:type="dxa"/>
            <w:vAlign w:val="bottom"/>
            <w:tcBorders>
              <w:top w:val="single" w:sz="8" w:color="auto"/>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43,231</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482,512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and 2022, accrued insurance included employee medical insurance costs of $22.8 million and $16.4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accruals for losses under workers' compensation, comprehensive general liability and vehicle liability self-insurance programs of $82.7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$74.9 million, respectively. The increase in accrued interest is due to the timing of interest payments associated with debt issued in 2023. Refer to Note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 for more information. The decrease in accrued compensation and benefits is primarily due to a decrease in accrued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CLOSURE AND POST-CLOSURE LIABILITIES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2022 through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Company's non-commercial landfill at the Deer Park, Texas incineration facility reached its permitted capacity, as expected. The Company has commenced closure activities; however, there have been no changes to the liabilities related to this location. In the year ended December 31, 2023, there were no significant benefits or charges resulting from changes in estimates for closure and post-closure liabilities.</w:t>
      </w:r>
    </w:p>
    <w:p>
      <w:pPr>
        <w:spacing w:after="0" w:line="10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252,110</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closure and post-closure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316,835</w:t>
            </w: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Discount at credit-adjusted risk-free rate</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(114,325)</w:t>
            </w:r>
          </w:p>
        </w:tc>
      </w:tr>
      <w:tr>
        <w:trPr>
          <w:trHeight w:val="22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Undiscounted estimated closure and post-closure liabilities relating to airspace not yet consumed</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(83,910)</w:t>
            </w: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closure and post-closure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118,600</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REMEDIAL LIABILITIES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to remedial liabilities from January 1, 2022 through December 31, 2023 were as follows (in thousands):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24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in acquisition of real estate</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the Company increased its remedial liabilities for an inactive site and an active site by $1.1 million each due to changes in the estimates of the related liabilities to account for new information obtained regarding the ultimate remediation of these sites. In the year ended December 31, 2022, the $8.1 million liability assumed in acquisition relates to real estate that the Company acquired in 2022. In purchasing the property, the Company assumed a known associated remedial liability, which was contemplated in the purchase price.</w:t>
      </w:r>
    </w:p>
    <w:p>
      <w:pPr>
        <w:spacing w:after="0" w:line="112"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Anticipated payments at December 31, 2023 (based on current estimated costs and anticipated timing of necessary regulatory approvals to commence work on remedial activities) for each of the next five years and thereafter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remedial liabilities</w:t>
            </w: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 at risk free rates</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remedial liabilities</w:t>
            </w:r>
          </w:p>
        </w:tc>
        <w:tc>
          <w:tcPr>
            <w:tcW w:w="5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2023 disaggregated by facility/site type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40" w:type="dxa"/>
            <w:vAlign w:val="bottom"/>
          </w:tcPr>
          <w:p>
            <w:pPr>
              <w:spacing w:after="0"/>
              <w:rPr>
                <w:sz w:val="14"/>
                <w:szCs w:val="14"/>
                <w:color w:val="auto"/>
              </w:rPr>
            </w:pPr>
          </w:p>
        </w:tc>
        <w:tc>
          <w:tcPr>
            <w:tcW w:w="110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Liabilities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Inactive facilities not used in active conduct of the Company's business, most of which were</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through prior period acquisitions (24 facilities)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now used in active conduct of the Company's business (45 facilities)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43,299</w:t>
            </w:r>
          </w:p>
        </w:tc>
        <w:tc>
          <w:tcPr>
            <w:tcW w:w="1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Superfund sites (13 sites)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Amounts represent the high end of the range of management's best estimate of the reasonably possible additional liabilities.</w:t>
      </w:r>
    </w:p>
    <w:p>
      <w:pPr>
        <w:spacing w:after="0" w:line="139" w:lineRule="exact"/>
        <w:rPr>
          <w:sz w:val="20"/>
          <w:szCs w:val="20"/>
          <w:color w:val="auto"/>
        </w:rPr>
      </w:pPr>
    </w:p>
    <w:p>
      <w:pPr>
        <w:jc w:val="both"/>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2023 disaggregated by facilities/sites which represent at least 5% of the total and with all other facilities/ sites combined (in thousands,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48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6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2080" w:type="dxa"/>
            <w:vAlign w:val="bottom"/>
            <w:gridSpan w:val="2"/>
            <w:vMerge w:val="continue"/>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(1)</w:t>
            </w: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3"/>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Baton Rouge, LA</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incinerator and landfill</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0" w:type="dxa"/>
            <w:vAlign w:val="bottom"/>
          </w:tcPr>
          <w:p>
            <w:pPr>
              <w:spacing w:after="0"/>
              <w:rPr>
                <w:sz w:val="1"/>
                <w:szCs w:val="1"/>
                <w:color w:val="auto"/>
              </w:rPr>
            </w:pPr>
          </w:p>
        </w:tc>
      </w:tr>
      <w:tr>
        <w:trPr>
          <w:trHeight w:val="22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Bridgeport, NJ</w:t>
            </w: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Closed incinerator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Mercier, Quebec</w:t>
            </w: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Idled incinerator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Linden, NJ</w:t>
            </w: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solvent recycling center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All other incinerators, landfills, wastewater treatment facilities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service centers (65 facilities)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Superfund sites (each representing less than 5% of total</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liabilities) (13 sites)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right="140" w:hanging="328"/>
        <w:spacing w:after="0" w:line="250"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of the $111.2 million remedial liabilities include estimates related to the legal and administrative proceedings discussed in Note 18, "Commitments and Contingencies."</w:t>
      </w: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high end of the range of management's best estimate of the reasonably possible additional liabilities.</w:t>
      </w:r>
    </w:p>
    <w:p>
      <w:pPr>
        <w:spacing w:after="0" w:line="139"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8260" w:firstLine="8"/>
        <w:spacing w:after="0" w:line="417" w:lineRule="auto"/>
        <w:tabs>
          <w:tab w:leader="none" w:pos="34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73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84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Secured senior term loans</w:t>
            </w:r>
          </w:p>
        </w:tc>
        <w:tc>
          <w:tcPr>
            <w:tcW w:w="4520" w:type="dxa"/>
            <w:vAlign w:val="bottom"/>
            <w:tcBorders>
              <w:top w:val="single" w:sz="8" w:color="CCEEFF"/>
            </w:tcBorders>
          </w:tcPr>
          <w:p>
            <w:pPr>
              <w:spacing w:after="0"/>
              <w:rPr>
                <w:sz w:val="17"/>
                <w:szCs w:val="17"/>
                <w:color w:val="auto"/>
              </w:rPr>
            </w:pPr>
          </w:p>
        </w:tc>
        <w:tc>
          <w:tcPr>
            <w:tcW w:w="220" w:type="dxa"/>
            <w:vAlign w:val="bottom"/>
            <w:tcBorders>
              <w:top w:val="single" w:sz="8" w:color="CCEEFF"/>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CCEEFF"/>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June 30, 2024 ("2024 Term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613,975</w:t>
            </w:r>
          </w:p>
        </w:tc>
      </w:tr>
      <w:tr>
        <w:trPr>
          <w:trHeight w:val="229"/>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 ("2028 Term Loans")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980,000</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2,438,975</w:t>
            </w: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(24,147)</w:t>
            </w:r>
          </w:p>
        </w:tc>
      </w:tr>
      <w:tr>
        <w:trPr>
          <w:trHeight w:val="223"/>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2,414,828</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estimated fair value of the Company’s outstanding long-term debt, including the current portion, was $2.3 billion and $2.4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sections below will outline the key terms of the outstanding debt, including any changes occurring during the period:</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Secured Senior Term Loans</w:t>
      </w:r>
    </w:p>
    <w:p>
      <w:pPr>
        <w:spacing w:after="0" w:line="16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the 2028 Term Loans had an aggregate principal amount outstanding of $980.0 million under the Fourth Amendment to the Company's existing Credit Agreement dated as of June 30, 2017 (the "Term Loan Agreement").</w:t>
      </w:r>
    </w:p>
    <w:p>
      <w:pPr>
        <w:spacing w:after="0" w:line="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Interest on the 2028 Term Loans is paid monthly. On December 27, 2023, the Term Loan Agreement was amended to reduce the interest rate margin by 25 basis points. After giving effect to this amendment, the 2028 Term Loan bears interest, at the Company’s election, at either of the following rates: (a) the sum of the Term SOFR Rate (as defined) plus 0.11448% (the one-month Term SOFR adjustment as defined) plus a 1.75% margin, or (b) the sum of the Base Rate (as defined) plus 0.75% margin. The Term SOFR Rate is subject to a floor of 0.00% and the Base Rate is subject to a floor of 1.00%. The Term Loan Agreement provides for Term SOFR adjustments for other interest periods; however, the Company elects one-month Term SOFR for interest payments on that debt resulting in total interest on the 2028 Term Loans of one-month Term SOFR plus 1.86448%.</w:t>
      </w:r>
    </w:p>
    <w:p>
      <w:pPr>
        <w:spacing w:after="0" w:line="10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2028 Term Loans are prepayable at any time without premium or penalty, other than customary breakage costs. The 2028 Term Loan amendment in December 2023 reset the six month soft call period for repricing transactions.</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January 24, 2023, the Company repaid the $614.0 million outstanding of 2024 Term Loans using net proceeds from the issuance of $500.0 million of unsecured 2031 Senior Notes, as described below, borrowing $114.0 million under the Company's Revolving Credit Facility, also discussed below, and available cash. During the year, the Company recognized a loss on early extinguishment of debt of $2.9 million due to this transaction and the 2028 Term Loan amendment noted above.</w:t>
      </w:r>
    </w:p>
    <w:p>
      <w:pPr>
        <w:spacing w:after="0" w:line="11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Term Loan Agreement are guaranteed by all of the Company's domestic restricted subsidiaries and secured by the liens on substantially all of the assets of the Company and the guarantors.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160" w:lineRule="exact"/>
        <w:rPr>
          <w:sz w:val="20"/>
          <w:szCs w:val="20"/>
          <w:color w:val="auto"/>
        </w:rPr>
      </w:pPr>
    </w:p>
    <w:p>
      <w:pPr>
        <w:jc w:val="both"/>
        <w:ind w:right="580" w:firstLine="405"/>
        <w:spacing w:after="0" w:line="266" w:lineRule="auto"/>
        <w:rPr>
          <w:sz w:val="20"/>
          <w:szCs w:val="20"/>
          <w:color w:val="auto"/>
        </w:rPr>
      </w:pPr>
      <w:r>
        <w:rPr>
          <w:rFonts w:ascii="Times New Roman" w:cs="Times New Roman" w:eastAsia="Times New Roman" w:hAnsi="Times New Roman"/>
          <w:sz w:val="18"/>
          <w:szCs w:val="18"/>
          <w:color w:val="auto"/>
        </w:rPr>
        <w:t>On July 2, 2019, the Company completed a private placement of $545.0 million aggregate principal amount of 2027 Notes and $300.0 million aggregate principal amount of 2029 Notes. The 2027 Notes will mature on July 15, 2027 and the 2029 Notes will mature on July 15, 2029. Interest payments on the 2027 and 2029 Notes are paid semiannually on January 15 and July 15.</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January 24, 2023, the Company completed a private placement of $500.0 million aggregate principal amount of 2031 Notes which will mature on February 1, 2031 (collectively referred to with the 2027 Notes and 2029 Notes as the "Notes"). As noted above, the proceeds from this were used toward the repayment of the 2024 Term Loans. The interest rate on the 2031 Notes is paid semiannually on February 1 and August 1 of each year and commenced on August 1, 2023.</w:t>
      </w:r>
    </w:p>
    <w:p>
      <w:pPr>
        <w:spacing w:after="0" w:line="11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tables below depict the redemption prices of the Notes if redeemed during the twelve-month period commencing on the dates below, plus accrued and unpaid interest, if any, to but not including the redemption date.</w:t>
      </w:r>
    </w:p>
    <w:p>
      <w:pPr>
        <w:sectPr>
          <w:pgSz w:w="11900" w:h="16838" w:orient="portrait"/>
          <w:cols w:equalWidth="0" w:num="1">
            <w:col w:w="11240"/>
          </w:cols>
          <w:pgMar w:left="320" w:top="263" w:right="33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2024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2026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2028 and thereafter</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101.219 %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102.563 %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101.281 %</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103.188 %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101.594 %</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ectPr>
          <w:pgSz w:w="11900" w:h="16838" w:orient="portrait"/>
          <w:cols w:equalWidth="0" w:num="2">
            <w:col w:w="9300" w:space="720"/>
            <w:col w:w="1220"/>
          </w:cols>
          <w:pgMar w:left="320" w:top="263" w:right="339" w:bottom="1440" w:gutter="0" w:footer="0" w:header="0"/>
          <w:type w:val="continuous"/>
        </w:sectPr>
      </w:pPr>
    </w:p>
    <w:p>
      <w:pPr>
        <w:spacing w:after="0" w:line="4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may also redeem all or any portion of the 2029 Notes prior to July 15, 2024 or the 2031 Notes prior to February 1, 2026, at a redemption price equal to 100% of the principal amount redeemed plus a make whole premium as of the date of redemption including accrued and unpaid interest, if any, up to but not including the date of redemption.</w:t>
      </w:r>
    </w:p>
    <w:p>
      <w:pPr>
        <w:spacing w:after="0" w:line="95"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Additionally, subject to certain limitations, prior to February 1, 2026, the Company may use net cash proceeds of one or more equity offerings to redeem up to 40% in aggregate principal of the 2031 Notes at a redemption price equal to 106.375% of the principal amount thereof plus accrued and unpaid interest thereon, if any, up to but not including the date of redemption.</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Notes and the related indentures contain various customary non-financial covenants and are guaranteed by substantially all of the Company’s current and future domestic subsidiaries. The Notes are effectively subordinated to the Company's Term Loans,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4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October 28, 2020, the Company and one of the Company's subsidiaries (the "Canadian Borrower") entered into an 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$350.0 million (with a sub-limit of $250.0 million for letters of credit) and the Canadian Borrower has the right to obtain revolving loans and letters of credit for a combined maximum of up to $50.0 million. Availability under the U.S. line is subject to a borrowing base primarily comprised of 85% of the eligible accounts receivable of the Company and its U.S. subsidiaries plus 100% of cash deposited in a controlled account with the Agent, and availability under the Canadian line is subject to a borrowing base primarily comprised of 85% of the eligible accounts receivable of the Company’s Canadian subsidiaries plus 100% of cash deposited in a controlled account with the Agent’s Canadian affiliate. Subject to certain conditions, the revolving credit facility will expire on October 28, 2025.</w:t>
      </w:r>
    </w:p>
    <w:p>
      <w:pPr>
        <w:spacing w:after="0" w:line="121" w:lineRule="exact"/>
        <w:rPr>
          <w:sz w:val="20"/>
          <w:szCs w:val="20"/>
          <w:color w:val="auto"/>
        </w:rPr>
      </w:pPr>
    </w:p>
    <w:p>
      <w:pPr>
        <w:ind w:right="100" w:firstLine="405"/>
        <w:spacing w:after="0" w:line="272" w:lineRule="auto"/>
        <w:rPr>
          <w:sz w:val="20"/>
          <w:szCs w:val="20"/>
          <w:color w:val="auto"/>
        </w:rPr>
      </w:pPr>
      <w:r>
        <w:rPr>
          <w:rFonts w:ascii="Times New Roman" w:cs="Times New Roman" w:eastAsia="Times New Roman" w:hAnsi="Times New Roman"/>
          <w:sz w:val="17"/>
          <w:szCs w:val="17"/>
          <w:color w:val="auto"/>
        </w:rPr>
        <w:t>On April 28, 2023, the Company entered into an amendment to the credit agreement for the revolving credit facility. As amended, the terms of the agreement are substantially the same as prior to the amendment except for certain updates required to transition the agreement to include a defined LIBOR successor rate. Under the amended agreement, borrowings under the revolving credit facility will bear interest at a rate, at the Company’s option, of either</w:t>
      </w:r>
    </w:p>
    <w:p>
      <w:pPr>
        <w:spacing w:after="0" w:line="2" w:lineRule="exact"/>
        <w:rPr>
          <w:sz w:val="20"/>
          <w:szCs w:val="20"/>
          <w:color w:val="auto"/>
        </w:rPr>
      </w:pPr>
    </w:p>
    <w:p>
      <w:pPr>
        <w:ind w:firstLine="8"/>
        <w:spacing w:after="0" w:line="260"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defined in the amended agreement) plus an applicable margin ranging from 1.50% to 1.75% per annum based primarily on the level of the Company’s average liquidity for the most recent 30 day period or (ii) BofA’s base rate plus an applicable margin ranging from</w:t>
      </w:r>
    </w:p>
    <w:p>
      <w:pPr>
        <w:sectPr>
          <w:pgSz w:w="11900" w:h="16838" w:orient="portrait"/>
          <w:cols w:equalWidth="0" w:num="1">
            <w:col w:w="11240"/>
          </w:cols>
          <w:pgMar w:left="320" w:top="263"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0.50% to 0.75% per annum based primarily on such average liquidity. The amended agreement also continues to provide (i) for an unused line fee payable to the lenders, calculated on the then unused portion of the lenders’ $400.0 million maximum commitments, ranging from 0.25% to 0.375% per annum of the unused commitment, and (ii) for outstanding letters of credit, a fee payable to the lenders equal to the then applicable margin for Term SOFR borrowings described above, and to the issuing banks a standard fronting fee and customary fees and charges in connection with all amendments, extensions, draws and other actions with respect to letters of credit.</w:t>
      </w:r>
    </w:p>
    <w:p>
      <w:pPr>
        <w:spacing w:after="0" w:line="210"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Letters of credit issued under the revolving credit facility are utilized primarily as security for the Company's insurance program that includes casualty and financial assurance.</w:t>
      </w:r>
    </w:p>
    <w:p>
      <w:pPr>
        <w:spacing w:after="0" w:line="81"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11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revolving credit facility had no outstanding loan balances at December 31, 2023 and had availability of $265.7 million and outstanding letters of credit of $134.3 million. The Company also had no outstanding loan balances as of December 31, 2022. As noted above, on January 24, 2023, the Company borrowed $114.0 million under the revolving credit facility. Proceeds from this borrowing were used toward the repayment of the 2024 Term Loans. This borrowing was repaid during the second quarter of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5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effectively fixed the interest rate on $350.0 million principal of the previously outstanding 2024 Term Loans by entering into interest rate swap agreements in 2018 with a notional amount of $350.0 million ("2018 Swaps"). On January 24, 2023, concurrently with the repayment of the 2024 Term Loans, the Company received a settlement payment of $8.3 million from the 2018 Swap counterparties. As a result of the settlement, the Company also reclassified the amounts previously deferred in accumulated other comprehensive loss and recognized a settlement gain of $8.3 million in interest expense in 2023.</w:t>
      </w:r>
    </w:p>
    <w:p>
      <w:pPr>
        <w:spacing w:after="0" w:line="11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2022, the Company entered into interest rate swap agreements with a notional amount of $600.0 million ("2022 Swaps") to effectively fix the interest rate on $600.0 million principal of the outstanding 2028 Term Loans. Under the terms of the 2022 Swaps' agreements, the Company receives interest based upon the variable rates on the 2028 Term Loans and pays a fixed amount of interest. The fixed rate on these instruments was 0.931% through June 30, 2023 which, together with the original 2.00% interest rate margin for the 2028 Term Loans, resulted in an effective annual interest rate of approximately 2.931% through June 30, 2023.</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fixed rate on these instruments increased to 1.9645% on July 1, 2023 and the variable rate became linked to Term SOFR to mirror the variable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for the 2028 Term Loans. The 2022 Swaps expire September 30, 2027. Including the 2.00% interest rate margin for borrowings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Term Loans and the 0.11448% SOFR adjustment per the 2028 Term Loans, beginning July 1, 2023, the effective annual interest rate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increased to 4.07898%. With the 2028 Term Loan amendment in December 2023 reducing the margin from 2.00% to 1.75%, discussed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 xml:space="preserve"> section above, the effective annual interest rate on the swapped portion of 2028 Term Loans outstanding decreased to 3.82898%.</w:t>
      </w:r>
    </w:p>
    <w:p>
      <w:pPr>
        <w:spacing w:after="0" w:line="13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At the inception of these instruments, the Company designated both the 2018 Swaps and the 2022 Swaps (collectively referred to as the “Swaps”) as cash flow hedges. As of December 31, 2023 the Company recorded a derivative asset with a fair value of $35.5 million comprised only of the 2022 Swaps as the 2018 Swaps were settled in early 2023, as noted above. The balance in the derivative asset as of December 31, 2022 was $60.6 million, which included both of the Swaps.</w:t>
      </w:r>
    </w:p>
    <w:p>
      <w:pPr>
        <w:spacing w:after="0" w:line="112"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domestic and foreign components of income before provision for income taxes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60" w:type="dxa"/>
            <w:vAlign w:val="bottom"/>
            <w:gridSpan w:val="10"/>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223,438</w:t>
            </w:r>
          </w:p>
        </w:tc>
        <w:tc>
          <w:tcPr>
            <w:tcW w:w="20" w:type="dxa"/>
            <w:vAlign w:val="bottom"/>
          </w:tcPr>
          <w:p>
            <w:pPr>
              <w:spacing w:after="0"/>
              <w:rPr>
                <w:sz w:val="19"/>
                <w:szCs w:val="19"/>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20" w:type="dxa"/>
            <w:vAlign w:val="bottom"/>
          </w:tcPr>
          <w:p>
            <w:pPr>
              <w:spacing w:after="0"/>
              <w:rPr>
                <w:sz w:val="19"/>
                <w:szCs w:val="19"/>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269,715</w:t>
            </w:r>
          </w:p>
        </w:tc>
        <w:tc>
          <w:tcPr>
            <w:tcW w:w="20" w:type="dxa"/>
            <w:vAlign w:val="bottom"/>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74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 except percentages):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gridSpan w:val="10"/>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64,164</w:t>
            </w:r>
          </w:p>
        </w:tc>
        <w:tc>
          <w:tcPr>
            <w:tcW w:w="60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20" w:type="dxa"/>
            <w:vAlign w:val="bottom"/>
          </w:tcPr>
          <w:p>
            <w:pPr>
              <w:spacing w:after="0"/>
              <w:rPr>
                <w:sz w:val="19"/>
                <w:szCs w:val="19"/>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0" w:type="dxa"/>
            <w:vAlign w:val="bottom"/>
            <w:shd w:val="clear" w:color="auto" w:fill="CCEEFF"/>
          </w:tcPr>
          <w:p>
            <w:pPr>
              <w:spacing w:after="0"/>
              <w:rPr>
                <w:sz w:val="19"/>
                <w:szCs w:val="19"/>
                <w:color w:val="auto"/>
              </w:rPr>
            </w:pPr>
          </w:p>
        </w:tc>
      </w:tr>
      <w:tr>
        <w:trPr>
          <w:trHeight w:val="229"/>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 w:type="dxa"/>
            <w:vAlign w:val="bottom"/>
            <w:tcBorders>
              <w:bottom w:val="single" w:sz="8" w:color="auto"/>
            </w:tcBorders>
          </w:tcPr>
          <w:p>
            <w:pPr>
              <w:spacing w:after="0"/>
              <w:rPr>
                <w:sz w:val="19"/>
                <w:szCs w:val="19"/>
                <w:color w:val="auto"/>
              </w:rPr>
            </w:pPr>
          </w:p>
        </w:tc>
      </w:tr>
      <w:tr>
        <w:trPr>
          <w:trHeight w:val="223"/>
        </w:trPr>
        <w:tc>
          <w:tcPr>
            <w:tcW w:w="5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 w:type="dxa"/>
            <w:vAlign w:val="bottom"/>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(4,777)</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Borders>
              <w:bottom w:val="single" w:sz="8" w:color="auto"/>
            </w:tcBorders>
          </w:tcPr>
          <w:p>
            <w:pPr>
              <w:spacing w:after="0"/>
              <w:rPr>
                <w:sz w:val="19"/>
                <w:szCs w:val="19"/>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r>
    </w:tbl>
    <w:p>
      <w:pPr>
        <w:spacing w:after="0" w:line="130"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varied from the amount computed using the statutory federal income tax rate of 21%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6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at U.S. statutory rate</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56,640</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 interest and penalties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expired</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valuation allowance benefits recognized in 2023 are predominantly the result of cumulative profitable earnings at certain US entities with historic State operating losses. As of December 31, 2023, management determined that there is sufficient positive evidence to conclude that it is more likely than not that additional deferred taxes associated with these State net operating losses are realizable. Therefore, the valuation allowance was reduced accordingly.</w:t>
      </w:r>
    </w:p>
    <w:p>
      <w:pPr>
        <w:spacing w:after="0" w:line="112"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The valuation allowance benefits recognized in 2022 were the result of cumulative profitable earnings at certain Canadian entities with historic operating losses. The 2022 earnings were sufficient to utilize substantially all of the net operating losses, and as of December 31, 2022, the Company released any remaining valuation allowances associated with these entities, which were nominal.</w:t>
      </w:r>
    </w:p>
    <w:p>
      <w:pPr>
        <w:spacing w:after="0" w:line="9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valuation allowance benefits recognized in 2021 were predominately related to taxable earnings in certain Canadian entities that benefited from amounts received under the Canada Emergency Wage Subsidiary. In addition, foreign tax credits</w:t>
      </w: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that expired in the period presented had full valuation allowances which were also written off, contributing to the valuation allowance benefits in the table above. The foreign tax credit expirations and associated valuation allowance write-offs had no net impact to the provision for income taxes in any year.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total net deferred tax assets and liabilities as of December 31, 2023 and 2022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Closure, post-closure and remedial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42,255</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r>
      <w:tr>
        <w:trPr>
          <w:trHeight w:val="229"/>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operating loss carryforwards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41,585</w:t>
            </w:r>
          </w:p>
        </w:tc>
      </w:tr>
      <w:tr>
        <w:trPr>
          <w:trHeight w:val="229"/>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Tax credit carryforwards</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187,081</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(284,997)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(281,131)</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(41,939)</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(17,587)</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(130,391)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(132,681)</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(483,920)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(485,426)</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liability before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(310,357)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(298,345)</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r>
      <w:tr>
        <w:trPr>
          <w:trHeight w:val="248"/>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(345,629)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300" w:hanging="328"/>
        <w:spacing w:after="0" w:line="250"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net operating loss carryforwards included (i) state net operating loss carryforwards of $229.9 million which will begin to expire in 2024, (ii) federal net operating loss carryforwards of $26.6 million which will begin to expire in 2024 and (iii) foreign net operating loss carryforwards of $83.2 million which will begin to expire in 2024.</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foreign tax credit carryforwards of $4.4 million will begin to expire in 2024.</w:t>
      </w:r>
    </w:p>
    <w:p>
      <w:pPr>
        <w:spacing w:after="0" w:line="12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previously recognized the U.S. federal income taxes related to the operations in Canada and has not accrued for any remaining undistributed foreign earnings. These amounts continue to be indefinitely reinvested. The amount of tax associated with those unrepatriated earnings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2023 and 2022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related to:</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of a Canadian subsidiary</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capital losses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valuation allowance</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foreign jurisdictions. The Company may be subject to examination by the Internal Revenue Service for calendar years 2018 through 2022. The Company may be subject to examination by Canadian federal and provincial authorities for calendar years 2016 through 2022 and by state and local revenue authorities for calendar years 2017 through 2022. The Company has ongoing U.S., state and local jurisdictional audits, as well as Canadian federal and provincial audits, all of which the Company believes will not result in material liabilities. The Company has not identified any material uncertain tax positions in the periods presented.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for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203,247</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basic shares outstanding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54,514</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equity-based compensation awards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dilutive shares outstanding</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Company included all outstanding performance awards and restricted stock awards in the calculation of diluted earnings per share except for as shown in the table below:</w:t>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9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67,981</w:t>
            </w:r>
          </w:p>
        </w:tc>
      </w:tr>
      <w:tr>
        <w:trPr>
          <w:trHeight w:val="184"/>
        </w:trPr>
        <w:tc>
          <w:tcPr>
            <w:tcW w:w="7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stock awards for which performance criteria was not attained at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reporting date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4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December 5, 2023, the Board of Directors of Clean Harbors authorized a $500.0 million expansion of the Company’s current share repurchase program resulting in $554.1 million available at December 31, 2023.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repurchased and retired a total of 0.3 million, 0.5 million and 0.6 million shares, respectively, of the Company's common stock for total costs of $51.2 million, $50.2 million and $54.4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6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years ended December 31, 2023, 2022 and 2021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2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Pension</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amounts realized in the consolidated statements of operations during the years ended December 31, 2023, 2022 and 2021 which were reclassified out of accumulated other comprehensive loss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Other Comprehensive Loss Component</w:t>
            </w: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Gain on Fair Value of Interest Rate</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Hedges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7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683 $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0" w:type="dxa"/>
            <w:vAlign w:val="bottom"/>
            <w:shd w:val="clear" w:color="auto" w:fill="CCEEFF"/>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480" w:hanging="328"/>
        <w:spacing w:after="0" w:line="260" w:lineRule="auto"/>
        <w:tabs>
          <w:tab w:leader="none" w:pos="5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balance is inclusive of an $8.3 million gain realized in connection with the settlement of the 2018 Swaps. For more information on this transaction, see Note 12, "Financing Arrangements."</w:t>
      </w:r>
    </w:p>
    <w:p>
      <w:pPr>
        <w:spacing w:after="0" w:line="10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2020, the Company's shareholders approved the Clean Harbors, Inc. 2020 Stock Incentive Plan (the "2020 Plan").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and Human Capital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grants restricted stock awards and performance stock awards. The restricted stock awards generally vest over three to five years subject to continued employment. The performance stock awards vest depending on the satisfaction of certain performance conditions typically based on revenue, Adjusted EBITDA margin, return on invested capital and a measure of workplace safety. In addition, performance stock awards include continued service conditions subsequent to the attainment of any performance conditions.</w:t>
      </w:r>
    </w:p>
    <w:p>
      <w:pPr>
        <w:spacing w:after="0" w:line="9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recognized for the years ended December 31, 2023, 2022 and 2021 was $20.7 million, $26.8 million and $18.8 million, respectively. The total income tax benefit recognized in the consolidated statements of operations from stock-based compensation expense was $3.5 million, $5.0 million and $3.5 million for the years ended December 31, 2023,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year ended December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80" w:type="dxa"/>
            <w:vAlign w:val="bottom"/>
            <w:gridSpan w:val="2"/>
            <w:vMerge w:val="continue"/>
          </w:tcPr>
          <w:p>
            <w:pPr>
              <w:spacing w:after="0"/>
              <w:rPr>
                <w:sz w:val="16"/>
                <w:szCs w:val="16"/>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$34.5 million of total unrecognized compensation cost arising from restricted stock awards. This cost is expected to be recognized over a weighted average period of 2.9 years. The total fair value of restricted stock vested during 2023, 2022 and 2021 was $26.5 million, $16.4 million and $17.7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vesting of the performance stock awards is based on achieving targets currently based on revenue, Adjusted EBITDA Margin, Return on Invested Capital and Total Recordable Incident Rate. In addition, performance stock awards include continued service conditions.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year ended December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7620" w:type="dxa"/>
            <w:vAlign w:val="bottom"/>
            <w:gridSpan w:val="2"/>
            <w:vMerge w:val="continue"/>
          </w:tcPr>
          <w:p>
            <w:pPr>
              <w:spacing w:after="0"/>
              <w:rPr>
                <w:sz w:val="17"/>
                <w:szCs w:val="17"/>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$3.3 million of total unrecognized compensation cost arising from unvested performance stock awards deemed probable of vesting. The total fair value of performance awards vested during 2023, 2022 and 2021 was $17.0 million, $11.1 million and $15.0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4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At December 31, 2023 and 2022, the Company had recorded reserves of $32.4 million and $37.1 million, respectively, for actual or probable liabilities related to the legal and administrative proceedings in which the Company was then involved, the principal of which are described below. As of December 31, 2023 and 2022, the $32.4 million and $37.1 million, respectively, of reserves consisted of (i) $25.0 million and $24.1 million, respectively, related to pending legal or administrative proceedings, including Superfund liabilities, which were included in remedial liabilities on the consolidated balance sheets, and (ii) $7.4 million and $13.0 million, respectively, primarily related to federal, state and provincial enforcement actions, which were included in accrued expenses on the consolidated balance sheets.</w:t>
      </w:r>
    </w:p>
    <w:p>
      <w:pPr>
        <w:spacing w:after="0" w:line="12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62"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legal and administrative proceedings in which the Company was involved, or which had been terminated during 2023, relate to Safety-Kleen product liability cases and Superfund proceedings.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 named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defendant in certain product liability cases that are currently pending in various courts and jurisdictions throughout the United States.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there were approximately 70 proceedings (excluding cases which have been settled but not formally dismissed) wherein persons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injury resulting from the use of Safety-Kleen's parts cleaning equipment or cleaning products. These proceedings typically involve allegations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solvent used in Safety-Kleen's parts cleaning equipment contains contaminants and/or that Safety-Kleen's recycling process does not effectively remove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contaminants that become entrained in the solvent during their use. In addition, certain claimants assert that Safety-Kleen failed to warn adequately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user of potential risks, including a historic failure to warn that solvent contains trace amounts of toxic or hazardous substances such as benzene.</w:t>
      </w:r>
    </w:p>
    <w:p>
      <w:pPr>
        <w:spacing w:after="0" w:line="12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2023. From January 1, 2023 to December 31, 2023, 24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(which, since December 28, 2012, has included Safety-Kleen)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owners of certain of the Company's facilities for which the Company may have certain indemnification obligations have been identified as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13 are currently requiring expenditures on remediation and 82 are not currently requiring expenditures on remediation.</w:t>
      </w:r>
    </w:p>
    <w:p>
      <w:pPr>
        <w:spacing w:after="0" w:line="10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Of the 125 third-party sites at which the Company has been notified it is a PRP or potential PRP or may have indemnification obligations, the Company has indemnification agreements at a total of 17 sites.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December 31, 2023, there were no proceedings for which the Company believes it is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62"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9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Provisions for losses expected under these programs are recorded based upon the Company's estimates of the aggregate liability for claims. The current deductible per participant per year for the employee medical insurance policy is $0.9 million. The current deductible per occurrence for workers' compensation is $1.0 million, general liability is $2.0 million and vehicle liability is $2.0 million. The retention per claim for the environmental impairment policy is $1.0 million. At December 31, 2023 and 2022, the Company had accrued $82.7 million and $74.9 million, respectively, for its self-insurance liabilities (exclusive of employee medical insurance) using a risk-free discount rate of 4.86% and 4.36%,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Anticipated payments for contingencies related to workers' compensation, comprehensive general liability and vehicle liability related claims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for each of the next five years and thereafter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19,675</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r>
      <w:tr>
        <w:trPr>
          <w:trHeight w:val="229"/>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23"/>
        </w:trPr>
        <w:tc>
          <w:tcPr>
            <w:tcW w:w="2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self-insurance liabilities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93,370</w:t>
            </w:r>
          </w:p>
        </w:tc>
      </w:tr>
      <w:tr>
        <w:trPr>
          <w:trHeight w:val="229"/>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self-insurance liabilities (included in accrued expenses and other current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LEASES</w:t>
      </w:r>
    </w:p>
    <w:p>
      <w:pPr>
        <w:spacing w:after="0" w:line="14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vehicles, rail cars and certain real estate. The following table presents the Company's finance lease balances and their classification on the consolidated balance sheets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 Balances (Classification)</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(Property, plant and equipment, net)</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126,292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96,207</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 (Accrued expenses and other current 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 (Other long-term liabilities)</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86,390</w:t>
            </w:r>
          </w:p>
        </w:tc>
        <w:tc>
          <w:tcPr>
            <w:tcW w:w="0" w:type="dxa"/>
            <w:vAlign w:val="bottom"/>
          </w:tcPr>
          <w:p>
            <w:pPr>
              <w:spacing w:after="0"/>
              <w:rPr>
                <w:sz w:val="1"/>
                <w:szCs w:val="1"/>
                <w:color w:val="auto"/>
              </w:rPr>
            </w:pPr>
          </w:p>
        </w:tc>
      </w:tr>
      <w:tr>
        <w:trPr>
          <w:trHeight w:val="446"/>
        </w:trPr>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lease expense was as follows (in thousands):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5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2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167,379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1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262,656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238,380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168,771</w:t>
            </w:r>
          </w:p>
        </w:tc>
        <w:tc>
          <w:tcPr>
            <w:tcW w:w="0" w:type="dxa"/>
            <w:vAlign w:val="bottom"/>
          </w:tcPr>
          <w:p>
            <w:pPr>
              <w:spacing w:after="0"/>
              <w:rPr>
                <w:sz w:val="1"/>
                <w:szCs w:val="1"/>
                <w:color w:val="auto"/>
              </w:rPr>
            </w:pPr>
          </w:p>
        </w:tc>
      </w:tr>
      <w:tr>
        <w:trPr>
          <w:trHeight w:val="21"/>
        </w:trPr>
        <w:tc>
          <w:tcPr>
            <w:tcW w:w="55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(years)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5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60" w:type="dxa"/>
            <w:vAlign w:val="bottom"/>
            <w:tcBorders>
              <w:bottom w:val="single" w:sz="8" w:color="auto"/>
            </w:tcBorders>
          </w:tcPr>
          <w:p>
            <w:pPr>
              <w:spacing w:after="0"/>
              <w:rPr>
                <w:sz w:val="18"/>
                <w:szCs w:val="18"/>
                <w:color w:val="auto"/>
              </w:rPr>
            </w:pPr>
          </w:p>
        </w:tc>
      </w:tr>
      <w:tr>
        <w:trPr>
          <w:trHeight w:val="21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Related Disclosures (in thousands)</w:t>
            </w:r>
          </w:p>
        </w:tc>
        <w:tc>
          <w:tcPr>
            <w:tcW w:w="38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related to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50,963</w:t>
            </w:r>
          </w:p>
        </w:tc>
      </w:tr>
      <w:tr>
        <w:trPr>
          <w:trHeight w:val="229"/>
        </w:trPr>
        <w:tc>
          <w:tcPr>
            <w:tcW w:w="6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30"/>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55,556</w:t>
            </w: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finance lease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w:t>
            </w:r>
          </w:p>
        </w:tc>
      </w:tr>
    </w:tbl>
    <w:p>
      <w:pPr>
        <w:spacing w:after="0" w:line="30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2023, the Company's future lease payments under non-cancelable leases that have lease terms in excess of one year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1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7"/>
                <w:szCs w:val="17"/>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23,017</w:t>
            </w:r>
          </w:p>
        </w:tc>
      </w:tr>
      <w:tr>
        <w:trPr>
          <w:trHeight w:val="23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w:t>
            </w: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41,681</w:t>
            </w: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153,486</w:t>
            </w: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162"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9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for the years ended December 31, 2023, 2022 and 2021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938,796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(41,533)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897,263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(income) expense, net. Transactions between the segments are accounted for at the Company’s best estimate based on similar transactions with outside customers.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953,053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659,718</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227,354</w:t>
            </w:r>
          </w:p>
        </w:tc>
      </w:tr>
      <w:tr>
        <w:trPr>
          <w:trHeight w:val="23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(210,466)</w:t>
            </w: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676,606</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298,135</w:t>
            </w:r>
          </w:p>
        </w:tc>
      </w:tr>
      <w:tr>
        <w:trPr>
          <w:trHeight w:val="223"/>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347,887</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77,657</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assets by reported segment and in the aggregate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1,467,641</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398,660</w:t>
            </w: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114,001</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1,980,302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1,071,846</w:t>
            </w: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462,050</w:t>
            </w:r>
          </w:p>
        </w:tc>
      </w:tr>
      <w:tr>
        <w:trPr>
          <w:trHeight w:val="22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1,533,896</w:t>
            </w:r>
          </w:p>
        </w:tc>
      </w:tr>
      <w:tr>
        <w:trPr>
          <w:trHeight w:val="196"/>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175,032</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158,732</w:t>
            </w:r>
          </w:p>
        </w:tc>
      </w:tr>
      <w:tr>
        <w:trPr>
          <w:trHeight w:val="223"/>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Safety-Kleen Sustainability Solutions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333,764</w:t>
            </w:r>
          </w:p>
        </w:tc>
      </w:tr>
      <w:tr>
        <w:trPr>
          <w:trHeight w:val="196"/>
        </w:trPr>
        <w:tc>
          <w:tcPr>
            <w:tcW w:w="7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1,890,533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1,867,660</w:t>
            </w:r>
          </w:p>
        </w:tc>
      </w:tr>
      <w:tr>
        <w:trPr>
          <w:trHeight w:val="21"/>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62"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property, plant and equipment, net of depreciation and amortization and permits and other intangible assets, net of amortization in the following geographic locations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1,972,221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89.1 %</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and other 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1,980,302</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Permits and other intangibles,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570,049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5,595,255</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 and other foreign</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534,452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6,129,707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2" w:name="page93"/>
    <w:bookmarkEnd w:id="9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Annual Report on Form 10-K, our Co-Chief Executive Officers and Chief Financial Officer have concluded that our disclosure controls and procedures (as defined under Rule 13a-15(e) and 15d-15(e) under the Securities Exchange Act of 1934, as amended (the “Exchange Act”)) were effective as of December 31, 2023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Co-Chief Executive Officers and Chief Financial Officer, the Company conducted an evaluation of its internal control over financial reporting based on the framework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evaluated the effectiveness of Clean Harbors' internal control over financial reporting as of December 31, 2023. Based on their evaluation under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the Company's management concluded that the Company maintained effective internal control over financial reporting as of December 31, 2023 based on the criteria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2023, which is included below in this Item 9A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720" w:firstLine="8"/>
        <w:spacing w:after="0" w:line="26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was conducted during the quarter ended December 31, 2023 that have materially affected, or are reasonably likely to materially affect, the Company’s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Company's management, including the Co-Chief Executive Officers and Chief Financial Officer, does not expect that the Company's disclosure controls and procedures or the Company's internal control over financial reporting will prevent all errors and all fraud.</w:t>
      </w:r>
    </w:p>
    <w:p>
      <w:pPr>
        <w:spacing w:after="0" w:line="5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3" w:name="page94"/>
    <w:bookmarkEnd w:id="93"/>
    <w:p>
      <w:pPr>
        <w:ind w:right="250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Clean Harbors,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Clean Harbors,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21, 2024 expressed an unqualified opinion on those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4" w:name="page95"/>
    <w:bookmarkEnd w:id="9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no director or “officer” (as defined in Rule 16a-1(f)) of Clean Harbors, Inc. adopted or terminated a “Rule 10b5-1 trading arrangement” or “non-Rule 10b5-1 trading arrangement,” as each term is defined in Item 408(a) of Regulation S-K.</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2024 annual meeting of shareholders, which definitive proxy statement will be filed with the Securities and Exchange Commission by April 11, 2024.</w:t>
      </w:r>
    </w:p>
    <w:p>
      <w:pPr>
        <w:spacing w:after="0" w:line="12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2024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9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2024 annual meeting of shareholders, the following table includes information as of December 31, 2023 regarding shares of common stock authorized for issuance under the Company's equity compensation plan. The Company's shareholders approved the plan in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6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6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Equity compensation plan approved by security holders</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1,355,049</w:t>
            </w:r>
          </w:p>
        </w:tc>
        <w:tc>
          <w:tcPr>
            <w:tcW w:w="0" w:type="dxa"/>
            <w:vAlign w:val="bottom"/>
          </w:tcPr>
          <w:p>
            <w:pPr>
              <w:spacing w:after="0"/>
              <w:rPr>
                <w:sz w:val="1"/>
                <w:szCs w:val="1"/>
                <w:color w:val="auto"/>
              </w:rPr>
            </w:pPr>
          </w:p>
        </w:tc>
      </w:tr>
      <w:tr>
        <w:trPr>
          <w:trHeight w:val="297"/>
        </w:trPr>
        <w:tc>
          <w:tcPr>
            <w:tcW w:w="540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 w:hanging="328"/>
        <w:spacing w:after="0" w:line="253"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2020 Stock Incentive Plan under which there were no outstanding options but 1,355,049 shares were available for grant of stock options, stock appreciation rights, restricted stock, restricted stock units and certain other stock-based awards as of December 31, 2023. See Note 17, "Stock-Based Compensation," to the Company's consolidated financial statements included in Item 8, "Financial Statements and Supplementary Data," in this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5" w:name="page96"/>
    <w:bookmarkEnd w:id="9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a Part of this Report</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73"/>
              </w:rPr>
              <w:t>1.</w:t>
            </w:r>
          </w:p>
        </w:tc>
        <w:tc>
          <w:tcPr>
            <w:tcW w:w="78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vMerge w:val="continue"/>
          </w:tcPr>
          <w:p>
            <w:pPr>
              <w:spacing w:after="0"/>
              <w:rPr>
                <w:sz w:val="21"/>
                <w:szCs w:val="21"/>
                <w:color w:val="auto"/>
              </w:rPr>
            </w:pPr>
          </w:p>
        </w:tc>
        <w:tc>
          <w:tcPr>
            <w:tcW w:w="7840" w:type="dxa"/>
            <w:vAlign w:val="bottom"/>
            <w:gridSpan w:val="7"/>
            <w:vMerge w:val="continue"/>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3180" w:type="dxa"/>
            <w:vAlign w:val="bottom"/>
            <w:gridSpan w:val="4"/>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Years Ended December 31, 2023</w:t>
            </w:r>
          </w:p>
        </w:tc>
        <w:tc>
          <w:tcPr>
            <w:tcW w:w="1620" w:type="dxa"/>
            <w:vAlign w:val="bottom"/>
            <w:gridSpan w:val="3"/>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Years Ended December 31, 2023</w:t>
            </w: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Years Ended December 31, 2023</w:t>
            </w:r>
          </w:p>
        </w:tc>
        <w:tc>
          <w:tcPr>
            <w:tcW w:w="9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Years Ended December 31, 2023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financial statements or notes thereto.</w:t>
      </w:r>
    </w:p>
    <w:p>
      <w:pPr>
        <w:spacing w:after="0" w:line="175" w:lineRule="exact"/>
        <w:rPr>
          <w:sz w:val="20"/>
          <w:szCs w:val="20"/>
          <w:color w:val="auto"/>
        </w:rPr>
      </w:pPr>
    </w:p>
    <w:p>
      <w:pPr>
        <w:ind w:left="560" w:hanging="350"/>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 on February 21, 2024.</w:t>
      </w:r>
    </w:p>
    <w:p>
      <w:pPr>
        <w:spacing w:after="0" w:line="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158"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 MICHAEL L. BATTLES</w:t>
            </w: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 ERIC W. GERSTENBERG</w:t>
            </w:r>
          </w:p>
        </w:tc>
      </w:tr>
      <w:tr>
        <w:trPr>
          <w:trHeight w:val="169"/>
        </w:trPr>
        <w:tc>
          <w:tcPr>
            <w:tcW w:w="380" w:type="dxa"/>
            <w:vAlign w:val="bottom"/>
          </w:tcPr>
          <w:p>
            <w:pPr>
              <w:spacing w:after="0"/>
              <w:rPr>
                <w:sz w:val="14"/>
                <w:szCs w:val="14"/>
                <w:color w:val="auto"/>
              </w:rPr>
            </w:pPr>
          </w:p>
        </w:tc>
        <w:tc>
          <w:tcPr>
            <w:tcW w:w="3260" w:type="dxa"/>
            <w:vAlign w:val="bottom"/>
          </w:tcPr>
          <w:p>
            <w:pPr>
              <w:ind w:left="400"/>
              <w:spacing w:after="0" w:line="169" w:lineRule="exact"/>
              <w:rPr>
                <w:sz w:val="20"/>
                <w:szCs w:val="20"/>
                <w:color w:val="auto"/>
              </w:rPr>
            </w:pPr>
            <w:r>
              <w:rPr>
                <w:rFonts w:ascii="Times New Roman" w:cs="Times New Roman" w:eastAsia="Times New Roman" w:hAnsi="Times New Roman"/>
                <w:sz w:val="18"/>
                <w:szCs w:val="18"/>
                <w:color w:val="auto"/>
              </w:rPr>
              <w:t>Michael L. Battles</w:t>
            </w:r>
          </w:p>
        </w:tc>
        <w:tc>
          <w:tcPr>
            <w:tcW w:w="680" w:type="dxa"/>
            <w:vAlign w:val="bottom"/>
          </w:tcPr>
          <w:p>
            <w:pPr>
              <w:spacing w:after="0"/>
              <w:rPr>
                <w:sz w:val="14"/>
                <w:szCs w:val="14"/>
                <w:color w:val="auto"/>
              </w:rPr>
            </w:pPr>
          </w:p>
        </w:tc>
        <w:tc>
          <w:tcPr>
            <w:tcW w:w="3400" w:type="dxa"/>
            <w:vAlign w:val="bottom"/>
          </w:tcPr>
          <w:p>
            <w:pPr>
              <w:ind w:left="420"/>
              <w:spacing w:after="0" w:line="169" w:lineRule="exact"/>
              <w:rPr>
                <w:sz w:val="20"/>
                <w:szCs w:val="20"/>
                <w:color w:val="auto"/>
              </w:rPr>
            </w:pPr>
            <w:r>
              <w:rPr>
                <w:rFonts w:ascii="Times New Roman" w:cs="Times New Roman" w:eastAsia="Times New Roman" w:hAnsi="Times New Roman"/>
                <w:sz w:val="18"/>
                <w:szCs w:val="18"/>
                <w:color w:val="auto"/>
              </w:rPr>
              <w:t>Eric W. Gerstenberg</w:t>
            </w:r>
          </w:p>
        </w:tc>
      </w:tr>
      <w:tr>
        <w:trPr>
          <w:trHeight w:val="176"/>
        </w:trPr>
        <w:tc>
          <w:tcPr>
            <w:tcW w:w="380" w:type="dxa"/>
            <w:vAlign w:val="bottom"/>
          </w:tcPr>
          <w:p>
            <w:pPr>
              <w:spacing w:after="0"/>
              <w:rPr>
                <w:sz w:val="15"/>
                <w:szCs w:val="15"/>
                <w:color w:val="auto"/>
              </w:rPr>
            </w:pPr>
          </w:p>
        </w:tc>
        <w:tc>
          <w:tcPr>
            <w:tcW w:w="3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i w:val="1"/>
                <w:iCs w:val="1"/>
                <w:color w:val="auto"/>
              </w:rPr>
              <w:t>Co-Chief Executive Officer and Co-</w:t>
            </w:r>
          </w:p>
        </w:tc>
        <w:tc>
          <w:tcPr>
            <w:tcW w:w="680" w:type="dxa"/>
            <w:vAlign w:val="bottom"/>
          </w:tcPr>
          <w:p>
            <w:pPr>
              <w:spacing w:after="0"/>
              <w:rPr>
                <w:sz w:val="15"/>
                <w:szCs w:val="15"/>
                <w:color w:val="auto"/>
              </w:rPr>
            </w:pPr>
          </w:p>
        </w:tc>
        <w:tc>
          <w:tcPr>
            <w:tcW w:w="34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Co-Chief Executive Officer and Co-</w:t>
            </w:r>
          </w:p>
        </w:tc>
      </w:tr>
      <w:tr>
        <w:trPr>
          <w:trHeight w:val="236"/>
        </w:trPr>
        <w:tc>
          <w:tcPr>
            <w:tcW w:w="380" w:type="dxa"/>
            <w:vAlign w:val="bottom"/>
          </w:tcPr>
          <w:p>
            <w:pPr>
              <w:spacing w:after="0"/>
              <w:rPr>
                <w:sz w:val="20"/>
                <w:szCs w:val="20"/>
                <w:color w:val="auto"/>
              </w:rPr>
            </w:pPr>
          </w:p>
        </w:tc>
        <w:tc>
          <w:tcPr>
            <w:tcW w:w="326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680" w:type="dxa"/>
            <w:vAlign w:val="bottom"/>
          </w:tcPr>
          <w:p>
            <w:pPr>
              <w:spacing w:after="0"/>
              <w:rPr>
                <w:sz w:val="20"/>
                <w:szCs w:val="20"/>
                <w:color w:val="auto"/>
              </w:rPr>
            </w:pPr>
          </w:p>
        </w:tc>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President</w:t>
            </w:r>
          </w:p>
        </w:tc>
      </w:tr>
    </w:tbl>
    <w:p>
      <w:pPr>
        <w:spacing w:after="0" w:line="21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88" w:lineRule="exact"/>
        <w:rPr>
          <w:sz w:val="20"/>
          <w:szCs w:val="20"/>
          <w:color w:val="auto"/>
        </w:rPr>
      </w:pPr>
    </w:p>
    <w:p>
      <w:pPr>
        <w:ind w:left="1200"/>
        <w:spacing w:after="0"/>
        <w:tabs>
          <w:tab w:leader="none" w:pos="4960" w:val="left"/>
          <w:tab w:leader="none" w:pos="83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Co-Chief Executive Officer and Co-President</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Michael L. Battles</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100" w:type="dxa"/>
            <w:vAlign w:val="bottom"/>
            <w:vMerge w:val="continue"/>
          </w:tcPr>
          <w:p>
            <w:pPr>
              <w:spacing w:after="0"/>
              <w:rPr>
                <w:sz w:val="5"/>
                <w:szCs w:val="5"/>
                <w:color w:val="auto"/>
              </w:rPr>
            </w:pPr>
          </w:p>
        </w:tc>
        <w:tc>
          <w:tcPr>
            <w:tcW w:w="4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W. GERSTENBERG</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Co-Chief Executive Officer and Co-President</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Eric W. Gerstenberg</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46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J. DUGAS</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Eric J. Dugas</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46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Founder, Executive Chairman and Chief Technology Officer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Alan S. McKim</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G. Galante</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Karyn Polito</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8"/>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T. Preston</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Alison Quirk</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Marcy L. Reed</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Andrea Robertson</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Lauren C. States</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8"/>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Shelley Stewart, Jr.</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R. Welch</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21, 2024</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Robert Willett</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440" w:type="dxa"/>
        <w:tblCellMar>
          <w:top w:w="0" w:type="dxa"/>
          <w:left w:w="0" w:type="dxa"/>
          <w:bottom w:w="0" w:type="dxa"/>
          <w:right w:w="0" w:type="dxa"/>
        </w:tblCellMar>
      </w:tblPr>
      <w:tr>
        <w:trPr>
          <w:trHeight w:val="25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W. GERSTENBERG</w:t>
            </w:r>
          </w:p>
        </w:tc>
      </w:tr>
      <w:tr>
        <w:trPr>
          <w:trHeight w:val="186"/>
        </w:trPr>
        <w:tc>
          <w:tcPr>
            <w:tcW w:w="76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L. Battles</w:t>
            </w:r>
          </w:p>
        </w:tc>
        <w:tc>
          <w:tcPr>
            <w:tcW w:w="118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Eric W. Gerstenberg</w:t>
            </w:r>
          </w:p>
        </w:tc>
      </w:tr>
      <w:tr>
        <w:trPr>
          <w:trHeight w:val="212"/>
        </w:trPr>
        <w:tc>
          <w:tcPr>
            <w:tcW w:w="76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Attorney-in-Fact</w:t>
            </w:r>
          </w:p>
        </w:tc>
        <w:tc>
          <w:tcPr>
            <w:tcW w:w="11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Attorney-in-Fact</w:t>
            </w: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97" w:name="page98"/>
    <w:bookmarkEnd w:id="97"/>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14"/>
          <w:szCs w:val="14"/>
          <w:b w:val="1"/>
          <w:bCs w:val="1"/>
          <w:color w:val="auto"/>
        </w:rPr>
        <w:t>Item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ind w:left="90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2.6</w:t>
      </w:r>
      <w:r>
        <w:rPr>
          <w:sz w:val="20"/>
          <w:szCs w:val="20"/>
          <w:color w:val="auto"/>
        </w:rPr>
        <w:tab/>
      </w:r>
      <w:hyperlink r:id="rId126">
        <w:r>
          <w:rPr>
            <w:rFonts w:ascii="Times New Roman" w:cs="Times New Roman" w:eastAsia="Times New Roman" w:hAnsi="Times New Roman"/>
            <w:sz w:val="18"/>
            <w:szCs w:val="18"/>
            <w:u w:val="single" w:color="auto"/>
            <w:color w:val="0000FF"/>
          </w:rPr>
          <w:t>Agreement and Plan of Merger dated as of October 26, 2012 among Safety-Kleen, Inc., Clean</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Harbors, Inc., and CH Merger Sub,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-255905</wp:posOffset>
            </wp:positionV>
            <wp:extent cx="43205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3" w:lineRule="exact"/>
        <w:rPr>
          <w:sz w:val="20"/>
          <w:szCs w:val="20"/>
          <w:color w:val="auto"/>
        </w:rPr>
      </w:pPr>
    </w:p>
    <w:p>
      <w:pPr>
        <w:ind w:left="900" w:right="10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2.7</w:t>
      </w:r>
      <w:r>
        <w:rPr>
          <w:sz w:val="20"/>
          <w:szCs w:val="20"/>
          <w:color w:val="auto"/>
        </w:rPr>
        <w:tab/>
      </w:r>
      <w:hyperlink r:id="rId128">
        <w:r>
          <w:rPr>
            <w:rFonts w:ascii="Times New Roman" w:cs="Times New Roman" w:eastAsia="Times New Roman" w:hAnsi="Times New Roman"/>
            <w:sz w:val="18"/>
            <w:szCs w:val="18"/>
            <w:u w:val="single" w:color="auto"/>
            <w:color w:val="0000FF"/>
          </w:rPr>
          <w:t>Stock Purchase Agreement by and among Clean Harbors, Inc., LJ Energy Services Holdings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LLC, and LJ Energy Services Intermediate Holding Corp. dated August 3, 2021</w:t>
        </w:r>
      </w:hyperlink>
    </w:p>
    <w:p>
      <w:pPr>
        <w:spacing w:after="0" w:line="10" w:lineRule="exact"/>
        <w:rPr>
          <w:sz w:val="20"/>
          <w:szCs w:val="20"/>
          <w:color w:val="auto"/>
        </w:rPr>
      </w:pPr>
    </w:p>
    <w:p>
      <w:pPr>
        <w:ind w:left="34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129">
        <w:r>
          <w:rPr>
            <w:rFonts w:ascii="Times New Roman" w:cs="Times New Roman" w:eastAsia="Times New Roman" w:hAnsi="Times New Roman"/>
            <w:sz w:val="17"/>
            <w:szCs w:val="17"/>
            <w:u w:val="single" w:color="auto"/>
            <w:color w:val="0000FF"/>
          </w:rPr>
          <w:t>Restated Articles of Organization of Clean Harbors, Inc.</w:t>
        </w:r>
      </w:hyperlink>
    </w:p>
    <w:p>
      <w:pPr>
        <w:spacing w:after="0" w:line="63" w:lineRule="exact"/>
        <w:rPr>
          <w:sz w:val="20"/>
          <w:szCs w:val="20"/>
          <w:color w:val="auto"/>
        </w:rPr>
      </w:pPr>
    </w:p>
    <w:p>
      <w:pPr>
        <w:ind w:left="900" w:right="360" w:hanging="55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3.1B</w:t>
      </w:r>
      <w:r>
        <w:rPr>
          <w:sz w:val="20"/>
          <w:szCs w:val="20"/>
          <w:color w:val="auto"/>
        </w:rPr>
        <w:tab/>
      </w:r>
      <w:hyperlink r:id="rId130">
        <w:r>
          <w:rPr>
            <w:rFonts w:ascii="Times New Roman" w:cs="Times New Roman" w:eastAsia="Times New Roman" w:hAnsi="Times New Roman"/>
            <w:sz w:val="18"/>
            <w:szCs w:val="18"/>
            <w:u w:val="single" w:color="auto"/>
            <w:color w:val="0000FF"/>
          </w:rPr>
          <w:t>Articles of Amendment [as filed on May 9, 2011] to Restated Articles of Organization of</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Clean Harbors, Inc.</w:t>
        </w:r>
      </w:hyperlink>
    </w:p>
    <w:p>
      <w:pPr>
        <w:spacing w:after="0" w:line="10" w:lineRule="exact"/>
        <w:rPr>
          <w:sz w:val="20"/>
          <w:szCs w:val="20"/>
          <w:color w:val="auto"/>
        </w:rPr>
      </w:pPr>
    </w:p>
    <w:p>
      <w:pPr>
        <w:ind w:left="34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3.4D</w:t>
      </w:r>
      <w:r>
        <w:rPr>
          <w:sz w:val="20"/>
          <w:szCs w:val="20"/>
          <w:color w:val="auto"/>
        </w:rPr>
        <w:tab/>
      </w:r>
      <w:hyperlink r:id="rId131">
        <w:r>
          <w:rPr>
            <w:rFonts w:ascii="Times New Roman" w:cs="Times New Roman" w:eastAsia="Times New Roman" w:hAnsi="Times New Roman"/>
            <w:sz w:val="17"/>
            <w:szCs w:val="17"/>
            <w:u w:val="single" w:color="auto"/>
            <w:color w:val="0000FF"/>
          </w:rPr>
          <w:t>Amended and Restated By-Laws of Clean Harbors, Inc.</w:t>
        </w:r>
      </w:hyperlink>
    </w:p>
    <w:p>
      <w:pPr>
        <w:spacing w:after="0" w:line="63" w:lineRule="exact"/>
        <w:rPr>
          <w:sz w:val="20"/>
          <w:szCs w:val="20"/>
          <w:color w:val="auto"/>
        </w:rPr>
      </w:pPr>
    </w:p>
    <w:p>
      <w:pPr>
        <w:ind w:left="3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3.4E</w:t>
      </w:r>
      <w:r>
        <w:rPr>
          <w:sz w:val="20"/>
          <w:szCs w:val="20"/>
          <w:color w:val="auto"/>
        </w:rPr>
        <w:tab/>
      </w:r>
      <w:hyperlink r:id="rId132">
        <w:r>
          <w:rPr>
            <w:rFonts w:ascii="Times New Roman" w:cs="Times New Roman" w:eastAsia="Times New Roman" w:hAnsi="Times New Roman"/>
            <w:sz w:val="17"/>
            <w:szCs w:val="17"/>
            <w:u w:val="single" w:color="auto"/>
            <w:color w:val="0000FF"/>
          </w:rPr>
          <w:t>Description of rights of holders of Clean Harbors, Inc. common stock</w:t>
        </w:r>
      </w:hyperlink>
    </w:p>
    <w:p>
      <w:pPr>
        <w:spacing w:after="0" w:line="63" w:lineRule="exact"/>
        <w:rPr>
          <w:sz w:val="20"/>
          <w:szCs w:val="20"/>
          <w:color w:val="auto"/>
        </w:rPr>
      </w:pPr>
    </w:p>
    <w:p>
      <w:pPr>
        <w:ind w:left="900" w:right="80" w:hanging="52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w:t>
      </w:r>
      <w:r>
        <w:rPr>
          <w:sz w:val="20"/>
          <w:szCs w:val="20"/>
          <w:color w:val="auto"/>
        </w:rPr>
        <w:tab/>
      </w:r>
      <w:hyperlink r:id="rId133">
        <w:r>
          <w:rPr>
            <w:rFonts w:ascii="Times New Roman" w:cs="Times New Roman" w:eastAsia="Times New Roman" w:hAnsi="Times New Roman"/>
            <w:sz w:val="17"/>
            <w:szCs w:val="17"/>
            <w:u w:val="single" w:color="auto"/>
            <w:color w:val="0000FF"/>
          </w:rPr>
          <w:t>Sixth Amended and Restated Credit Agreement dated as of October 28, 2020 among Clean</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Harbors, Inc., as the U.S. Borrower, Clean Harbors Industrial Services Canada, Inc., as the</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Canadian Borrower, Bank of America, N.A., as Administrative Agent, and the Lenders party</w:t>
        </w:r>
      </w:hyperlink>
    </w:p>
    <w:p>
      <w:pPr>
        <w:ind w:left="90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thereto</w:t>
        </w:r>
      </w:hyperlink>
    </w:p>
    <w:p>
      <w:pPr>
        <w:spacing w:after="0" w:line="7" w:lineRule="exact"/>
        <w:rPr>
          <w:rFonts w:ascii="Times New Roman" w:cs="Times New Roman" w:eastAsia="Times New Roman" w:hAnsi="Times New Roman"/>
          <w:sz w:val="17"/>
          <w:szCs w:val="17"/>
          <w:u w:val="single" w:color="auto"/>
          <w:color w:val="0000FF"/>
        </w:rPr>
      </w:pPr>
    </w:p>
    <w:p>
      <w:pPr>
        <w:ind w:left="900" w:right="80" w:hanging="660"/>
        <w:spacing w:after="0" w:line="22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4.34.1</w:t>
      </w:r>
      <w:r>
        <w:rPr>
          <w:sz w:val="20"/>
          <w:szCs w:val="20"/>
          <w:color w:val="auto"/>
        </w:rPr>
        <w:tab/>
      </w:r>
      <w:hyperlink r:id="rId134">
        <w:r>
          <w:rPr>
            <w:rFonts w:ascii="Times New Roman" w:cs="Times New Roman" w:eastAsia="Times New Roman" w:hAnsi="Times New Roman"/>
            <w:sz w:val="17"/>
            <w:szCs w:val="17"/>
            <w:u w:val="single" w:color="auto"/>
            <w:color w:val="0000FF"/>
          </w:rPr>
          <w:t>First Amendment dated April 28, 2023 to Sixth Amended and Restated Credit Agreement</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dated as of October 28, 2020 among Clean Harbors, Inc., as the U.S. Borrower, Clean</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Harbors Industrial Services Canada, Inc., as the Canadian Borrower, Bank of America, N.A.,</w:t>
        </w:r>
      </w:hyperlink>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as Administrative Agent and the Lenders party thereto</w:t>
        </w:r>
      </w:hyperlink>
    </w:p>
    <w:p>
      <w:pPr>
        <w:spacing w:after="0" w:line="43" w:lineRule="exact"/>
        <w:rPr>
          <w:rFonts w:ascii="Times New Roman" w:cs="Times New Roman" w:eastAsia="Times New Roman" w:hAnsi="Times New Roman"/>
          <w:sz w:val="17"/>
          <w:szCs w:val="17"/>
          <w:u w:val="single" w:color="auto"/>
          <w:color w:val="0000FF"/>
        </w:rPr>
      </w:pPr>
    </w:p>
    <w:p>
      <w:pPr>
        <w:jc w:val="both"/>
        <w:ind w:left="900" w:right="240" w:hanging="660"/>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4.34.2</w:t>
      </w:r>
      <w:r>
        <w:rPr>
          <w:sz w:val="20"/>
          <w:szCs w:val="20"/>
          <w:color w:val="auto"/>
        </w:rPr>
        <w:tab/>
      </w:r>
      <w:hyperlink r:id="rId135">
        <w:r>
          <w:rPr>
            <w:rFonts w:ascii="Times New Roman" w:cs="Times New Roman" w:eastAsia="Times New Roman" w:hAnsi="Times New Roman"/>
            <w:sz w:val="17"/>
            <w:szCs w:val="17"/>
            <w:u w:val="single" w:color="auto"/>
            <w:color w:val="0000FF"/>
          </w:rPr>
          <w:t>Sixth Amended and Restated Credit Agreement dated as of October 28, 2020, as amended</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through First Amendment thereto dated April 28, 2023, among Clean Harbors, Inc., as the</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U.S. Borrower, Clean Harbors Industrial Services Canada, Inc., as the Canadian Borrower,</w:t>
        </w:r>
      </w:hyperlink>
    </w:p>
    <w:p>
      <w:pPr>
        <w:ind w:left="90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Bank of America, N.A., as Administrative Agent and the Lenders party thereto</w:t>
        </w:r>
      </w:hyperlink>
    </w:p>
    <w:p>
      <w:pPr>
        <w:spacing w:after="0" w:line="43" w:lineRule="exact"/>
        <w:rPr>
          <w:rFonts w:ascii="Times New Roman" w:cs="Times New Roman" w:eastAsia="Times New Roman" w:hAnsi="Times New Roman"/>
          <w:sz w:val="17"/>
          <w:szCs w:val="17"/>
          <w:u w:val="single" w:color="auto"/>
          <w:color w:val="0000FF"/>
        </w:rPr>
      </w:pPr>
    </w:p>
    <w:p>
      <w:pPr>
        <w:ind w:left="900" w:right="100" w:hanging="64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4.34B</w:t>
      </w:r>
      <w:r>
        <w:rPr>
          <w:sz w:val="20"/>
          <w:szCs w:val="20"/>
          <w:color w:val="auto"/>
        </w:rPr>
        <w:tab/>
      </w:r>
      <w:hyperlink r:id="rId136">
        <w:r>
          <w:rPr>
            <w:rFonts w:ascii="Times New Roman" w:cs="Times New Roman" w:eastAsia="Times New Roman" w:hAnsi="Times New Roman"/>
            <w:sz w:val="17"/>
            <w:szCs w:val="17"/>
            <w:u w:val="single" w:color="auto"/>
            <w:color w:val="0000FF"/>
          </w:rPr>
          <w:t>Amended and Restated Security Agreement (Canadian Domiciled Loan Parties) dated as of</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November 1, 2016 among Clean Harbors Industrial Services Canada, Inc., as the Canadian</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Borrower and a Grantor, the subsidiaries of Clean Harbors, Inc. listed on Annex A thereto or</w:t>
        </w:r>
      </w:hyperlink>
    </w:p>
    <w:p>
      <w:pPr>
        <w:jc w:val="center"/>
        <w:ind w:left="50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that thereafter become a party thereto as Grantors, and Bank of America, N.A., as Agent</w:t>
        </w:r>
      </w:hyperlink>
    </w:p>
    <w:p>
      <w:pPr>
        <w:spacing w:after="0" w:line="43" w:lineRule="exact"/>
        <w:rPr>
          <w:rFonts w:ascii="Times New Roman" w:cs="Times New Roman" w:eastAsia="Times New Roman" w:hAnsi="Times New Roman"/>
          <w:sz w:val="17"/>
          <w:szCs w:val="17"/>
          <w:u w:val="single" w:color="auto"/>
          <w:color w:val="0000FF"/>
        </w:rPr>
      </w:pPr>
    </w:p>
    <w:p>
      <w:pPr>
        <w:ind w:left="900" w:hanging="64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4.34C</w:t>
      </w:r>
      <w:r>
        <w:rPr>
          <w:sz w:val="20"/>
          <w:szCs w:val="20"/>
          <w:color w:val="auto"/>
        </w:rPr>
        <w:tab/>
      </w:r>
      <w:hyperlink r:id="rId137">
        <w:r>
          <w:rPr>
            <w:rFonts w:ascii="Times New Roman" w:cs="Times New Roman" w:eastAsia="Times New Roman" w:hAnsi="Times New Roman"/>
            <w:sz w:val="17"/>
            <w:szCs w:val="17"/>
            <w:u w:val="single" w:color="auto"/>
            <w:color w:val="0000FF"/>
          </w:rPr>
          <w:t>Amended and Restated Guarantee (U.S. Domiciled Loan Parties-U.S. Facility Obligations)</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dated as of November 1, 2016 executed by the U.S. Domiciled Subsidiaries of Clean Harbors,</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Inc. named therein in favor of Bank of America, N.A., as Agent for itself and the other U.S.</w:t>
        </w:r>
      </w:hyperlink>
    </w:p>
    <w:p>
      <w:pPr>
        <w:ind w:left="90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Facility Secured Parties</w:t>
        </w:r>
      </w:hyperlink>
    </w:p>
    <w:p>
      <w:pPr>
        <w:spacing w:after="0" w:line="43" w:lineRule="exact"/>
        <w:rPr>
          <w:rFonts w:ascii="Times New Roman" w:cs="Times New Roman" w:eastAsia="Times New Roman" w:hAnsi="Times New Roman"/>
          <w:sz w:val="17"/>
          <w:szCs w:val="17"/>
          <w:u w:val="single" w:color="auto"/>
          <w:color w:val="0000FF"/>
        </w:rPr>
      </w:pPr>
    </w:p>
    <w:p>
      <w:pPr>
        <w:ind w:left="900" w:right="20" w:hanging="65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4.34D</w:t>
      </w:r>
      <w:r>
        <w:rPr>
          <w:sz w:val="20"/>
          <w:szCs w:val="20"/>
          <w:color w:val="auto"/>
        </w:rPr>
        <w:tab/>
      </w:r>
      <w:hyperlink r:id="rId138">
        <w:r>
          <w:rPr>
            <w:rFonts w:ascii="Times New Roman" w:cs="Times New Roman" w:eastAsia="Times New Roman" w:hAnsi="Times New Roman"/>
            <w:sz w:val="17"/>
            <w:szCs w:val="17"/>
            <w:u w:val="single" w:color="auto"/>
            <w:color w:val="0000FF"/>
          </w:rPr>
          <w:t>Amended and Restated Guarantee (Canadian Domiciled Loan Parties-Canadian Facility</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Obligations) dated as of November 1, 2016 executed by the Canadian Domiciled Subsidiaries</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of Clean Harbors, Inc. named therein in favor of Bank of America, N.A., as Agent for itself</w:t>
        </w:r>
      </w:hyperlink>
    </w:p>
    <w:p>
      <w:pPr>
        <w:spacing w:after="0" w:line="14" w:lineRule="exact"/>
        <w:rPr>
          <w:rFonts w:ascii="Times New Roman" w:cs="Times New Roman" w:eastAsia="Times New Roman" w:hAnsi="Times New Roman"/>
          <w:sz w:val="17"/>
          <w:szCs w:val="17"/>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and the other Canadian Facility Secured Parties</w:t>
        </w:r>
      </w:hyperlink>
    </w:p>
    <w:p>
      <w:pPr>
        <w:spacing w:after="0" w:line="30" w:lineRule="exact"/>
        <w:rPr>
          <w:rFonts w:ascii="Times New Roman" w:cs="Times New Roman" w:eastAsia="Times New Roman" w:hAnsi="Times New Roman"/>
          <w:sz w:val="17"/>
          <w:szCs w:val="17"/>
          <w:u w:val="single" w:color="auto"/>
          <w:color w:val="0000FF"/>
        </w:rPr>
      </w:pPr>
    </w:p>
    <w:p>
      <w:pPr>
        <w:ind w:left="900" w:right="220" w:hanging="635"/>
        <w:spacing w:after="0" w:line="21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4.34E</w:t>
      </w:r>
      <w:r>
        <w:rPr>
          <w:sz w:val="20"/>
          <w:szCs w:val="20"/>
          <w:color w:val="auto"/>
        </w:rPr>
        <w:tab/>
      </w:r>
      <w:hyperlink r:id="rId139">
        <w:r>
          <w:rPr>
            <w:rFonts w:ascii="Times New Roman" w:cs="Times New Roman" w:eastAsia="Times New Roman" w:hAnsi="Times New Roman"/>
            <w:sz w:val="18"/>
            <w:szCs w:val="18"/>
            <w:u w:val="single" w:color="auto"/>
            <w:color w:val="0000FF"/>
          </w:rPr>
          <w:t>Amended and Restated Guarantee (U.S. Domiciled Loan Parties-Canadian Facility</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Obligations) dated as of November 1, 2016 executed by Clean Harbors, Inc. and the U.S.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Domiciled Subsidiaries of Clean Harbors, Inc. named therein in favor of Bank of America,</w:t>
        </w:r>
      </w:hyperlink>
    </w:p>
    <w:p>
      <w:pPr>
        <w:spacing w:after="0" w:line="15"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N.A., as Agent for itself and the other Canadian Facility Secured Parties</w:t>
        </w:r>
      </w:hyperlink>
    </w:p>
    <w:p>
      <w:pPr>
        <w:spacing w:after="0" w:line="16" w:lineRule="exact"/>
        <w:rPr>
          <w:rFonts w:ascii="Times New Roman" w:cs="Times New Roman" w:eastAsia="Times New Roman" w:hAnsi="Times New Roman"/>
          <w:sz w:val="18"/>
          <w:szCs w:val="18"/>
          <w:u w:val="single" w:color="auto"/>
          <w:color w:val="0000FF"/>
        </w:rPr>
      </w:pPr>
    </w:p>
    <w:p>
      <w:pPr>
        <w:ind w:left="900" w:right="160" w:hanging="655"/>
        <w:spacing w:after="0" w:line="21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4.34G</w:t>
      </w:r>
      <w:r>
        <w:rPr>
          <w:sz w:val="20"/>
          <w:szCs w:val="20"/>
          <w:color w:val="auto"/>
        </w:rPr>
        <w:tab/>
      </w:r>
      <w:hyperlink r:id="rId140">
        <w:r>
          <w:rPr>
            <w:rFonts w:ascii="Times New Roman" w:cs="Times New Roman" w:eastAsia="Times New Roman" w:hAnsi="Times New Roman"/>
            <w:sz w:val="18"/>
            <w:szCs w:val="18"/>
            <w:u w:val="single" w:color="auto"/>
            <w:color w:val="0000FF"/>
          </w:rPr>
          <w:t>Second Amended and Restated Security Agreement (U.S. Domiciled Loan Parties) dated as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of June 30, 2017, among Clean Harbors, Inc., as the U.S. Borrower and a Grantor, the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subsidiaries of Clean Harbors, Inc. listed on Annex A thereto or that thereafter become a</w:t>
        </w:r>
      </w:hyperlink>
    </w:p>
    <w:p>
      <w:pPr>
        <w:spacing w:after="0" w:line="28"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party thereto as Grantors, and Bank of America, N.A., as Agent</w:t>
        </w:r>
      </w:hyperlink>
    </w:p>
    <w:p>
      <w:pPr>
        <w:spacing w:after="0" w:line="7" w:lineRule="exact"/>
        <w:rPr>
          <w:rFonts w:ascii="Times New Roman" w:cs="Times New Roman" w:eastAsia="Times New Roman" w:hAnsi="Times New Roman"/>
          <w:sz w:val="18"/>
          <w:szCs w:val="18"/>
          <w:u w:val="single" w:color="auto"/>
          <w:color w:val="0000FF"/>
        </w:rPr>
      </w:pPr>
    </w:p>
    <w:p>
      <w:pPr>
        <w:ind w:left="900" w:right="60" w:hanging="655"/>
        <w:spacing w:after="0" w:line="214"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4.34K</w:t>
      </w:r>
      <w:r>
        <w:rPr>
          <w:sz w:val="20"/>
          <w:szCs w:val="20"/>
          <w:color w:val="auto"/>
        </w:rPr>
        <w:tab/>
      </w:r>
      <w:hyperlink r:id="rId141">
        <w:r>
          <w:rPr>
            <w:rFonts w:ascii="Times New Roman" w:cs="Times New Roman" w:eastAsia="Times New Roman" w:hAnsi="Times New Roman"/>
            <w:sz w:val="18"/>
            <w:szCs w:val="18"/>
            <w:u w:val="single" w:color="auto"/>
            <w:color w:val="0000FF"/>
          </w:rPr>
          <w:t>Amended and Restated Confirmation and Ratification of Ancillary Loan Documents dated as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of October 28, 2020 among Clean Harbors, Inc., as the U.S. Borrower, Clean Harbors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Industrial Services Canada, Inc., as the Canadian Borrower, the subsidiaries of Clean</w:t>
        </w:r>
      </w:hyperlink>
    </w:p>
    <w:p>
      <w:pPr>
        <w:spacing w:after="0" w:line="1" w:lineRule="exact"/>
        <w:rPr>
          <w:rFonts w:ascii="Times New Roman" w:cs="Times New Roman" w:eastAsia="Times New Roman" w:hAnsi="Times New Roman"/>
          <w:sz w:val="18"/>
          <w:szCs w:val="18"/>
          <w:u w:val="single" w:color="auto"/>
          <w:color w:val="0000FF"/>
        </w:rPr>
      </w:pPr>
    </w:p>
    <w:p>
      <w:pPr>
        <w:jc w:val="both"/>
        <w:ind w:left="900" w:right="60"/>
        <w:spacing w:after="0" w:line="218"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Harbors, Inc. listed on Annex A thereto or that thereafter become a party thereto as Grantors,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and Bank of America, N.A., as Agent for its own benefit and the benefit of the other Lenders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and Credit Parties</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900" w:right="180" w:hanging="52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4.43</w:t>
      </w:r>
      <w:r>
        <w:rPr>
          <w:sz w:val="20"/>
          <w:szCs w:val="20"/>
          <w:color w:val="auto"/>
        </w:rPr>
        <w:tab/>
      </w:r>
      <w:hyperlink r:id="rId142">
        <w:r>
          <w:rPr>
            <w:rFonts w:ascii="Times New Roman" w:cs="Times New Roman" w:eastAsia="Times New Roman" w:hAnsi="Times New Roman"/>
            <w:sz w:val="17"/>
            <w:szCs w:val="17"/>
            <w:u w:val="single" w:color="auto"/>
            <w:color w:val="0000FF"/>
          </w:rPr>
          <w:t>Credit Agreement dated as of June 30, 2017, among the Financial Institutions party thereto,</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as Lenders, Goldman Sachs Lending Partners LLC, as Administrative Agent and Collateral</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Agent, Clean Harbors, Inc., as Borrower, and the Loan Guarantors from time to time party</w:t>
        </w:r>
      </w:hyperlink>
    </w:p>
    <w:p>
      <w:pPr>
        <w:ind w:left="90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thereto</w:t>
        </w:r>
      </w:hyperlink>
    </w:p>
    <w:p>
      <w:pPr>
        <w:spacing w:after="0" w:line="7" w:lineRule="exact"/>
        <w:rPr>
          <w:rFonts w:ascii="Times New Roman" w:cs="Times New Roman" w:eastAsia="Times New Roman" w:hAnsi="Times New Roman"/>
          <w:sz w:val="17"/>
          <w:szCs w:val="17"/>
          <w:u w:val="single" w:color="auto"/>
          <w:color w:val="0000FF"/>
        </w:rPr>
      </w:pPr>
    </w:p>
    <w:p>
      <w:pPr>
        <w:jc w:val="both"/>
        <w:ind w:left="900" w:hanging="655"/>
        <w:spacing w:after="0" w:line="224"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4.43A</w:t>
      </w:r>
      <w:r>
        <w:rPr>
          <w:sz w:val="20"/>
          <w:szCs w:val="20"/>
          <w:color w:val="auto"/>
        </w:rPr>
        <w:tab/>
      </w:r>
      <w:hyperlink r:id="rId143">
        <w:r>
          <w:rPr>
            <w:rFonts w:ascii="Times New Roman" w:cs="Times New Roman" w:eastAsia="Times New Roman" w:hAnsi="Times New Roman"/>
            <w:sz w:val="18"/>
            <w:szCs w:val="18"/>
            <w:u w:val="single" w:color="auto"/>
            <w:color w:val="0000FF"/>
          </w:rPr>
          <w:t>Security Agreement dated as of June 30, 2017, among Clean Harbors, Inc. and its subsidiaries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listed on Annex A thereto or that become a party thereto as the Grantors, and Goldman Sachs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Lending Partners LLC, as the Agent</w:t>
        </w:r>
      </w:hyperlink>
    </w:p>
    <w:p>
      <w:pPr>
        <w:spacing w:after="0" w:line="10" w:lineRule="exact"/>
        <w:rPr>
          <w:rFonts w:ascii="Times New Roman" w:cs="Times New Roman" w:eastAsia="Times New Roman" w:hAnsi="Times New Roman"/>
          <w:sz w:val="18"/>
          <w:szCs w:val="18"/>
          <w:u w:val="single" w:color="auto"/>
          <w:color w:val="0000FF"/>
        </w:rPr>
      </w:pPr>
    </w:p>
    <w:p>
      <w:pPr>
        <w:ind w:left="900" w:right="160" w:hanging="64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4.43B</w:t>
      </w:r>
      <w:r>
        <w:rPr>
          <w:sz w:val="20"/>
          <w:szCs w:val="20"/>
          <w:color w:val="auto"/>
        </w:rPr>
        <w:tab/>
      </w:r>
      <w:hyperlink r:id="rId144">
        <w:r>
          <w:rPr>
            <w:rFonts w:ascii="Times New Roman" w:cs="Times New Roman" w:eastAsia="Times New Roman" w:hAnsi="Times New Roman"/>
            <w:sz w:val="17"/>
            <w:szCs w:val="17"/>
            <w:u w:val="single" w:color="auto"/>
            <w:color w:val="0000FF"/>
          </w:rPr>
          <w:t>First Amendment to Credit Agreement dated as of April 17, 2018, among the Financial</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Institutions party thereto, as Lenders, Goldman Sachs Lending Partners LLC, as</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Administrative Agent and Collateral Agent, Clean Harbors, Inc., as Borrower, and the Loan</w:t>
        </w:r>
      </w:hyperlink>
    </w:p>
    <w:p>
      <w:pPr>
        <w:spacing w:after="0" w:line="27" w:lineRule="exact"/>
        <w:rPr>
          <w:rFonts w:ascii="Times New Roman" w:cs="Times New Roman" w:eastAsia="Times New Roman" w:hAnsi="Times New Roman"/>
          <w:sz w:val="17"/>
          <w:szCs w:val="17"/>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Guarantors from time to time party thereto</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83" w:lineRule="exact"/>
        <w:rPr>
          <w:rFonts w:ascii="Times New Roman" w:cs="Times New Roman" w:eastAsia="Times New Roman" w:hAnsi="Times New Roman"/>
          <w:sz w:val="17"/>
          <w:szCs w:val="17"/>
          <w:u w:val="single" w:color="auto"/>
          <w:color w:val="0000FF"/>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-212090</wp:posOffset>
            </wp:positionH>
            <wp:positionV relativeFrom="paragraph">
              <wp:posOffset>41910</wp:posOffset>
            </wp:positionV>
            <wp:extent cx="7886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9"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212"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131"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144"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131"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320"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rFonts w:ascii="Times New Roman" w:cs="Times New Roman" w:eastAsia="Times New Roman" w:hAnsi="Times New Roman"/>
          <w:sz w:val="17"/>
          <w:szCs w:val="17"/>
          <w:u w:val="single" w:color="auto"/>
          <w:color w:val="0000FF"/>
        </w:rPr>
      </w:pPr>
    </w:p>
    <w:p>
      <w:pPr>
        <w:spacing w:after="0" w:line="376"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3"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3"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3"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3"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3"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rFonts w:ascii="Times New Roman" w:cs="Times New Roman" w:eastAsia="Times New Roman" w:hAnsi="Times New Roman"/>
          <w:sz w:val="17"/>
          <w:szCs w:val="17"/>
          <w:u w:val="single" w:color="auto"/>
          <w:color w:val="0000FF"/>
        </w:rPr>
      </w:pPr>
    </w:p>
    <w:p>
      <w:pPr>
        <w:spacing w:after="0" w:line="390" w:lineRule="exact"/>
        <w:rPr>
          <w:rFonts w:ascii="Times New Roman" w:cs="Times New Roman" w:eastAsia="Times New Roman" w:hAnsi="Times New Roman"/>
          <w:sz w:val="17"/>
          <w:szCs w:val="17"/>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52" w:lineRule="exact"/>
        <w:rPr>
          <w:rFonts w:ascii="Times New Roman" w:cs="Times New Roman" w:eastAsia="Times New Roman" w:hAnsi="Times New Roman"/>
          <w:sz w:val="17"/>
          <w:szCs w:val="17"/>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52" w:lineRule="exact"/>
        <w:rPr>
          <w:rFonts w:ascii="Times New Roman" w:cs="Times New Roman" w:eastAsia="Times New Roman" w:hAnsi="Times New Roman"/>
          <w:sz w:val="17"/>
          <w:szCs w:val="17"/>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rFonts w:ascii="Times New Roman" w:cs="Times New Roman" w:eastAsia="Times New Roman" w:hAnsi="Times New Roman"/>
          <w:sz w:val="17"/>
          <w:szCs w:val="17"/>
          <w:u w:val="single" w:color="auto"/>
          <w:color w:val="0000FF"/>
        </w:rPr>
      </w:pPr>
    </w:p>
    <w:p>
      <w:pPr>
        <w:spacing w:after="0" w:line="268" w:lineRule="exact"/>
        <w:rPr>
          <w:rFonts w:ascii="Times New Roman" w:cs="Times New Roman" w:eastAsia="Times New Roman" w:hAnsi="Times New Roman"/>
          <w:sz w:val="17"/>
          <w:szCs w:val="17"/>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rFonts w:ascii="Times New Roman" w:cs="Times New Roman" w:eastAsia="Times New Roman" w:hAnsi="Times New Roman"/>
          <w:sz w:val="17"/>
          <w:szCs w:val="17"/>
          <w:u w:val="single" w:color="auto"/>
          <w:color w:val="0000FF"/>
        </w:rPr>
      </w:pPr>
    </w:p>
    <w:p>
      <w:pPr>
        <w:spacing w:after="0" w:line="295" w:lineRule="exact"/>
        <w:rPr>
          <w:rFonts w:ascii="Times New Roman" w:cs="Times New Roman" w:eastAsia="Times New Roman" w:hAnsi="Times New Roman"/>
          <w:sz w:val="17"/>
          <w:szCs w:val="17"/>
          <w:u w:val="single" w:color="auto"/>
          <w:color w:val="0000FF"/>
        </w:rPr>
      </w:pPr>
    </w:p>
    <w:p>
      <w:pPr>
        <w:ind w:left="140"/>
        <w:spacing w:after="0"/>
        <w:rPr>
          <w:sz w:val="20"/>
          <w:szCs w:val="20"/>
          <w:color w:val="auto"/>
        </w:rPr>
      </w:pPr>
      <w:r>
        <w:rPr>
          <w:rFonts w:ascii="Times New Roman" w:cs="Times New Roman" w:eastAsia="Times New Roman" w:hAnsi="Times New Roman"/>
          <w:sz w:val="18"/>
          <w:szCs w:val="18"/>
          <w:color w:val="auto"/>
        </w:rPr>
        <w:t>(11)</w:t>
      </w:r>
    </w:p>
    <w:p>
      <w:pPr>
        <w:spacing w:after="0" w:line="503"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7660" w:space="540"/>
            <w:col w:w="819"/>
          </w:cols>
          <w:pgMar w:left="1440" w:top="887" w:right="1440" w:bottom="1440" w:gutter="0" w:footer="0" w:header="0"/>
        </w:sectPr>
      </w:pPr>
    </w:p>
    <w:p>
      <w:pPr>
        <w:spacing w:after="0" w:line="200" w:lineRule="exact"/>
        <w:rPr>
          <w:rFonts w:ascii="Times New Roman" w:cs="Times New Roman" w:eastAsia="Times New Roman" w:hAnsi="Times New Roman"/>
          <w:sz w:val="17"/>
          <w:szCs w:val="17"/>
          <w:u w:val="single" w:color="auto"/>
          <w:color w:val="0000FF"/>
        </w:rPr>
      </w:pPr>
    </w:p>
    <w:p>
      <w:pPr>
        <w:spacing w:after="0" w:line="372"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type w:val="continuous"/>
        </w:sectPr>
      </w:pPr>
    </w:p>
    <w:bookmarkStart w:id="98" w:name="page99"/>
    <w:bookmarkEnd w:id="98"/>
    <w:p>
      <w:pPr>
        <w:ind w:left="900" w:right="20" w:hanging="645"/>
        <w:spacing w:after="0" w:line="21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4.43C</w:t>
      </w:r>
      <w:r>
        <w:rPr>
          <w:sz w:val="20"/>
          <w:szCs w:val="20"/>
          <w:color w:val="auto"/>
        </w:rPr>
        <w:tab/>
      </w:r>
      <w:hyperlink r:id="rId147">
        <w:r>
          <w:rPr>
            <w:rFonts w:ascii="Times New Roman" w:cs="Times New Roman" w:eastAsia="Times New Roman" w:hAnsi="Times New Roman"/>
            <w:sz w:val="18"/>
            <w:szCs w:val="18"/>
            <w:u w:val="single" w:color="auto"/>
            <w:color w:val="0000FF"/>
          </w:rPr>
          <w:t>Incremental Facility Amendment dated July 19, 2018, to Credit Agreement dated as of June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30, 2017, among the Financial Institutions party thereto, as Lenders, Goldman Sachs Lending</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Partners LLC, as Administrative Agent and Collateral Agent, Clean Harbors, Inc., as</w:t>
        </w:r>
      </w:hyperlink>
    </w:p>
    <w:p>
      <w:pPr>
        <w:spacing w:after="0" w:line="28"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Borrower, and the Loan Guarantors from time to time party thereto</w:t>
        </w:r>
      </w:hyperlink>
    </w:p>
    <w:p>
      <w:pPr>
        <w:spacing w:after="0" w:line="7" w:lineRule="exact"/>
        <w:rPr>
          <w:rFonts w:ascii="Times New Roman" w:cs="Times New Roman" w:eastAsia="Times New Roman" w:hAnsi="Times New Roman"/>
          <w:sz w:val="18"/>
          <w:szCs w:val="18"/>
          <w:u w:val="single" w:color="auto"/>
          <w:color w:val="0000FF"/>
        </w:rPr>
      </w:pPr>
    </w:p>
    <w:p>
      <w:pPr>
        <w:ind w:left="900" w:right="20" w:hanging="65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4.43D</w:t>
      </w:r>
      <w:r>
        <w:rPr>
          <w:sz w:val="20"/>
          <w:szCs w:val="20"/>
          <w:color w:val="auto"/>
        </w:rPr>
        <w:tab/>
      </w:r>
      <w:hyperlink r:id="rId148">
        <w:r>
          <w:rPr>
            <w:rFonts w:ascii="Times New Roman" w:cs="Times New Roman" w:eastAsia="Times New Roman" w:hAnsi="Times New Roman"/>
            <w:sz w:val="18"/>
            <w:szCs w:val="18"/>
            <w:u w:val="single" w:color="auto"/>
            <w:color w:val="0000FF"/>
          </w:rPr>
          <w:t>Incremental Facility Amendment No. 2 to Credit Agreement, dated as of October 8, 2021, 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Credit Agreement dated as of June 30, 2017, as previously amended, among Clean Harbors,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 as the Borrower, each of the entities listed as an Incremental Lender on the signature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pages thereto, Goldman Sachs Lending Partners LLC, as Administrative Agent and Collateral</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Agent, and the other Loan Parties as of the date thereof</w:t>
        </w:r>
      </w:hyperlink>
    </w:p>
    <w:p>
      <w:pPr>
        <w:spacing w:after="0" w:line="40" w:lineRule="exact"/>
        <w:rPr>
          <w:rFonts w:ascii="Times New Roman" w:cs="Times New Roman" w:eastAsia="Times New Roman" w:hAnsi="Times New Roman"/>
          <w:sz w:val="18"/>
          <w:szCs w:val="18"/>
          <w:u w:val="single" w:color="auto"/>
          <w:color w:val="0000FF"/>
        </w:rPr>
      </w:pPr>
    </w:p>
    <w:p>
      <w:pPr>
        <w:ind w:left="900" w:right="200" w:hanging="635"/>
        <w:spacing w:after="0" w:line="21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4.43E</w:t>
      </w:r>
      <w:r>
        <w:rPr>
          <w:sz w:val="20"/>
          <w:szCs w:val="20"/>
          <w:color w:val="auto"/>
        </w:rPr>
        <w:tab/>
      </w:r>
      <w:hyperlink r:id="rId149">
        <w:r>
          <w:rPr>
            <w:rFonts w:ascii="Times New Roman" w:cs="Times New Roman" w:eastAsia="Times New Roman" w:hAnsi="Times New Roman"/>
            <w:sz w:val="18"/>
            <w:szCs w:val="18"/>
            <w:u w:val="single" w:color="auto"/>
            <w:color w:val="0000FF"/>
          </w:rPr>
          <w:t>Amendment No. 3 to Credit Agreement, dated June 3, 2023, among Clean Harbors, Inc., as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Borrower, and Goldman Sachs Lending Partners LLC, as Administrative Agent and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Collateral Agent, to that certain Credit Agreement dated as of June 30, 2017, as previously</w:t>
        </w:r>
      </w:hyperlink>
    </w:p>
    <w:p>
      <w:pPr>
        <w:spacing w:after="0" w:line="1" w:lineRule="exact"/>
        <w:rPr>
          <w:rFonts w:ascii="Times New Roman" w:cs="Times New Roman" w:eastAsia="Times New Roman" w:hAnsi="Times New Roman"/>
          <w:sz w:val="18"/>
          <w:szCs w:val="18"/>
          <w:u w:val="single" w:color="auto"/>
          <w:color w:val="0000FF"/>
        </w:rPr>
      </w:pPr>
    </w:p>
    <w:p>
      <w:pPr>
        <w:ind w:left="900"/>
        <w:spacing w:after="0" w:line="218"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amended, among the Financial Institutions party thereto, as Lenders, Goldman Sachs Lending</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Partners LLC, as Administrative Agent and Collateral Agent, Clean Harbors, Inc., as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Borrower, and the Loan Guarantors from time to time party thereto</w:t>
        </w:r>
      </w:hyperlink>
    </w:p>
    <w:p>
      <w:pPr>
        <w:spacing w:after="0" w:line="10" w:lineRule="exact"/>
        <w:rPr>
          <w:rFonts w:ascii="Times New Roman" w:cs="Times New Roman" w:eastAsia="Times New Roman" w:hAnsi="Times New Roman"/>
          <w:sz w:val="18"/>
          <w:szCs w:val="18"/>
          <w:u w:val="single" w:color="auto"/>
          <w:color w:val="0000FF"/>
        </w:rPr>
      </w:pPr>
    </w:p>
    <w:p>
      <w:pPr>
        <w:ind w:left="900" w:right="60" w:hanging="625"/>
        <w:spacing w:after="0" w:line="21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4.43F</w:t>
      </w:r>
      <w:r>
        <w:rPr>
          <w:sz w:val="20"/>
          <w:szCs w:val="20"/>
          <w:color w:val="auto"/>
        </w:rPr>
        <w:tab/>
      </w:r>
      <w:hyperlink r:id="rId150">
        <w:r>
          <w:rPr>
            <w:rFonts w:ascii="Times New Roman" w:cs="Times New Roman" w:eastAsia="Times New Roman" w:hAnsi="Times New Roman"/>
            <w:sz w:val="18"/>
            <w:szCs w:val="18"/>
            <w:u w:val="single" w:color="auto"/>
            <w:color w:val="0000FF"/>
          </w:rPr>
          <w:t>Amendment No. 4 to Credit Agreement dated as of December 27, 2023, among the Financial</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Institutions party thereto, as Lenders, Goldman Sachs Lending Partners LLC, as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Administrative Agent and Collateral Agent, Clean Harbors, Inc. as Borrower, and the Loan</w:t>
        </w:r>
      </w:hyperlink>
    </w:p>
    <w:p>
      <w:pPr>
        <w:spacing w:after="0" w:line="28"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Guarantors from time to time party thereto.</w:t>
        </w:r>
      </w:hyperlink>
    </w:p>
    <w:p>
      <w:pPr>
        <w:spacing w:after="0" w:line="7" w:lineRule="exact"/>
        <w:rPr>
          <w:rFonts w:ascii="Times New Roman" w:cs="Times New Roman" w:eastAsia="Times New Roman" w:hAnsi="Times New Roman"/>
          <w:sz w:val="18"/>
          <w:szCs w:val="18"/>
          <w:u w:val="single" w:color="auto"/>
          <w:color w:val="0000FF"/>
        </w:rPr>
      </w:pPr>
    </w:p>
    <w:p>
      <w:pPr>
        <w:ind w:left="900" w:right="80" w:hanging="525"/>
        <w:spacing w:after="0" w:line="22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4.44</w:t>
      </w:r>
      <w:r>
        <w:rPr>
          <w:sz w:val="20"/>
          <w:szCs w:val="20"/>
          <w:color w:val="auto"/>
        </w:rPr>
        <w:tab/>
      </w:r>
      <w:hyperlink r:id="rId151">
        <w:r>
          <w:rPr>
            <w:rFonts w:ascii="Times New Roman" w:cs="Times New Roman" w:eastAsia="Times New Roman" w:hAnsi="Times New Roman"/>
            <w:sz w:val="17"/>
            <w:szCs w:val="17"/>
            <w:u w:val="single" w:color="auto"/>
            <w:color w:val="0000FF"/>
          </w:rPr>
          <w:t>Intercreditor Agreement dated as of June 30, 2017, among Clean Harbors, Inc., and the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subsidiaries of Clean Harbors, Inc. listed on the signature pages thereto (together with any</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subsidiary that becomes a party thereto after the date thereof), Bank of America, N.A., as the</w:t>
        </w:r>
      </w:hyperlink>
    </w:p>
    <w:p>
      <w:pPr>
        <w:ind w:left="900" w:right="2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Initial ABL Agent, and Goldman Sachs Lending Partners LLC, as agent under the Term Loan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Agreement</w:t>
        </w:r>
      </w:hyperlink>
    </w:p>
    <w:p>
      <w:pPr>
        <w:spacing w:after="0" w:line="9" w:lineRule="exact"/>
        <w:rPr>
          <w:sz w:val="20"/>
          <w:szCs w:val="20"/>
          <w:color w:val="auto"/>
        </w:rPr>
      </w:pPr>
    </w:p>
    <w:p>
      <w:pPr>
        <w:ind w:left="900" w:right="180" w:hanging="525"/>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4.45</w:t>
      </w:r>
      <w:r>
        <w:rPr>
          <w:sz w:val="20"/>
          <w:szCs w:val="20"/>
          <w:color w:val="auto"/>
        </w:rPr>
        <w:tab/>
      </w:r>
      <w:hyperlink r:id="rId152">
        <w:r>
          <w:rPr>
            <w:rFonts w:ascii="Times New Roman" w:cs="Times New Roman" w:eastAsia="Times New Roman" w:hAnsi="Times New Roman"/>
            <w:sz w:val="18"/>
            <w:szCs w:val="18"/>
            <w:u w:val="single" w:color="auto"/>
            <w:color w:val="0000FF"/>
          </w:rPr>
          <w:t>Indenture dated as of July 2, 2019, among Clean Harbors, Inc., as Issuer, the subsidiaries of</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Clean Harbors, Inc. named therein as Guarantors, and U.S. Bank National Association, as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Trustee</w:t>
        </w:r>
      </w:hyperlink>
    </w:p>
    <w:p>
      <w:pPr>
        <w:spacing w:after="0" w:line="9" w:lineRule="exact"/>
        <w:rPr>
          <w:rFonts w:ascii="Times New Roman" w:cs="Times New Roman" w:eastAsia="Times New Roman" w:hAnsi="Times New Roman"/>
          <w:sz w:val="18"/>
          <w:szCs w:val="18"/>
          <w:u w:val="single" w:color="auto"/>
          <w:color w:val="0000FF"/>
        </w:rPr>
      </w:pPr>
    </w:p>
    <w:p>
      <w:pPr>
        <w:ind w:left="900" w:right="80" w:hanging="525"/>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4.46</w:t>
      </w:r>
      <w:r>
        <w:rPr>
          <w:sz w:val="20"/>
          <w:szCs w:val="20"/>
          <w:color w:val="auto"/>
        </w:rPr>
        <w:tab/>
      </w:r>
      <w:hyperlink r:id="rId153">
        <w:r>
          <w:rPr>
            <w:rFonts w:ascii="Times New Roman" w:cs="Times New Roman" w:eastAsia="Times New Roman" w:hAnsi="Times New Roman"/>
            <w:sz w:val="18"/>
            <w:szCs w:val="18"/>
            <w:u w:val="single" w:color="auto"/>
            <w:color w:val="0000FF"/>
          </w:rPr>
          <w:t>Indenture dated as of January 24, 2023, among Clean Harbors, Inc., the subsidiaries of Clean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Harbors, Inc. named therein as Guarantors, and U.S. Bank Trust Company, National</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Association, as Trustee</w:t>
        </w:r>
      </w:hyperlink>
    </w:p>
    <w:p>
      <w:pPr>
        <w:spacing w:after="0" w:line="9" w:lineRule="exact"/>
        <w:rPr>
          <w:rFonts w:ascii="Times New Roman" w:cs="Times New Roman" w:eastAsia="Times New Roman" w:hAnsi="Times New Roman"/>
          <w:sz w:val="18"/>
          <w:szCs w:val="18"/>
          <w:u w:val="single" w:color="auto"/>
          <w:color w:val="0000FF"/>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54">
        <w:r>
          <w:rPr>
            <w:rFonts w:ascii="Times New Roman" w:cs="Times New Roman" w:eastAsia="Times New Roman" w:hAnsi="Times New Roman"/>
            <w:sz w:val="17"/>
            <w:szCs w:val="17"/>
            <w:u w:val="single" w:color="auto"/>
            <w:color w:val="0000FF"/>
          </w:rPr>
          <w:t>Key Employee Retention Plan</w:t>
        </w:r>
      </w:hyperlink>
    </w:p>
    <w:p>
      <w:pPr>
        <w:spacing w:after="0" w:line="54" w:lineRule="exact"/>
        <w:rPr>
          <w:rFonts w:ascii="Times New Roman" w:cs="Times New Roman" w:eastAsia="Times New Roman" w:hAnsi="Times New Roman"/>
          <w:sz w:val="18"/>
          <w:szCs w:val="18"/>
          <w:u w:val="single" w:color="auto"/>
          <w:color w:val="0000FF"/>
        </w:rPr>
      </w:pPr>
    </w:p>
    <w:p>
      <w:pPr>
        <w:ind w:left="900" w:right="60" w:hanging="835"/>
        <w:spacing w:after="0" w:line="234"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10.43A*</w:t>
      </w:r>
      <w:r>
        <w:rPr>
          <w:sz w:val="20"/>
          <w:szCs w:val="20"/>
          <w:color w:val="auto"/>
        </w:rPr>
        <w:tab/>
      </w:r>
      <w:hyperlink r:id="rId155">
        <w:r>
          <w:rPr>
            <w:rFonts w:ascii="Times New Roman" w:cs="Times New Roman" w:eastAsia="Times New Roman" w:hAnsi="Times New Roman"/>
            <w:sz w:val="18"/>
            <w:szCs w:val="18"/>
            <w:u w:val="single" w:color="auto"/>
            <w:color w:val="0000FF"/>
          </w:rPr>
          <w:t>Form of Severance Agreement under Key Employee Retention Plan with Confidentiality and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Non-Competition Agreement</w:t>
        </w:r>
      </w:hyperlink>
    </w:p>
    <w:p>
      <w:pPr>
        <w:spacing w:after="0" w:line="10" w:lineRule="exact"/>
        <w:rPr>
          <w:sz w:val="20"/>
          <w:szCs w:val="20"/>
          <w:color w:val="auto"/>
        </w:rPr>
      </w:pPr>
    </w:p>
    <w:p>
      <w:pPr>
        <w:ind w:left="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10.52D*</w:t>
      </w:r>
      <w:r>
        <w:rPr>
          <w:sz w:val="20"/>
          <w:szCs w:val="20"/>
          <w:color w:val="auto"/>
        </w:rPr>
        <w:tab/>
      </w:r>
      <w:hyperlink r:id="rId156">
        <w:r>
          <w:rPr>
            <w:rFonts w:ascii="Times New Roman" w:cs="Times New Roman" w:eastAsia="Times New Roman" w:hAnsi="Times New Roman"/>
            <w:sz w:val="17"/>
            <w:szCs w:val="17"/>
            <w:u w:val="single" w:color="auto"/>
            <w:color w:val="0000FF"/>
          </w:rPr>
          <w:t>Clean Harbors, Inc. Amended and Restated Management Incentive Plan</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10.58*</w:t>
      </w:r>
      <w:r>
        <w:rPr>
          <w:sz w:val="20"/>
          <w:szCs w:val="20"/>
          <w:color w:val="auto"/>
        </w:rPr>
        <w:tab/>
      </w:r>
      <w:hyperlink r:id="rId157">
        <w:r>
          <w:rPr>
            <w:rFonts w:ascii="Times New Roman" w:cs="Times New Roman" w:eastAsia="Times New Roman" w:hAnsi="Times New Roman"/>
            <w:sz w:val="17"/>
            <w:szCs w:val="17"/>
            <w:u w:val="single" w:color="auto"/>
            <w:color w:val="0000FF"/>
          </w:rPr>
          <w:t>Clean Harbors, Inc. 2020 Stock Incentive Plan</w:t>
        </w:r>
      </w:hyperlink>
    </w:p>
    <w:p>
      <w:pPr>
        <w:spacing w:after="0" w:line="36" w:lineRule="exact"/>
        <w:rPr>
          <w:sz w:val="20"/>
          <w:szCs w:val="20"/>
          <w:color w:val="auto"/>
        </w:rPr>
      </w:pPr>
    </w:p>
    <w:p>
      <w:pPr>
        <w:ind w:left="900" w:right="220" w:hanging="8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10.58A*</w:t>
      </w:r>
      <w:r>
        <w:rPr>
          <w:sz w:val="20"/>
          <w:szCs w:val="20"/>
          <w:color w:val="auto"/>
        </w:rPr>
        <w:tab/>
      </w:r>
      <w:hyperlink r:id="rId158">
        <w:r>
          <w:rPr>
            <w:rFonts w:ascii="Times New Roman" w:cs="Times New Roman" w:eastAsia="Times New Roman" w:hAnsi="Times New Roman"/>
            <w:sz w:val="18"/>
            <w:szCs w:val="18"/>
            <w:u w:val="single" w:color="auto"/>
            <w:color w:val="0000FF"/>
          </w:rPr>
          <w:t>Form of Restricted Stock Award Agreement [Non-Employee Director] [for use under 2020</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Stock Incentive Plan]</w:t>
        </w:r>
      </w:hyperlink>
    </w:p>
    <w:p>
      <w:pPr>
        <w:ind w:left="8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10.58B*</w:t>
      </w:r>
      <w:r>
        <w:rPr>
          <w:sz w:val="20"/>
          <w:szCs w:val="20"/>
          <w:color w:val="auto"/>
        </w:rPr>
        <w:tab/>
      </w:r>
      <w:hyperlink r:id="rId159">
        <w:r>
          <w:rPr>
            <w:rFonts w:ascii="Times New Roman" w:cs="Times New Roman" w:eastAsia="Times New Roman" w:hAnsi="Times New Roman"/>
            <w:sz w:val="17"/>
            <w:szCs w:val="17"/>
            <w:u w:val="single" w:color="auto"/>
            <w:color w:val="0000FF"/>
          </w:rPr>
          <w:t>Form of Restricted Stock Award Agreement [Employee] [for use under Clean Harbors, Inc.</w:t>
        </w:r>
      </w:hyperlink>
    </w:p>
    <w:p>
      <w:pPr>
        <w:ind w:left="90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2020 Stock Incentive Plan]</w:t>
        </w:r>
      </w:hyperlink>
    </w:p>
    <w:p>
      <w:pPr>
        <w:spacing w:after="0" w:line="16" w:lineRule="exact"/>
        <w:rPr>
          <w:sz w:val="20"/>
          <w:szCs w:val="20"/>
          <w:color w:val="auto"/>
        </w:rPr>
      </w:pPr>
    </w:p>
    <w:p>
      <w:pPr>
        <w:ind w:left="900" w:right="600" w:hanging="82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10.58C*</w:t>
      </w:r>
      <w:r>
        <w:rPr>
          <w:sz w:val="20"/>
          <w:szCs w:val="20"/>
          <w:color w:val="auto"/>
        </w:rPr>
        <w:tab/>
      </w:r>
      <w:hyperlink r:id="rId160">
        <w:r>
          <w:rPr>
            <w:rFonts w:ascii="Times New Roman" w:cs="Times New Roman" w:eastAsia="Times New Roman" w:hAnsi="Times New Roman"/>
            <w:sz w:val="18"/>
            <w:szCs w:val="18"/>
            <w:u w:val="single" w:color="auto"/>
            <w:color w:val="0000FF"/>
          </w:rPr>
          <w:t>Form of Performance-Based Restricted Stock Award Agreement [for use under Clean</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Harbors, Inc. 2020 Stock Incentive Plan]</w:t>
        </w:r>
      </w:hyperlink>
    </w:p>
    <w:p>
      <w:pPr>
        <w:spacing w:after="0" w:line="1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10.59*</w:t>
      </w:r>
      <w:r>
        <w:rPr>
          <w:sz w:val="20"/>
          <w:szCs w:val="20"/>
          <w:color w:val="auto"/>
        </w:rPr>
        <w:tab/>
      </w:r>
      <w:hyperlink r:id="rId161">
        <w:r>
          <w:rPr>
            <w:rFonts w:ascii="Times New Roman" w:cs="Times New Roman" w:eastAsia="Times New Roman" w:hAnsi="Times New Roman"/>
            <w:sz w:val="17"/>
            <w:szCs w:val="17"/>
            <w:u w:val="single" w:color="auto"/>
            <w:color w:val="0000FF"/>
          </w:rPr>
          <w:t>Michael Battles accepted offer letter dated November 1, 2022</w:t>
        </w:r>
      </w:hyperlink>
    </w:p>
    <w:p>
      <w:pPr>
        <w:spacing w:after="0" w:line="50" w:lineRule="exact"/>
        <w:rPr>
          <w:sz w:val="20"/>
          <w:szCs w:val="20"/>
          <w:color w:val="auto"/>
        </w:rPr>
      </w:pPr>
    </w:p>
    <w:p>
      <w:pPr>
        <w:ind w:left="900" w:right="580" w:hanging="70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10.60*</w:t>
      </w:r>
      <w:r>
        <w:rPr>
          <w:sz w:val="20"/>
          <w:szCs w:val="20"/>
          <w:color w:val="auto"/>
        </w:rPr>
        <w:tab/>
      </w:r>
      <w:hyperlink r:id="rId162">
        <w:r>
          <w:rPr>
            <w:rFonts w:ascii="Times New Roman" w:cs="Times New Roman" w:eastAsia="Times New Roman" w:hAnsi="Times New Roman"/>
            <w:sz w:val="18"/>
            <w:szCs w:val="18"/>
            <w:u w:val="single" w:color="auto"/>
            <w:color w:val="0000FF"/>
          </w:rPr>
          <w:t>Severance Agreement dated as of November 1, 2022 between Michael Battles and the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Company</w:t>
        </w:r>
      </w:hyperlink>
    </w:p>
    <w:p>
      <w:pPr>
        <w:spacing w:after="0" w:line="1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10.61*</w:t>
      </w:r>
      <w:r>
        <w:rPr>
          <w:sz w:val="20"/>
          <w:szCs w:val="20"/>
          <w:color w:val="auto"/>
        </w:rPr>
        <w:tab/>
      </w:r>
      <w:hyperlink r:id="rId163">
        <w:r>
          <w:rPr>
            <w:rFonts w:ascii="Times New Roman" w:cs="Times New Roman" w:eastAsia="Times New Roman" w:hAnsi="Times New Roman"/>
            <w:sz w:val="17"/>
            <w:szCs w:val="17"/>
            <w:u w:val="single" w:color="auto"/>
            <w:color w:val="0000FF"/>
          </w:rPr>
          <w:t>Eric Gerstenberg accepted offer letter dated November 1, 2022</w:t>
        </w:r>
      </w:hyperlink>
    </w:p>
    <w:p>
      <w:pPr>
        <w:spacing w:after="0" w:line="50" w:lineRule="exact"/>
        <w:rPr>
          <w:sz w:val="20"/>
          <w:szCs w:val="20"/>
          <w:color w:val="auto"/>
        </w:rPr>
      </w:pPr>
    </w:p>
    <w:p>
      <w:pPr>
        <w:ind w:left="900" w:right="480" w:hanging="70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10.62*</w:t>
      </w:r>
      <w:r>
        <w:rPr>
          <w:sz w:val="20"/>
          <w:szCs w:val="20"/>
          <w:color w:val="auto"/>
        </w:rPr>
        <w:tab/>
      </w:r>
      <w:hyperlink r:id="rId164">
        <w:r>
          <w:rPr>
            <w:rFonts w:ascii="Times New Roman" w:cs="Times New Roman" w:eastAsia="Times New Roman" w:hAnsi="Times New Roman"/>
            <w:sz w:val="18"/>
            <w:szCs w:val="18"/>
            <w:u w:val="single" w:color="auto"/>
            <w:color w:val="0000FF"/>
          </w:rPr>
          <w:t>Severance Agreement dated as of November 1, 2022 between Eric Gerstenberg and the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Company</w:t>
        </w:r>
      </w:hyperlink>
    </w:p>
    <w:p>
      <w:pPr>
        <w:spacing w:after="0" w:line="1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10.63*</w:t>
      </w:r>
      <w:r>
        <w:rPr>
          <w:sz w:val="20"/>
          <w:szCs w:val="20"/>
          <w:color w:val="auto"/>
        </w:rPr>
        <w:tab/>
      </w:r>
      <w:hyperlink r:id="rId165">
        <w:r>
          <w:rPr>
            <w:rFonts w:ascii="Times New Roman" w:cs="Times New Roman" w:eastAsia="Times New Roman" w:hAnsi="Times New Roman"/>
            <w:sz w:val="17"/>
            <w:szCs w:val="17"/>
            <w:u w:val="single" w:color="auto"/>
            <w:color w:val="0000FF"/>
          </w:rPr>
          <w:t>Alan McKim accepted offer letter dated November 1, 2022</w:t>
        </w:r>
      </w:hyperlink>
    </w:p>
    <w:p>
      <w:pPr>
        <w:spacing w:after="0" w:line="5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10.64*</w:t>
      </w:r>
      <w:r>
        <w:rPr>
          <w:sz w:val="20"/>
          <w:szCs w:val="20"/>
          <w:color w:val="auto"/>
        </w:rPr>
        <w:tab/>
      </w:r>
      <w:hyperlink r:id="rId166">
        <w:r>
          <w:rPr>
            <w:rFonts w:ascii="Times New Roman" w:cs="Times New Roman" w:eastAsia="Times New Roman" w:hAnsi="Times New Roman"/>
            <w:sz w:val="17"/>
            <w:szCs w:val="17"/>
            <w:u w:val="single" w:color="auto"/>
            <w:color w:val="0000FF"/>
          </w:rPr>
          <w:t>Eric J. Dugas accepted offer letter dated February 24, 2023</w:t>
        </w:r>
      </w:hyperlink>
    </w:p>
    <w:p>
      <w:pPr>
        <w:spacing w:after="0" w:line="5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10.65*</w:t>
      </w:r>
      <w:r>
        <w:rPr>
          <w:sz w:val="20"/>
          <w:szCs w:val="20"/>
          <w:color w:val="auto"/>
        </w:rPr>
        <w:tab/>
      </w:r>
      <w:hyperlink r:id="rId167">
        <w:r>
          <w:rPr>
            <w:rFonts w:ascii="Times New Roman" w:cs="Times New Roman" w:eastAsia="Times New Roman" w:hAnsi="Times New Roman"/>
            <w:sz w:val="17"/>
            <w:szCs w:val="17"/>
            <w:u w:val="single" w:color="auto"/>
            <w:color w:val="0000FF"/>
          </w:rPr>
          <w:t>Brian Weber accepted offer letter dated February 24, 2023</w:t>
        </w:r>
      </w:hyperlink>
    </w:p>
    <w:p>
      <w:pPr>
        <w:spacing w:after="0" w:line="63" w:lineRule="exact"/>
        <w:rPr>
          <w:sz w:val="20"/>
          <w:szCs w:val="20"/>
          <w:color w:val="auto"/>
        </w:rPr>
      </w:pPr>
    </w:p>
    <w:p>
      <w:pPr>
        <w:ind w:left="900" w:hanging="462"/>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w:t>
      </w:r>
    </w:p>
    <w:p>
      <w:pPr>
        <w:spacing w:after="0" w:line="49" w:lineRule="exact"/>
        <w:rPr>
          <w:rFonts w:ascii="Times New Roman" w:cs="Times New Roman" w:eastAsia="Times New Roman" w:hAnsi="Times New Roman"/>
          <w:sz w:val="18"/>
          <w:szCs w:val="18"/>
          <w:color w:val="auto"/>
        </w:rPr>
      </w:pPr>
    </w:p>
    <w:p>
      <w:pPr>
        <w:ind w:left="900" w:hanging="462"/>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w:t>
      </w:r>
    </w:p>
    <w:p>
      <w:pPr>
        <w:spacing w:after="0" w:line="49" w:lineRule="exact"/>
        <w:rPr>
          <w:rFonts w:ascii="Times New Roman" w:cs="Times New Roman" w:eastAsia="Times New Roman" w:hAnsi="Times New Roman"/>
          <w:sz w:val="18"/>
          <w:szCs w:val="18"/>
          <w:color w:val="auto"/>
        </w:rPr>
      </w:pPr>
    </w:p>
    <w:p>
      <w:pPr>
        <w:ind w:left="900" w:hanging="462"/>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49" w:lineRule="exact"/>
        <w:rPr>
          <w:rFonts w:ascii="Times New Roman" w:cs="Times New Roman" w:eastAsia="Times New Roman" w:hAnsi="Times New Roman"/>
          <w:sz w:val="18"/>
          <w:szCs w:val="18"/>
          <w:color w:val="auto"/>
        </w:rPr>
      </w:pPr>
    </w:p>
    <w:p>
      <w:pPr>
        <w:ind w:left="900" w:hanging="462"/>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w:t>
      </w:r>
    </w:p>
    <w:p>
      <w:pPr>
        <w:spacing w:after="0" w:line="36"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Co-CEO Michael L. Battles</w:t>
      </w:r>
    </w:p>
    <w:p>
      <w:pPr>
        <w:spacing w:after="0" w:line="50"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Co-CEO Eric W. Gerstenberg</w:t>
      </w:r>
    </w:p>
    <w:p>
      <w:pPr>
        <w:spacing w:after="0" w:line="50"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CFO Eric J. Dugas</w:t>
      </w:r>
    </w:p>
    <w:p>
      <w:pPr>
        <w:spacing w:after="0" w:line="63" w:lineRule="exact"/>
        <w:rPr>
          <w:sz w:val="20"/>
          <w:szCs w:val="20"/>
          <w:color w:val="auto"/>
        </w:rPr>
      </w:pPr>
    </w:p>
    <w:p>
      <w:pPr>
        <w:ind w:left="900" w:hanging="462"/>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(16)</w:t>
      </w:r>
    </w:p>
    <w:p>
      <w:pPr>
        <w:spacing w:after="0" w:line="3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(18)</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(19)</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(21)</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(22)</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(22)</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(22)</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11" w:lineRule="exact"/>
        <w:rPr>
          <w:sz w:val="20"/>
          <w:szCs w:val="20"/>
          <w:color w:val="auto"/>
        </w:rPr>
      </w:pPr>
    </w:p>
    <w:p>
      <w:pPr>
        <w:sectPr>
          <w:pgSz w:w="11900" w:h="16838" w:orient="portrait"/>
          <w:cols w:equalWidth="0" w:num="2">
            <w:col w:w="7660" w:space="300"/>
            <w:col w:w="1059"/>
          </w:cols>
          <w:pgMar w:left="1440" w:top="10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26" w:right="1440" w:bottom="1440" w:gutter="0" w:footer="0" w:header="0"/>
          <w:type w:val="continuous"/>
        </w:sectPr>
      </w:pPr>
    </w:p>
    <w:bookmarkStart w:id="99" w:name="page100"/>
    <w:bookmarkEnd w:id="99"/>
    <w:p>
      <w:pPr>
        <w:ind w:left="2000" w:hanging="455"/>
        <w:spacing w:after="0"/>
        <w:tabs>
          <w:tab w:leader="none" w:pos="2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Clawback Policy</w:t>
      </w:r>
    </w:p>
    <w:p>
      <w:pPr>
        <w:spacing w:after="0" w:line="36" w:lineRule="exact"/>
        <w:rPr>
          <w:sz w:val="20"/>
          <w:szCs w:val="20"/>
          <w:color w:val="auto"/>
        </w:rPr>
      </w:pPr>
    </w:p>
    <w:p>
      <w:pPr>
        <w:ind w:left="2000" w:hanging="545"/>
        <w:spacing w:after="0" w:line="217" w:lineRule="auto"/>
        <w:tabs>
          <w:tab w:leader="none" w:pos="2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fiscal year ended December 31, 2023, formatted in iXBRL (Inline eXtensible Business Reporting Language): (i) Consolidated Balance Sheets, (ii) Consolidated Statements of Operations, (iii) Consolidated Statements of Comprehensive Income, (iv) Consolidated Statements of Cash Flows, (v) Consolidated Statements of Stockholders' Equity and (vi) Notes to Consolidated Financial Statements, tagged as blocks of text</w:t>
      </w:r>
    </w:p>
    <w:p>
      <w:pPr>
        <w:spacing w:after="0" w:line="11" w:lineRule="exact"/>
        <w:rPr>
          <w:sz w:val="20"/>
          <w:szCs w:val="20"/>
          <w:color w:val="auto"/>
        </w:rPr>
      </w:pPr>
    </w:p>
    <w:p>
      <w:pPr>
        <w:ind w:left="2000" w:right="440" w:hanging="545"/>
        <w:spacing w:after="0" w:line="237" w:lineRule="auto"/>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the Company's Annual Report on Form 10-K for the fiscal year ended December 31, 2023, formatted in iXBRL and contained in Exhibit 101.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1480" w:lineRule="exact"/>
        <w:rPr>
          <w:sz w:val="20"/>
          <w:szCs w:val="20"/>
          <w:color w:val="auto"/>
        </w:rPr>
      </w:pPr>
    </w:p>
    <w:p>
      <w:pPr>
        <w:sectPr>
          <w:pgSz w:w="11900" w:h="16838" w:orient="portrait"/>
          <w:cols w:equalWidth="0" w:num="2">
            <w:col w:w="8740" w:space="340"/>
            <w:col w:w="2100"/>
          </w:cols>
          <w:pgMar w:left="320" w:top="1039" w:right="399" w:bottom="1440" w:gutter="0" w:footer="0" w:header="0"/>
        </w:sect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A “management contract or compensatory plan or arrangement” filed as an exhibit to this report pursuant to Item 15(a)(3) of Form 10-K.</w:t>
      </w:r>
    </w:p>
    <w:p>
      <w:pPr>
        <w:spacing w:after="0" w:line="144"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October 31, 2012.</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August 4, 2021.</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May 19, 2005.</w:t>
      </w:r>
    </w:p>
    <w:p>
      <w:pPr>
        <w:spacing w:after="0" w:line="14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May 12, 2011.</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March 16, 2022.</w:t>
      </w:r>
    </w:p>
    <w:p>
      <w:pPr>
        <w:spacing w:after="0" w:line="157"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40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prospectus supplement dated November 28, 2012 filed on November 28, 2012 under the Company’s Registration Statement on Form S-3 (File No. 333-185141).</w:t>
      </w:r>
    </w:p>
    <w:p>
      <w:pPr>
        <w:spacing w:after="0" w:line="8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October 30, 2020.</w:t>
      </w:r>
    </w:p>
    <w:p>
      <w:pPr>
        <w:spacing w:after="0" w:line="15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40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10-Q Quarterly Report for the Quarterly Period ended March 31, 2023.</w:t>
      </w:r>
    </w:p>
    <w:p>
      <w:pPr>
        <w:spacing w:after="0" w:line="9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November 2, 2016.</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June 30, 2017.</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April 17, 2018.</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Report on Form 8-K filed on July 20, 2018.</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October 12, 2021.</w:t>
      </w:r>
    </w:p>
    <w:p>
      <w:pPr>
        <w:spacing w:after="0" w:line="157"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4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10-Q Quarterly Report for the Quarterly Period ended June 30, 2023.</w:t>
      </w:r>
    </w:p>
    <w:p>
      <w:pPr>
        <w:spacing w:after="0" w:line="8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December 28, 2023.</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July 3, 2019.</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January 25, 2023.</w:t>
      </w:r>
    </w:p>
    <w:p>
      <w:pPr>
        <w:spacing w:after="0" w:line="144" w:lineRule="exact"/>
        <w:rPr>
          <w:rFonts w:ascii="Times New Roman" w:cs="Times New Roman" w:eastAsia="Times New Roman" w:hAnsi="Times New Roman"/>
          <w:sz w:val="18"/>
          <w:szCs w:val="18"/>
          <w:color w:val="auto"/>
        </w:rPr>
      </w:pPr>
    </w:p>
    <w:p>
      <w:pPr>
        <w:ind w:left="660" w:hanging="652"/>
        <w:spacing w:after="0" w:line="282" w:lineRule="auto"/>
        <w:tabs>
          <w:tab w:leader="none" w:pos="4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10-Q Quarterly Report for the quarterly period ended March 31, 1999.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100" w:name="page101"/>
    <w:bookmarkEnd w:id="100"/>
    <w:p>
      <w:pPr>
        <w:ind w:left="472" w:hanging="472"/>
        <w:spacing w:after="0"/>
        <w:tabs>
          <w:tab w:leader="none" w:pos="4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10-K Annual Report for the Year ended December 31, 2010.</w:t>
      </w:r>
    </w:p>
    <w:p>
      <w:pPr>
        <w:spacing w:after="0" w:line="157" w:lineRule="exact"/>
        <w:rPr>
          <w:rFonts w:ascii="Times New Roman" w:cs="Times New Roman" w:eastAsia="Times New Roman" w:hAnsi="Times New Roman"/>
          <w:sz w:val="18"/>
          <w:szCs w:val="18"/>
          <w:color w:val="auto"/>
        </w:rPr>
      </w:pPr>
    </w:p>
    <w:p>
      <w:pPr>
        <w:ind w:left="652" w:hanging="652"/>
        <w:spacing w:after="0" w:line="282" w:lineRule="auto"/>
        <w:tabs>
          <w:tab w:leader="none" w:pos="4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for its 2021 annual meeting of shareholders filed on April 23, 2021.</w:t>
      </w:r>
    </w:p>
    <w:p>
      <w:pPr>
        <w:spacing w:after="0" w:line="80" w:lineRule="exact"/>
        <w:rPr>
          <w:rFonts w:ascii="Times New Roman" w:cs="Times New Roman" w:eastAsia="Times New Roman" w:hAnsi="Times New Roman"/>
          <w:sz w:val="18"/>
          <w:szCs w:val="18"/>
          <w:color w:val="auto"/>
        </w:rPr>
      </w:pPr>
    </w:p>
    <w:p>
      <w:pPr>
        <w:ind w:left="652" w:hanging="652"/>
        <w:spacing w:after="0" w:line="282" w:lineRule="auto"/>
        <w:tabs>
          <w:tab w:leader="none" w:pos="4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for its 2020 annual meeting of shareholders filed on April 24, 2020.</w:t>
      </w:r>
    </w:p>
    <w:p>
      <w:pPr>
        <w:spacing w:after="0" w:line="94"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June 3, 2020.</w:t>
      </w:r>
    </w:p>
    <w:p>
      <w:pPr>
        <w:spacing w:after="0" w:line="157"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November 2, 2022.</w:t>
      </w:r>
    </w:p>
    <w:p>
      <w:pPr>
        <w:spacing w:after="0" w:line="144"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March 1, 2023.</w:t>
      </w:r>
    </w:p>
    <w:p>
      <w:pPr>
        <w:spacing w:after="0" w:line="157"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72"/>
          </w:cols>
          <w:pgMar w:left="328" w:top="891" w:right="3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t>EXHIBIT 19</w:t>
      </w:r>
    </w:p>
    <w:p>
      <w:pPr>
        <w:spacing w:after="0" w:line="200" w:lineRule="exact"/>
        <w:rPr>
          <w:sz w:val="20"/>
          <w:szCs w:val="20"/>
          <w:color w:val="auto"/>
        </w:rPr>
      </w:pPr>
    </w:p>
    <w:p>
      <w:pPr>
        <w:spacing w:after="0" w:line="3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General Policies &amp; Procedures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LW 5.0 Disclosure of Material Information/Insider Trading</w:t>
      </w:r>
    </w:p>
    <w:p>
      <w:pPr>
        <w:spacing w:after="0" w:line="22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 &amp; Statement of Policy</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Insider Trading Policy describes the standards of Clean Harbors, Inc. and its subsidiaries (collectively, the “Company”) on trading, and causing the trading of, the Company’s securities or securities of certain other publicly traded companies while in possession of confidential information. This Policy is divided into two parts: Part I applies to all of the Company’s directors, officers and employees and their respective immediate family members, and Part II imposes certain additional trading restrictions on members of the Company’s Board of Directors and Executive Staff (collectively, “Company Insiders”) and certain other employees that the Company’s Chief Financial Officer (“CFO”) or General Counsel may designate from time to time because of their position, responsibilities or their actual or potential access to material information. As used in this Policy, “Covered Persons” means, collectively, the Company Insiders and any such other designated employees.</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2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This Policy applies to all trading or other transactions in (i) the Company’s securities, including common stock, options and any other securities that the Company may issue, such as preferred stock, notes,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 For this purpose, “trading” means any purchase, sale, simultaneous exercise of a stock option and sale of option shares (other than a sale consisting solely of forfeiture of shares to the Company in order to satisfy tax withholding requirements), loan (including subjecting any Company securities to a margin requirement), gift or similar transaction.</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 person who violates insider trading laws by engaging in transactions in a company’s securities when he or she has material nonpublic information can be subject to fines and other criminal penalties. In addition, a person who tips others may also be liable for transactions by the tippees to whom he or she has disclosed material nonpublic information even if the tipper did not profit from the transaction.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Employees who violate this Policy may also be subject to disciplinary action by the Company, including dismissal for cause. Any exceptions to the Policy, if permitted, may only be</w:t>
      </w:r>
    </w:p>
    <w:p>
      <w:pPr>
        <w:sectPr>
          <w:pgSz w:w="11900" w:h="16838" w:orient="portrait"/>
          <w:cols w:equalWidth="0" w:num="1">
            <w:col w:w="11240"/>
          </w:cols>
          <w:pgMar w:left="320" w:top="927" w:right="339" w:bottom="1440" w:gutter="0" w:footer="0" w:header="0"/>
        </w:sectPr>
      </w:pPr>
    </w:p>
    <w:bookmarkStart w:id="102" w:name="page103"/>
    <w:bookmarkEnd w:id="10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22"/>
          <w:szCs w:val="22"/>
          <w:color w:val="auto"/>
        </w:rPr>
        <w:t>granted by the Company’s General Counsel and must be provided before any activity contrary to the above requirements takes place.</w:t>
      </w:r>
    </w:p>
    <w:p>
      <w:pPr>
        <w:spacing w:after="0" w:line="150"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22"/>
          <w:szCs w:val="22"/>
          <w:color w:val="auto"/>
        </w:rPr>
        <w:t xml:space="preserve">The Company has appointed the Company’s General Counsel as the compliance officer for this Policy. Michael McDonald is the Company’s current General Counsel and his current email address is </w:t>
      </w:r>
      <w:r>
        <w:rPr>
          <w:rFonts w:ascii="Times New Roman" w:cs="Times New Roman" w:eastAsia="Times New Roman" w:hAnsi="Times New Roman"/>
          <w:sz w:val="22"/>
          <w:szCs w:val="22"/>
          <w:u w:val="single" w:color="auto"/>
          <w:color w:val="661DE8"/>
        </w:rPr>
        <w:t>mcdonaldm@cleanharbors.com</w:t>
      </w:r>
      <w:r>
        <w:rPr>
          <w:rFonts w:ascii="Times New Roman" w:cs="Times New Roman" w:eastAsia="Times New Roman" w:hAnsi="Times New Roman"/>
          <w:sz w:val="22"/>
          <w:szCs w:val="22"/>
          <w:color w:val="auto"/>
        </w:rPr>
        <w:t>. If a change with respect to the General Counsel occurs while this Policy is in effect, the General Counsel will notify the then Covered Persons in writing. The role of the General Counsel under this Policy include, but are not limited to, the following:</w:t>
      </w:r>
    </w:p>
    <w:p>
      <w:pPr>
        <w:spacing w:after="0" w:line="3" w:lineRule="exact"/>
        <w:rPr>
          <w:sz w:val="20"/>
          <w:szCs w:val="20"/>
          <w:color w:val="auto"/>
        </w:rPr>
      </w:pPr>
    </w:p>
    <w:p>
      <w:pPr>
        <w:ind w:left="1940" w:hanging="636"/>
        <w:spacing w:after="0"/>
        <w:tabs>
          <w:tab w:leader="none" w:pos="194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with implementation and enforcement of this Policy;</w:t>
      </w:r>
    </w:p>
    <w:p>
      <w:pPr>
        <w:spacing w:after="0" w:line="155"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42"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circulating this Policy to all employees and ensuring that this Policy is amended as necessary to remain up-to-date with insider trading laws;</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48"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pre-clearing all trading in securities of the Company by Covered Persons in accordance with the procedures set forth in Part II, Section 3 below; and</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36"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if deemed appropriate approving, any Rule 10b5-1 Plans under Part II, Section 1(c) below and any prohibited transactions under Part II, Section 4 below.</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restrictions in this Policy do not apply to the following:</w:t>
      </w:r>
    </w:p>
    <w:p>
      <w:pPr>
        <w:spacing w:after="0" w:line="179" w:lineRule="exact"/>
        <w:rPr>
          <w:rFonts w:ascii="Times New Roman" w:cs="Times New Roman" w:eastAsia="Times New Roman" w:hAnsi="Times New Roman"/>
          <w:sz w:val="22"/>
          <w:szCs w:val="22"/>
          <w:color w:val="auto"/>
        </w:rPr>
      </w:pPr>
    </w:p>
    <w:p>
      <w:pPr>
        <w:ind w:right="420" w:firstLine="656"/>
        <w:spacing w:after="0" w:line="225" w:lineRule="auto"/>
        <w:tabs>
          <w:tab w:leader="none" w:pos="129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Shares under Restricted Stock Awards</w:t>
      </w:r>
      <w:r>
        <w:rPr>
          <w:rFonts w:ascii="Times New Roman" w:cs="Times New Roman" w:eastAsia="Times New Roman" w:hAnsi="Times New Roman"/>
          <w:sz w:val="22"/>
          <w:szCs w:val="22"/>
          <w:color w:val="auto"/>
        </w:rPr>
        <w:t>. The vesting of shares under a restricted stock award and the withholding of shares to cover tax due are not restricted by this Policy. Newly vested shares, however, are subject to the restrictions under this Policy.</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9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Purchasing Company shares through periodic automatic payroll contributions pursuant to a Company Employee Stock Purchase Plan ("ESPP"), if the Company then has an ESPP in effect. However, electing to enroll in an ESPP, making any changes in your elections under the ESPP and selling any Company stock acquired under the ESPP are subject to the trading restrictions under this Policy.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220" w:firstLine="648"/>
        <w:spacing w:after="0" w:line="409" w:lineRule="auto"/>
        <w:rPr>
          <w:sz w:val="20"/>
          <w:szCs w:val="20"/>
          <w:color w:val="auto"/>
        </w:rPr>
      </w:pPr>
      <w:r>
        <w:rPr>
          <w:rFonts w:ascii="Times New Roman" w:cs="Times New Roman" w:eastAsia="Times New Roman" w:hAnsi="Times New Roman"/>
          <w:sz w:val="22"/>
          <w:szCs w:val="22"/>
          <w:color w:val="auto"/>
        </w:rPr>
        <w:t xml:space="preserve">If you have any questions regarding any of the provisions of this Policy, please contact the General Counsel. </w:t>
      </w:r>
      <w:r>
        <w:rPr>
          <w:rFonts w:ascii="Times New Roman" w:cs="Times New Roman" w:eastAsia="Times New Roman" w:hAnsi="Times New Roman"/>
          <w:sz w:val="22"/>
          <w:szCs w:val="22"/>
          <w:b w:val="1"/>
          <w:bCs w:val="1"/>
          <w:color w:val="auto"/>
        </w:rPr>
        <w:t>PART I</w:t>
      </w:r>
    </w:p>
    <w:p>
      <w:pPr>
        <w:spacing w:after="0" w:line="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Policy: No Trading or Causing Trading While in Possession of Material Nonpublic Information.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of the Company or any of their immediate family members may purchase or sell, or offer to purchase or sell, any Company security, whether or not issued by the Company, while in possession of material nonpublic information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Company. The terms “material” and “nonpublic” are defined in Part I, Section 2(a) and (b) below.</w:t>
      </w:r>
    </w:p>
    <w:p>
      <w:pPr>
        <w:spacing w:after="0" w:line="179" w:lineRule="exact"/>
        <w:rPr>
          <w:sz w:val="20"/>
          <w:szCs w:val="20"/>
          <w:color w:val="auto"/>
        </w:rPr>
      </w:pPr>
    </w:p>
    <w:p>
      <w:pPr>
        <w:jc w:val="both"/>
        <w:ind w:firstLine="656"/>
        <w:spacing w:after="0" w:line="225" w:lineRule="auto"/>
        <w:tabs>
          <w:tab w:leader="none" w:pos="129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of the Company or any of their immediate family members who knows of any material nonpublic information about the Company may communicate that information to (“tip”) any other person, including family members and friends, or otherwise disclose such information without the Company’s authorization.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officer or employee of the Company or any of their immediate family members may purchase or sell any security of any other publicly traded company while in possession of material nonpublic information that was obtained in the course of his or her involvement with the Company. No director, officer or employee of the Company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153"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General Counsel.</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Information dealing with the following subjects is reasonably likely to be found material in particular situations:</w:t>
      </w:r>
    </w:p>
    <w:p>
      <w:pPr>
        <w:spacing w:after="0" w:line="179"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financial results or prospects;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write-downs in assets or increases in reserves;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significant litigation or government agency investigations;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problems;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earnings estimates or unusual gains or losses in major operations;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the Company’s management or the board of directors;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accounting methods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or loss of a significant contract;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179" w:lineRule="exact"/>
        <w:rPr>
          <w:rFonts w:ascii="Times New Roman" w:cs="Times New Roman" w:eastAsia="Times New Roman" w:hAnsi="Times New Roman"/>
          <w:sz w:val="22"/>
          <w:szCs w:val="22"/>
          <w:color w:val="auto"/>
        </w:rPr>
      </w:pPr>
    </w:p>
    <w:p>
      <w:pPr>
        <w:ind w:left="1300" w:right="20" w:firstLine="4"/>
        <w:spacing w:after="0" w:line="255" w:lineRule="auto"/>
        <w:tabs>
          <w:tab w:leader="none" w:pos="194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proposals, plans or agreements, even if preliminary in nature, involving mergers, acquisitions, divestitures, recapitalizations, strategic alliances, licensing arrangements, or purchases or sales of substantial assets; and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offerings of Company securities.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22"/>
          <w:szCs w:val="22"/>
          <w:b w:val="1"/>
          <w:bCs w:val="1"/>
          <w:color w:val="auto"/>
        </w:rPr>
        <w:t>If you are unsure whether information is material, you should either consult the General Counsel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before making any decision to disclose such information (other than to persons who need to know it) or to trade in or recommend securities to which that information relates or assume that the information is material.</w:t>
      </w:r>
    </w:p>
    <w:p>
      <w:pPr>
        <w:spacing w:after="0" w:line="158" w:lineRule="exact"/>
        <w:rPr>
          <w:sz w:val="20"/>
          <w:szCs w:val="20"/>
          <w:color w:val="auto"/>
        </w:rPr>
      </w:pPr>
    </w:p>
    <w:p>
      <w:pPr>
        <w:jc w:val="both"/>
        <w:ind w:firstLine="656"/>
        <w:spacing w:after="0" w:line="215"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Nonpublic information may include:</w:t>
      </w:r>
    </w:p>
    <w:p>
      <w:pPr>
        <w:spacing w:after="0" w:line="179"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available to a select group of analysts or brokers or institutional investors;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undisclosed facts that are the subject of rumors, even if the rumors are widely circulated; and</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5" w:lineRule="auto"/>
        <w:tabs>
          <w:tab w:leader="none" w:pos="19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4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As with questions of materiality, if you are not sure whether information is considered public, you should either consult with the General Counsel or assume that the information is nonpublic and treat it as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83"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Covered Persons are prohibited from trading in the Company’s securities during blackout periods as defined below.</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Trading in the Company’s securities is prohibited during the period beginning at the close of the market on the day which is the last day of each fiscal quarter and ending at the close of the market on the first trading day following the date the Company’s quarterly or annual financial results are publicly disclosed through a press release. During these periods, Covered Persons generally possess or are presumed to possess material nonpublic information about the Company’s financial results.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Blackout Periods</w:t>
      </w:r>
      <w:r>
        <w:rPr>
          <w:rFonts w:ascii="Times New Roman" w:cs="Times New Roman" w:eastAsia="Times New Roman" w:hAnsi="Times New Roman"/>
          <w:sz w:val="22"/>
          <w:szCs w:val="22"/>
          <w:color w:val="auto"/>
        </w:rPr>
        <w:t>. From time to time, other types of material nonpublic information regarding the Company (such as negotiation of mergers, acquisitions or dispositions, investigations, assessment of cybersecurity incidents or new product developments, or adoption or modification of Company stock buyback programs) may be pending and not be publicly disclosed. While such material nonpublic information is pending, the Company’s CFO or General Counsel may impose special blackout periods during which Covered Persons are prohibited from trading in the Company’s securities. If the Company imposes a special blackout period, it will notify the Covered Persons affected.</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 The trading restrictions relating to blackout periods described above do not apply to transactions under a pre-existing written plan, contract, instruction, or arrangement under Rule 10b5-1 under the Securities Exchange Act of 1934 which has been approved by the Company (an “Approved 10b5-1 Plan”). If you are considering entering into, modifying or terminating a 10b5-1 Plan or have any questions regarding 10b5-1 Plans, you must contact in advance the General Counsel. You should also consult your own legal and tax advisors before entering into, or modifying or terminating, a 10b5-1 Plan. A trading plan, contract, instruction or arrangement will not qualify as an Approved 10b5-1 Plan without the prior review and written approval of the General Counsel.</w:t>
      </w:r>
    </w:p>
    <w:p>
      <w:pPr>
        <w:spacing w:after="0" w:line="1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Window.</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Covered Persons are permitted to trade in the Company’s securities when no blackout period is in effect. Generally, this means that Covered Persons can trade during the period beginning on day that blackout period under Section 1(a) ends and ending on day that next blackout period under Section 1(a) begins.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156"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Securities Transactions.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Board of Directors and Executive Staff are required to confer with the General Counsel prior to engaging in any transaction in Company securities. Because these Company Insiders are likely to obtain material nonpublic information on a regular basis, the Company requires all such persons to refrain from trading, even during a trading window under Part II, Section 2 above, without first pre-clearing with the General Counsel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transactions in the Company’s securities. Such pre-clearing will also assist Company Insiders in complying with their reporting of transactions required under Section 16 of the Securities Exchange Act of 1934, as amended. </w:t>
      </w:r>
      <w:r>
        <w:rPr>
          <w:rFonts w:ascii="Times New Roman" w:cs="Times New Roman" w:eastAsia="Times New Roman" w:hAnsi="Times New Roman"/>
          <w:sz w:val="22"/>
          <w:szCs w:val="22"/>
          <w:b w:val="1"/>
          <w:bCs w:val="1"/>
          <w:color w:val="auto"/>
        </w:rPr>
        <w:t>All Company Insiders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personally liable for and obligated to coordinate with the General Counsel the filing of appropriate reports with the SEC whenever they engage in any trade of a Company security.</w:t>
      </w:r>
    </w:p>
    <w:p>
      <w:pPr>
        <w:spacing w:after="0" w:line="152" w:lineRule="exact"/>
        <w:rPr>
          <w:sz w:val="20"/>
          <w:szCs w:val="20"/>
          <w:color w:val="auto"/>
        </w:rPr>
      </w:pPr>
    </w:p>
    <w:p>
      <w:pPr>
        <w:jc w:val="both"/>
        <w:ind w:firstLine="656"/>
        <w:spacing w:after="0" w:line="217" w:lineRule="auto"/>
        <w:tabs>
          <w:tab w:leader="none" w:pos="12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exception in subsection (c) below, no members of the Board of Directors or Executive Staff may, directly or indirectly, purchase or sell (or otherwise make any transfer, gift, pledge or loan of) any Company security at any time without first obtaining prior approval from the General Counsel. These procedures also apply to transactions by such person’s spouse, other persons living in such person’s household and minor children and to transactions by entities over which such person exercises control.</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is not required for purchases and sales of securities under an Approved 10b5-1 Plan once the applicable cooling-off period specified therein has expired. However, no trades may be made under an Approved 10b5-1 Plan until expiration of the applicable cooling-off period. With respect to any purchase or sale under an Approved 10b5-1 Plan, the third party carrying out transactions on behalf of the Company Insider should be instructed to send duplicate confirmations of all such transactions to the General Counsel.</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Insiders, including any such person’s spouse, other persons living in such person’s household and minor children and entities over which such person exercises control, are prohibited from engaging in the following transactions in the Company’s securities unless advance approval is obtained from the General Counsel:</w:t>
      </w:r>
    </w:p>
    <w:p>
      <w:pPr>
        <w:spacing w:after="0" w:line="152"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36"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 Company Insiders who purchase Company securities may not sell any Company securities of the same class for at least six months after the purchase;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Company Insiders may not sell the Company’s securities short;</w:t>
      </w:r>
    </w:p>
    <w:p>
      <w:pPr>
        <w:spacing w:after="0" w:line="179" w:lineRule="exact"/>
        <w:rPr>
          <w:rFonts w:ascii="Times New Roman" w:cs="Times New Roman" w:eastAsia="Times New Roman" w:hAnsi="Times New Roman"/>
          <w:sz w:val="22"/>
          <w:szCs w:val="22"/>
          <w:color w:val="auto"/>
        </w:rPr>
      </w:pPr>
    </w:p>
    <w:p>
      <w:pPr>
        <w:ind w:left="1300" w:firstLine="4"/>
        <w:spacing w:after="0" w:line="236" w:lineRule="auto"/>
        <w:tabs>
          <w:tab w:leader="none" w:pos="1948"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trading</w:t>
      </w:r>
      <w:r>
        <w:rPr>
          <w:rFonts w:ascii="Times New Roman" w:cs="Times New Roman" w:eastAsia="Times New Roman" w:hAnsi="Times New Roman"/>
          <w:sz w:val="22"/>
          <w:szCs w:val="22"/>
          <w:color w:val="auto"/>
        </w:rPr>
        <w:t>. Company Insiders may not buy or sell puts or calls or other derivative securities on the Company’s securities;</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36"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margin or pledging</w:t>
      </w:r>
      <w:r>
        <w:rPr>
          <w:rFonts w:ascii="Times New Roman" w:cs="Times New Roman" w:eastAsia="Times New Roman" w:hAnsi="Times New Roman"/>
          <w:sz w:val="22"/>
          <w:szCs w:val="22"/>
          <w:color w:val="auto"/>
        </w:rPr>
        <w:t>. Company Insiders may not hold Company securities in a margin account or pledge Company securities as collateral for a loan; and</w:t>
      </w:r>
    </w:p>
    <w:p>
      <w:pPr>
        <w:spacing w:after="0" w:line="150"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43"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w:t>
      </w:r>
      <w:r>
        <w:rPr>
          <w:rFonts w:ascii="Times New Roman" w:cs="Times New Roman" w:eastAsia="Times New Roman" w:hAnsi="Times New Roman"/>
          <w:sz w:val="22"/>
          <w:szCs w:val="22"/>
          <w:color w:val="auto"/>
        </w:rPr>
        <w:t>. Company Insiders may not enter into hedging or monetization transactions or similar arrangements with respect to Company securities.</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and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Covered Persons are required to sign and deliver to the General Counsel an Acknowledgment and Certification in the form attached to this Insider Trading Policy.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 AND CERTIFICATION</w:t>
      </w:r>
    </w:p>
    <w:p>
      <w:pPr>
        <w:spacing w:after="0" w:line="183" w:lineRule="exact"/>
        <w:rPr>
          <w:sz w:val="20"/>
          <w:szCs w:val="20"/>
          <w:color w:val="auto"/>
        </w:rPr>
      </w:pPr>
    </w:p>
    <w:p>
      <w:pPr>
        <w:jc w:val="both"/>
        <w:ind w:right="320" w:firstLine="648"/>
        <w:spacing w:after="0" w:line="225" w:lineRule="auto"/>
        <w:rPr>
          <w:sz w:val="20"/>
          <w:szCs w:val="20"/>
          <w:color w:val="auto"/>
        </w:rPr>
      </w:pPr>
      <w:r>
        <w:rPr>
          <w:rFonts w:ascii="Times New Roman" w:cs="Times New Roman" w:eastAsia="Times New Roman" w:hAnsi="Times New Roman"/>
          <w:sz w:val="22"/>
          <w:szCs w:val="22"/>
          <w:color w:val="auto"/>
        </w:rPr>
        <w:t>The undersigned does hereby acknowledge receipt of the Company’s Insider Trading Policy. The undersigned has read and understands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(Signature)</w:t>
      </w:r>
    </w:p>
    <w:p>
      <w:pPr>
        <w:spacing w:after="0" w:line="1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(Please print name)</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Subsidiaries of Clean Harbors, Inc.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Ace/Allwaste Environmental Services of Indiana,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Illinois</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Altair Disposal Services,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Finance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Intermediate Corporate Holdings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Intermediate Holdings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Baton Rouge Disposal,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Bridgeport Disposal,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CARBER Holdings,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CB Canada Acquisition,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CB Canada Holdings,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CB US Holdings,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CH International Holdings,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Andover,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Aragonite,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Arizona,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Baton Rouge,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BDT,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Buttonwillow,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Canada,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Caribe,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Puerto Rico</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Chattanooga,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Clive,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Coffeyville,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Colfax,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Deer Park,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Deer Trail,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Development,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Disposal Services,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El Dorado,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Corp.*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LP*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and Industrial Western Ltd.*</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Services, ULC*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Environmental Services,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Exploration Services LP*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Exploration Services,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Nevada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Exploration Services, ULC*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Florida,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Grassy Mountain,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India LLP*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India</w:t>
            </w:r>
          </w:p>
        </w:tc>
      </w:tr>
      <w:tr>
        <w:trPr>
          <w:trHeight w:val="258"/>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Industrial Services Canada,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bl>
    <w:p>
      <w:pPr>
        <w:sectPr>
          <w:pgSz w:w="11900" w:h="16838" w:orient="portrait"/>
          <w:cols w:equalWidth="0" w:num="1">
            <w:col w:w="10820"/>
          </w:cols>
          <w:pgMar w:left="74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Innu Environmental Services,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Newfoundland</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Kansas,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Kimball Realty,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Kingston Facility Corporation</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LaPorte,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Laurel,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Lodging Services LP*</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Lodging Services, ULC*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Lone Mountain,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Mercier,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Baltimore, Inc. (DE Corp.)</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of Braintree,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Connecticut, Inc. (DE)</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Pecatonica,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Production Services, ULC*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Quebec,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Recycling Services of Chicago,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Recycling Services of Ohio,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Reidsville,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San Jose,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San Leon,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Services,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Partnership*</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Surface Rentals USA,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ULC*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Tennessee,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Westmorland,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White Castle,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Wichita,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Wilmington,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Confined Space Services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Cousins Waste Control,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Ohio</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Crowley Disposal,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Cyn Oil Corporation</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Debusk Industrial Services Company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Dene Nation Industrial Services LTD.*</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DFW Waste Oil Service,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Disposal Properties,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Emerald Services,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Washington</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EnviroSORT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Global Vapor Control,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Green View Technologies,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New Hampshire</w:t>
            </w:r>
          </w:p>
        </w:tc>
      </w:tr>
    </w:tbl>
    <w:p>
      <w:pPr>
        <w:sectPr>
          <w:pgSz w:w="11900" w:h="16838" w:orient="portrait"/>
          <w:cols w:equalWidth="0" w:num="1">
            <w:col w:w="10820"/>
          </w:cols>
          <w:pgMar w:left="74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4640" w:type="dxa"/>
            <w:vAlign w:val="bottom"/>
          </w:tcPr>
          <w:p>
            <w:pPr>
              <w:spacing w:after="0"/>
              <w:rPr>
                <w:sz w:val="19"/>
                <w:szCs w:val="19"/>
                <w:color w:val="auto"/>
              </w:rPr>
            </w:pP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
        </w:trPr>
        <w:tc>
          <w:tcPr>
            <w:tcW w:w="9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GSX Disposal,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60"/>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Hilliard Disposal,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HPC Industrial Group,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HPC Industrial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HPC PetroServ,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HydroChem Canada ULC*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IISG Central Region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IISG Gulf Coast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IISG Real Estate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Industrial Service Oil Company,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Inland Industrial Services Group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Inland Waters of Ohio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Inland Waters Pollution Control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Jesco Industrial Service,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Kentucky</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Laidlaw Environmental Services de Mexico S.A. de C.V.*</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Mexico</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LJ Energy Services Intermediate Holding Corp.</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Sylvan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Vacuum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West Enterprises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Oklahoma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West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West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Nevada</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Murphy's Waste Oil Service,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Northeast Casualty Insurance Company</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Vermont</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Omnichem,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Philip Services/North Central,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Plaquemine Remediation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PMS Industrial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Power Vac Construction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Industrial Holdings Corp.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Outsourcing of Michigan,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Ohio</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Industrial Outsourcing, LP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LDAR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Ricky's Oil &amp; Environmental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RMF Aquilex Corp.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Roebuck Disposal,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Rosemead Oil Products,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Canada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Envirosystems Company</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Envirosystems Company of Puerto Rico,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Indiana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International,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of California,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Systems,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Wisconsin</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820"/>
          </w:cols>
          <w:pgMar w:left="74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4320" w:type="dxa"/>
            <w:vAlign w:val="bottom"/>
          </w:tcPr>
          <w:p>
            <w:pPr>
              <w:spacing w:after="0"/>
              <w:rPr>
                <w:sz w:val="19"/>
                <w:szCs w:val="19"/>
                <w:color w:val="auto"/>
              </w:rPr>
            </w:pP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7"/>
        </w:trPr>
        <w:tc>
          <w:tcPr>
            <w:tcW w:w="2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Sawyer Disposal Services,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60"/>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Seaport Environmental,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Chemical,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SK D'Incineration Inc.*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Quebec</w:t>
            </w:r>
          </w:p>
        </w:tc>
      </w:tr>
      <w:tr>
        <w:trPr>
          <w:trHeight w:val="256"/>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Corporate,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 Catalyst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Service of Beaumont,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6"/>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Services of Lake Charles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Services of Louisiana,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Services of Texas,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Spring Grove Resource Recovery, Inc.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Synergy Hydrocarbon Recovery,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Synergy Recycling of Central Florida,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Georgia</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Synergy Recycling,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Florida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The Solvents Recovery Service of New Jersey, Inc.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New Jersey</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Thermo Fluids Inc.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Thompson Industrial Services,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Tri-vax Enterprises Ltd.*</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Tulsa Disposal, LLC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Versant Energy Services, Inc.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Versant Energy Services, LP*</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Alberta</w:t>
            </w:r>
          </w:p>
        </w:tc>
      </w:tr>
      <w:tr>
        <w:trPr>
          <w:trHeight w:val="258"/>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Vulsay Industries Ltd.*</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Ontario</w:t>
            </w:r>
          </w:p>
        </w:tc>
      </w:tr>
      <w:tr>
        <w:trPr>
          <w:trHeight w:val="409"/>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*Foreign entity or subsidiary of foreign entity</w:t>
            </w:r>
          </w:p>
        </w:tc>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040"/>
          </w:cols>
          <w:pgMar w:left="5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ind w:right="120" w:firstLine="177"/>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333-238902 on Form S-8 of our reports dated February 21, 2024, relating to the financial statements of Clean Harbors, Inc. and the effectiveness of Clean Harbors, Inc.'s internal control over financial reporting appearing in this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Michael L. Battles, Eric W. Gerstenberg and Eric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Dugas signing singly, the undersigned’s true and lawful attorney-in-fact to:</w:t>
      </w:r>
    </w:p>
    <w:p>
      <w:pPr>
        <w:spacing w:after="0" w:line="85" w:lineRule="exact"/>
        <w:rPr>
          <w:sz w:val="20"/>
          <w:szCs w:val="20"/>
          <w:color w:val="auto"/>
        </w:rPr>
      </w:pPr>
    </w:p>
    <w:p>
      <w:pPr>
        <w:ind w:left="660" w:right="220" w:firstLine="176"/>
        <w:spacing w:after="0" w:line="266" w:lineRule="auto"/>
        <w:tabs>
          <w:tab w:leader="none" w:pos="12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54" w:lineRule="exact"/>
        <w:rPr>
          <w:rFonts w:ascii="Times New Roman" w:cs="Times New Roman" w:eastAsia="Times New Roman" w:hAnsi="Times New Roman"/>
          <w:sz w:val="18"/>
          <w:szCs w:val="18"/>
          <w:color w:val="auto"/>
        </w:rPr>
      </w:pPr>
    </w:p>
    <w:p>
      <w:pPr>
        <w:jc w:val="both"/>
        <w:ind w:left="660" w:right="260" w:firstLine="176"/>
        <w:spacing w:after="0" w:line="266" w:lineRule="auto"/>
        <w:tabs>
          <w:tab w:leader="none" w:pos="12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40" w:lineRule="exact"/>
        <w:rPr>
          <w:rFonts w:ascii="Times New Roman" w:cs="Times New Roman" w:eastAsia="Times New Roman" w:hAnsi="Times New Roman"/>
          <w:sz w:val="18"/>
          <w:szCs w:val="18"/>
          <w:color w:val="auto"/>
        </w:rPr>
      </w:pPr>
    </w:p>
    <w:p>
      <w:pPr>
        <w:ind w:left="660" w:right="240" w:firstLine="176"/>
        <w:spacing w:after="0" w:line="282" w:lineRule="auto"/>
        <w:tabs>
          <w:tab w:leader="none" w:pos="12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6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21st day of February, 2024.</w:t>
      </w:r>
    </w:p>
    <w:p>
      <w:pPr>
        <w:spacing w:after="0" w:line="4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1"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KARYN POLITO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ALISON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MARCY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SHELLEY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2022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Annual Report on Form 10-K for the year ended December 31, 2023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5400"/>
        <w:spacing w:after="0"/>
        <w:tabs>
          <w:tab w:leader="none" w:pos="7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21, 2024</w:t>
      </w:r>
    </w:p>
    <w:p>
      <w:pPr>
        <w:spacing w:after="0" w:line="77" w:lineRule="exact"/>
        <w:rPr>
          <w:sz w:val="20"/>
          <w:szCs w:val="20"/>
          <w:color w:val="auto"/>
        </w:rPr>
      </w:pPr>
    </w:p>
    <w:p>
      <w:pPr>
        <w:ind w:left="540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21, 2024</w:t>
      </w:r>
    </w:p>
    <w:p>
      <w:pPr>
        <w:spacing w:after="0" w:line="77" w:lineRule="exact"/>
        <w:rPr>
          <w:sz w:val="20"/>
          <w:szCs w:val="20"/>
          <w:color w:val="auto"/>
        </w:rPr>
      </w:pPr>
    </w:p>
    <w:p>
      <w:pPr>
        <w:ind w:left="540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t>EXHIBIT 97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LW 5.1 Clawback Policy</w:t>
      </w:r>
    </w:p>
    <w:p>
      <w:pPr>
        <w:spacing w:after="0" w:line="183"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w:t>
      </w:r>
    </w:p>
    <w:p>
      <w:pPr>
        <w:spacing w:after="0" w:line="179"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This Clawback Policy of Clean Harbors, Inc. (the “Company”) provides for the recoupment of certain executive compensation paid by the Company or its subsidiaries on or after the “Effective Date” specified in Section 10 below in the event of an accounting restatement resulting from material noncompliance with financial reporting requirements under the federal securities laws. This Policy is designed to comply with Section 10D of the Securities Exchange Act of 1934, as amended (the “Exchange Act”).</w:t>
      </w:r>
    </w:p>
    <w:p>
      <w:pPr>
        <w:spacing w:after="0" w:line="152"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Unless the Company’s Board of Directors (the “Board”) shall determine from time to time to itself administer this Policy, this Policy shall be administered by the Compensation Committee of the Board, and references herein to the Board shall be deemed references to the Compensation Committee. Any determination made by the Board shall be final and binding on all affected individuals.</w:t>
      </w:r>
    </w:p>
    <w:p>
      <w:pPr>
        <w:spacing w:after="0" w:line="152"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Executives</w:t>
      </w:r>
    </w:p>
    <w:p>
      <w:pPr>
        <w:spacing w:after="0" w:line="17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This Policy applies to the current and former executive officers of the Company and its subsidiaries,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(“Covered Executives”). However, this Policy shall not apply to any compensation received by an executive before beginning service as an executive officer or if such person did not serve as an executive officer during any portion of the three-year recovery period described in Section 4.</w:t>
      </w:r>
    </w:p>
    <w:p>
      <w:pPr>
        <w:spacing w:after="0" w:line="152"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Accounting Restatement</w:t>
      </w:r>
    </w:p>
    <w:p>
      <w:pPr>
        <w:spacing w:after="0" w:line="179" w:lineRule="exact"/>
        <w:rPr>
          <w:sz w:val="20"/>
          <w:szCs w:val="20"/>
          <w:color w:val="auto"/>
        </w:rPr>
      </w:pPr>
    </w:p>
    <w:p>
      <w:pPr>
        <w:ind w:right="200" w:firstLine="648"/>
        <w:spacing w:after="0" w:line="231" w:lineRule="auto"/>
        <w:rPr>
          <w:sz w:val="20"/>
          <w:szCs w:val="20"/>
          <w:color w:val="auto"/>
        </w:rPr>
      </w:pPr>
      <w:r>
        <w:rPr>
          <w:rFonts w:ascii="Times New Roman" w:cs="Times New Roman" w:eastAsia="Times New Roman" w:hAnsi="Times New Roman"/>
          <w:sz w:val="21"/>
          <w:szCs w:val="21"/>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For this purpose, the date on which the Company is required to prepare an accounting restatement is the earlier of:</w:t>
      </w:r>
    </w:p>
    <w:p>
      <w:pPr>
        <w:spacing w:after="0" w:line="179" w:lineRule="exact"/>
        <w:rPr>
          <w:sz w:val="20"/>
          <w:szCs w:val="20"/>
          <w:color w:val="auto"/>
        </w:rPr>
      </w:pPr>
    </w:p>
    <w:p>
      <w:pPr>
        <w:ind w:left="1300" w:right="460" w:hanging="320"/>
        <w:spacing w:after="0" w:line="236" w:lineRule="auto"/>
        <w:tabs>
          <w:tab w:leader="none" w:pos="129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Company’s Board concludes or reasonably should have concluded that the Company’s previously issued financial statements contain a material error; or</w:t>
      </w:r>
    </w:p>
    <w:p>
      <w:pPr>
        <w:spacing w:after="0" w:line="150" w:lineRule="exact"/>
        <w:rPr>
          <w:rFonts w:ascii="Times New Roman" w:cs="Times New Roman" w:eastAsia="Times New Roman" w:hAnsi="Times New Roman"/>
          <w:sz w:val="22"/>
          <w:szCs w:val="22"/>
          <w:color w:val="auto"/>
        </w:rPr>
      </w:pPr>
    </w:p>
    <w:p>
      <w:pPr>
        <w:ind w:left="1300" w:right="520" w:hanging="320"/>
        <w:spacing w:after="0" w:line="236" w:lineRule="auto"/>
        <w:tabs>
          <w:tab w:leader="none" w:pos="129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 authorized body directs the Company to restate its previously issued financial statements to correct a material error.</w:t>
      </w:r>
    </w:p>
    <w:p>
      <w:pPr>
        <w:sectPr>
          <w:pgSz w:w="11900" w:h="16838" w:orient="portrait"/>
          <w:cols w:equalWidth="0" w:num="1">
            <w:col w:w="11240"/>
          </w:cols>
          <w:pgMar w:left="320" w:top="819" w:right="339" w:bottom="1440" w:gutter="0" w:footer="0" w:header="0"/>
        </w:sectPr>
      </w:pPr>
    </w:p>
    <w:bookmarkStart w:id="119" w:name="page120"/>
    <w:bookmarkEnd w:id="119"/>
    <w:p>
      <w:pPr>
        <w:spacing w:after="0" w:line="90"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p>
    <w:p>
      <w:pPr>
        <w:spacing w:after="0" w:line="179"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For purposes of this Policy, Incentive Compensation means any of the following; provided that, such compensation is granted, earned, or vested based wholly or in part based on the attainment of a financial reporting measure:</w:t>
      </w:r>
    </w:p>
    <w:p>
      <w:pPr>
        <w:spacing w:after="0" w:line="150" w:lineRule="exact"/>
        <w:rPr>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bonuses and other short- and long-term cash incentives.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appreciation rights.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Financial reporting measures include:</w:t>
      </w:r>
    </w:p>
    <w:p>
      <w:pPr>
        <w:spacing w:after="0" w:line="179" w:lineRule="exact"/>
        <w:rPr>
          <w:sz w:val="20"/>
          <w:szCs w:val="20"/>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stock price.</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before interest, taxes, depreciation, and amortization (EBITDA).</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from operations.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measures such as working capital or operating cash flow or free cash flow.</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measures such as return on invested capital or return on assets.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measures such as earnings per share.</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Incentive Compensation: Amount Subject to Recovery.</w:t>
      </w:r>
    </w:p>
    <w:p>
      <w:pPr>
        <w:spacing w:after="0" w:line="17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amount to be recovered will be the excess of the Incentive Compensation paid to the Covered Executive based on the</w:t>
      </w:r>
    </w:p>
    <w:p>
      <w:pPr>
        <w:ind w:right="300"/>
        <w:spacing w:after="0" w:line="225" w:lineRule="auto"/>
        <w:rPr>
          <w:sz w:val="20"/>
          <w:szCs w:val="20"/>
          <w:color w:val="auto"/>
        </w:rPr>
      </w:pPr>
      <w:r>
        <w:rPr>
          <w:rFonts w:ascii="Times New Roman" w:cs="Times New Roman" w:eastAsia="Times New Roman" w:hAnsi="Times New Roman"/>
          <w:sz w:val="22"/>
          <w:szCs w:val="22"/>
          <w:color w:val="auto"/>
        </w:rPr>
        <w:t>erroneous data over the Incentive Compensation that would have been paid to the Covered Executive had it been based on the restated results, as determined by the Board.</w:t>
      </w:r>
    </w:p>
    <w:p>
      <w:pPr>
        <w:spacing w:after="0" w:line="150"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1039430.2</w:t>
      </w:r>
    </w:p>
    <w:p>
      <w:pPr>
        <w:sectPr>
          <w:pgSz w:w="11900" w:h="16838" w:orient="portrait"/>
          <w:cols w:equalWidth="0" w:num="1">
            <w:col w:w="11180"/>
          </w:cols>
          <w:pgMar w:left="320" w:top="1440" w:right="399" w:bottom="1440" w:gutter="0" w:footer="0" w:header="0"/>
        </w:sectPr>
      </w:pPr>
    </w:p>
    <w:bookmarkStart w:id="120" w:name="page121"/>
    <w:bookmarkEnd w:id="120"/>
    <w:p>
      <w:pPr>
        <w:spacing w:after="0" w:line="90"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Recoupment</w:t>
      </w:r>
    </w:p>
    <w:p>
      <w:pPr>
        <w:spacing w:after="0" w:line="179"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Board will determine, in its sole discretion, the method for recouping Incentive Compensation hereunder which may include, without limitation:</w:t>
      </w:r>
    </w:p>
    <w:p>
      <w:pPr>
        <w:spacing w:after="0" w:line="150" w:lineRule="exact"/>
        <w:rPr>
          <w:sz w:val="20"/>
          <w:szCs w:val="20"/>
          <w:color w:val="auto"/>
        </w:rPr>
      </w:pPr>
    </w:p>
    <w:p>
      <w:pPr>
        <w:ind w:left="1300" w:hanging="644"/>
        <w:spacing w:after="0"/>
        <w:tabs>
          <w:tab w:leader="none" w:pos="13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0" w:lineRule="exact"/>
        <w:rPr>
          <w:rFonts w:ascii="Times New Roman" w:cs="Times New Roman" w:eastAsia="Times New Roman" w:hAnsi="Times New Roman"/>
          <w:sz w:val="22"/>
          <w:szCs w:val="22"/>
          <w:color w:val="auto"/>
        </w:rPr>
      </w:pPr>
    </w:p>
    <w:p>
      <w:pPr>
        <w:ind w:left="1300" w:right="900" w:hanging="644"/>
        <w:spacing w:after="0" w:line="236" w:lineRule="auto"/>
        <w:tabs>
          <w:tab w:leader="none" w:pos="129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recouped amount from any compensation otherwise owed by the Company to the Covered Executive;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outstanding vested or unvested equity awards; and/or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Board.</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w:t>
      </w:r>
    </w:p>
    <w:p>
      <w:pPr>
        <w:spacing w:after="0" w:line="179" w:lineRule="exact"/>
        <w:rPr>
          <w:sz w:val="20"/>
          <w:szCs w:val="20"/>
          <w:color w:val="auto"/>
        </w:rPr>
      </w:pPr>
    </w:p>
    <w:p>
      <w:pPr>
        <w:ind w:right="82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not indemnify any Covered Executives against the loss of any incorrectly awarded Incentive Compensation.</w:t>
      </w:r>
    </w:p>
    <w:p>
      <w:pPr>
        <w:spacing w:after="0" w:line="150"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52"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p>
    <w:p>
      <w:pPr>
        <w:spacing w:after="0" w:line="179"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This Policy shall be effective as of August 30, 2023, the date on which the Policy was approved by the Board (the “Effective Date”), and shall apply to Incentive Compensation that is approved, awarded or granted to Covered Executives on or after that date.</w:t>
      </w:r>
    </w:p>
    <w:p>
      <w:pPr>
        <w:spacing w:after="0" w:line="153" w:lineRule="exact"/>
        <w:rPr>
          <w:sz w:val="20"/>
          <w:szCs w:val="20"/>
          <w:color w:val="auto"/>
        </w:rPr>
      </w:pPr>
    </w:p>
    <w:p>
      <w:pPr>
        <w:ind w:left="640" w:hanging="632"/>
        <w:spacing w:after="0"/>
        <w:tabs>
          <w:tab w:leader="none" w:pos="6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p>
    <w:p>
      <w:pPr>
        <w:spacing w:after="0" w:line="17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52"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Recoupment Rights</w:t>
      </w:r>
    </w:p>
    <w:p>
      <w:pPr>
        <w:spacing w:after="0" w:line="179" w:lineRule="exact"/>
        <w:rPr>
          <w:sz w:val="20"/>
          <w:szCs w:val="20"/>
          <w:color w:val="auto"/>
        </w:rPr>
      </w:pPr>
    </w:p>
    <w:p>
      <w:pPr>
        <w:ind w:right="260" w:firstLine="648"/>
        <w:spacing w:after="0" w:line="220" w:lineRule="auto"/>
        <w:rPr>
          <w:sz w:val="20"/>
          <w:szCs w:val="20"/>
          <w:color w:val="auto"/>
        </w:rPr>
      </w:pPr>
      <w:r>
        <w:rPr>
          <w:rFonts w:ascii="Times New Roman" w:cs="Times New Roman" w:eastAsia="Times New Roman" w:hAnsi="Times New Roman"/>
          <w:sz w:val="22"/>
          <w:szCs w:val="22"/>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1039430.2</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9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21"/>
          <w:szCs w:val="21"/>
          <w:color w:val="auto"/>
        </w:rPr>
        <w:t>or rights of recoupment that may be available to the Company pursuant to the terms of any similar policy in any employment agreement, equity award agreement, or similar agreement and any other legal remedies available to the Company.</w:t>
      </w:r>
    </w:p>
    <w:p>
      <w:pPr>
        <w:spacing w:after="0" w:line="13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Impracticability</w:t>
      </w:r>
    </w:p>
    <w:p>
      <w:pPr>
        <w:spacing w:after="0" w:line="17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52"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p>
    <w:p>
      <w:pPr>
        <w:spacing w:after="0" w:line="179"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1039430.2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
      <w:numFmt w:val="bullet"/>
      <w:start w:val="1"/>
    </w:lvl>
    <w:lvl w:ilvl="1">
      <w:lvlJc w:val="left"/>
      <w:lvlText w:val="\endash "/>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lowerRoman"/>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2"/>
    </w:lvl>
  </w:abstractNum>
  <w:abstractNum w:abstractNumId="22">
    <w:nsid w:val="70C6A529"/>
    <w:multiLevelType w:val="hybridMultilevel"/>
    <w:lvl w:ilvl="0">
      <w:lvlJc w:val="left"/>
      <w:lvlText w:val="(%1)"/>
      <w:numFmt w:val="lowerRoman"/>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lvl w:ilvl="1">
      <w:lvlJc w:val="left"/>
      <w:lvlText w:val="(%2)"/>
      <w:numFmt w:val="decimal"/>
      <w:start w:val="1"/>
    </w:lvl>
  </w:abstractNum>
  <w:abstractNum w:abstractNumId="25">
    <w:nsid w:val="4F4EF005"/>
    <w:multiLevelType w:val="hybridMultilevel"/>
    <w:lvl w:ilvl="0">
      <w:lvlJc w:val="left"/>
      <w:lvlText w:val="(%1)"/>
      <w:numFmt w:val="decimal"/>
      <w:start w:val="17"/>
    </w:lvl>
    <w:lvl w:ilvl="1">
      <w:lvlJc w:val="left"/>
      <w:lvlText w:val="%2"/>
      <w:numFmt w:val="decimal"/>
      <w:start w:val="1"/>
    </w:lvl>
  </w:abstractNum>
  <w:abstractNum w:abstractNumId="26">
    <w:nsid w:val="23F9C13C"/>
    <w:multiLevelType w:val="hybridMultilevel"/>
    <w:lvl w:ilvl="0">
      <w:lvlJc w:val="left"/>
      <w:lvlText w:val="(%1)"/>
      <w:numFmt w:val="lowerLetter"/>
      <w:start w:val="4"/>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2"/>
    </w:lvl>
  </w:abstractNum>
  <w:abstractNum w:abstractNumId="29">
    <w:nsid w:val="39386575"/>
    <w:multiLevelType w:val="hybridMultilevel"/>
    <w:lvl w:ilvl="0">
      <w:lvlJc w:val="left"/>
      <w:lvlText w:val="%1"/>
      <w:numFmt w:val="decimal"/>
      <w:start w:val="19"/>
    </w:lvl>
  </w:abstractNum>
  <w:abstractNum w:abstractNumId="30">
    <w:nsid w:val="1CF10FD8"/>
    <w:multiLevelType w:val="hybridMultilevel"/>
    <w:lvl w:ilvl="0">
      <w:lvlJc w:val="left"/>
      <w:lvlText w:val="%1"/>
      <w:numFmt w:val="decimal"/>
      <w:start w:val="21"/>
    </w:lvl>
  </w:abstractNum>
  <w:abstractNum w:abstractNumId="31">
    <w:nsid w:val="180115BE"/>
    <w:multiLevelType w:val="hybridMultilevel"/>
    <w:lvl w:ilvl="0">
      <w:lvlJc w:val="left"/>
      <w:lvlText w:val="%1"/>
      <w:numFmt w:val="decimal"/>
      <w:start w:val="23"/>
    </w:lvl>
  </w:abstractNum>
  <w:abstractNum w:abstractNumId="32">
    <w:nsid w:val="235BA861"/>
    <w:multiLevelType w:val="hybridMultilevel"/>
    <w:lvl w:ilvl="0">
      <w:lvlJc w:val="left"/>
      <w:lvlText w:val="%1"/>
      <w:numFmt w:val="decimal"/>
      <w:start w:val="32"/>
    </w:lvl>
  </w:abstractNum>
  <w:abstractNum w:abstractNumId="33">
    <w:nsid w:val="47398C89"/>
    <w:multiLevelType w:val="hybridMultilevel"/>
    <w:lvl w:ilvl="0">
      <w:lvlJc w:val="left"/>
      <w:lvlText w:val="%1"/>
      <w:numFmt w:val="decimal"/>
      <w:start w:val="97"/>
    </w:lvl>
  </w:abstractNum>
  <w:abstractNum w:abstractNumId="34">
    <w:nsid w:val="354FE9F9"/>
    <w:multiLevelType w:val="hybridMultilevel"/>
    <w:lvl w:ilvl="0">
      <w:lvlJc w:val="left"/>
      <w:lvlText w:val="%1"/>
      <w:numFmt w:val="decimal"/>
      <w:start w:val="101"/>
    </w:lvl>
  </w:abstractNum>
  <w:abstractNum w:abstractNumId="35">
    <w:nsid w:val="15B5AF5C"/>
    <w:multiLevelType w:val="hybridMultilevel"/>
    <w:lvl w:ilvl="0">
      <w:lvlJc w:val="left"/>
      <w:lvlText w:val="%1"/>
      <w:numFmt w:val="decimal"/>
      <w:start w:val="104"/>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9"/>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2"/>
    </w:lvl>
  </w:abstractNum>
  <w:abstractNum w:abstractNumId="40">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7E0C57B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77AE35EB"/>
    <w:multiLevelType w:val="hybridMultilevel"/>
    <w:lvl w:ilvl="0">
      <w:lvlJc w:val="left"/>
      <w:lvlText w:val="%1."/>
      <w:numFmt w:val="decimal"/>
      <w:start w:val="1"/>
    </w:lvl>
    <w:lvl w:ilvl="1">
      <w:lvlJc w:val="left"/>
      <w:lvlText w:val="(%2)"/>
      <w:numFmt w:val="lowerLetter"/>
      <w:start w:val="1"/>
    </w:lvl>
  </w:abstractNum>
  <w:abstractNum w:abstractNumId="43">
    <w:nsid w:val="579BE4F1"/>
    <w:multiLevelType w:val="hybridMultilevel"/>
    <w:lvl w:ilvl="0">
      <w:lvlJc w:val="left"/>
      <w:lvlText w:val="%1"/>
      <w:numFmt w:val="decimal"/>
      <w:start w:val="1"/>
    </w:lvl>
    <w:lvl w:ilvl="1">
      <w:lvlJc w:val="left"/>
      <w:lvlText w:val="(%2)"/>
      <w:numFmt w:val="lowerLetter"/>
      <w:start w:val="2"/>
    </w:lvl>
  </w:abstractNum>
  <w:abstractNum w:abstractNumId="44">
    <w:nsid w:val="310C50B3"/>
    <w:multiLevelType w:val="hybridMultilevel"/>
    <w:lvl w:ilvl="0">
      <w:lvlJc w:val="left"/>
      <w:lvlText w:val="%1."/>
      <w:numFmt w:val="decimal"/>
      <w:start w:val="2"/>
    </w:lvl>
    <w:lvl w:ilvl="1">
      <w:lvlJc w:val="left"/>
      <w:lvlText w:val="(%2)"/>
      <w:numFmt w:val="lowerLetter"/>
      <w:start w:val="1"/>
    </w:lvl>
  </w:abstractNum>
  <w:abstractNum w:abstractNumId="45">
    <w:nsid w:val="5FF87E05"/>
    <w:multiLevelType w:val="hybridMultilevel"/>
    <w:lvl w:ilvl="0">
      <w:lvlJc w:val="left"/>
      <w:lvlText w:val="(%1)"/>
      <w:numFmt w:val="lowerRoman"/>
      <w:start w:val="1"/>
    </w:lvl>
  </w:abstractNum>
  <w:abstractNum w:abstractNumId="46">
    <w:nsid w:val="2F305DEF"/>
    <w:multiLevelType w:val="hybridMultilevel"/>
    <w:lvl w:ilvl="0">
      <w:lvlJc w:val="left"/>
      <w:lvlText w:val="(%1)"/>
      <w:numFmt w:val="lowerRoman"/>
      <w:start w:val="10"/>
    </w:lvl>
  </w:abstractNum>
  <w:abstractNum w:abstractNumId="47">
    <w:nsid w:val="25A70BF7"/>
    <w:multiLevelType w:val="hybridMultilevel"/>
    <w:lvl w:ilvl="0">
      <w:lvlJc w:val="left"/>
      <w:lvlText w:val="(%1)"/>
      <w:numFmt w:val="lowerLetter"/>
      <w:start w:val="2"/>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1."/>
      <w:numFmt w:val="decimal"/>
      <w:start w:val="1"/>
    </w:lvl>
    <w:lvl w:ilvl="1">
      <w:lvlJc w:val="left"/>
      <w:lvlText w:val="(%2)"/>
      <w:numFmt w:val="lowerLetter"/>
      <w:start w:val="1"/>
    </w:lvl>
  </w:abstractNum>
  <w:abstractNum w:abstractNumId="50">
    <w:nsid w:val="1F48EAA1"/>
    <w:multiLevelType w:val="hybridMultilevel"/>
    <w:lvl w:ilvl="0">
      <w:lvlJc w:val="left"/>
      <w:lvlText w:val="%1."/>
      <w:numFmt w:val="decimal"/>
      <w:start w:val="3"/>
    </w:lvl>
    <w:lvl w:ilvl="1">
      <w:lvlJc w:val="left"/>
      <w:lvlText w:val="(%2)"/>
      <w:numFmt w:val="lowerLetter"/>
      <w:start w:val="1"/>
    </w:lvl>
  </w:abstractNum>
  <w:abstractNum w:abstractNumId="51">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
    <w:nsid w:val="5DB70AE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decimal"/>
      <w:start w:val="5"/>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decimal"/>
      <w:start w:val="5"/>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decimal"/>
      <w:start w:val="5"/>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2"/>
    </w:lvl>
  </w:abstractNum>
  <w:abstractNum w:abstractNumId="68">
    <w:nsid w:val="613EFDC5"/>
    <w:multiLevelType w:val="hybridMultilevel"/>
    <w:lvl w:ilvl="0">
      <w:lvlJc w:val="left"/>
      <w:lvlText w:val="%1."/>
      <w:numFmt w:val="decimal"/>
      <w:start w:val="3"/>
    </w:lvl>
  </w:abstractNum>
  <w:abstractNum w:abstractNumId="69">
    <w:nsid w:val="BF72B14"/>
    <w:multiLevelType w:val="hybridMultilevel"/>
    <w:lvl w:ilvl="0">
      <w:lvlJc w:val="left"/>
      <w:lvlText w:val="%1."/>
      <w:numFmt w:val="decimal"/>
      <w:start w:val="4"/>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decimal"/>
      <w:start w:val="5"/>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5"/>
    </w:lvl>
    <w:lvl w:ilvl="1">
      <w:lvlJc w:val="left"/>
      <w:lvlText w:val="•"/>
      <w:numFmt w:val="bullet"/>
      <w:start w:val="1"/>
    </w:lvl>
  </w:abstractNum>
  <w:abstractNum w:abstractNumId="74">
    <w:nsid w:val="1A32234B"/>
    <w:multiLevelType w:val="hybridMultilevel"/>
    <w:lvl w:ilvl="0">
      <w:lvlJc w:val="left"/>
      <w:lvlText w:val="%1."/>
      <w:numFmt w:val="decimal"/>
      <w:start w:val="7"/>
    </w:lvl>
  </w:abstractNum>
  <w:abstractNum w:abstractNumId="75">
    <w:nsid w:val="3B0FD379"/>
    <w:multiLevelType w:val="hybridMultilevel"/>
    <w:lvl w:ilvl="0">
      <w:lvlJc w:val="left"/>
      <w:lvlText w:val="%1"/>
      <w:numFmt w:val="decimal"/>
      <w:start w:val="1"/>
    </w:lvl>
    <w:lvl w:ilvl="1">
      <w:lvlJc w:val="left"/>
      <w:lvlText w:val="(%2)"/>
      <w:numFmt w:val="lowerLetter"/>
      <w:start w:val="1"/>
    </w:lvl>
  </w:abstractNum>
  <w:abstractNum w:abstractNumId="76">
    <w:nsid w:val="68EB2F63"/>
    <w:multiLevelType w:val="hybridMultilevel"/>
    <w:lvl w:ilvl="0">
      <w:lvlJc w:val="left"/>
      <w:lvlText w:val="%1."/>
      <w:numFmt w:val="decimal"/>
      <w:start w:val="8"/>
    </w:lvl>
    <w:lvl w:ilvl="1">
      <w:lvlJc w:val="left"/>
      <w:lvlText w:val="%2"/>
      <w:numFmt w:val="lowerLetter"/>
      <w:start w:val="1"/>
    </w:lvl>
  </w:abstractNum>
  <w:abstractNum w:abstractNumId="77">
    <w:nsid w:val="4962813B"/>
    <w:multiLevelType w:val="hybridMultilevel"/>
    <w:lvl w:ilvl="0">
      <w:lvlJc w:val="left"/>
      <w:lvlText w:val="%1."/>
      <w:numFmt w:val="decimal"/>
      <w:start w:val="9"/>
    </w:lvl>
  </w:abstractNum>
  <w:abstractNum w:abstractNumId="78">
    <w:nsid w:val="60B6DF70"/>
    <w:multiLevelType w:val="hybridMultilevel"/>
    <w:lvl w:ilvl="0">
      <w:lvlJc w:val="left"/>
      <w:lvlText w:val="%1."/>
      <w:numFmt w:val="decimal"/>
      <w:start w:val="10"/>
    </w:lvl>
  </w:abstractNum>
  <w:abstractNum w:abstractNumId="79">
    <w:nsid w:val="6A5EE64"/>
    <w:multiLevelType w:val="hybridMultilevel"/>
    <w:lvl w:ilvl="0">
      <w:lvlJc w:val="left"/>
      <w:lvlText w:val="%1."/>
      <w:numFmt w:val="decimal"/>
      <w:start w:val="11"/>
    </w:lvl>
  </w:abstractNum>
  <w:abstractNum w:abstractNumId="80">
    <w:nsid w:val="14330624"/>
    <w:multiLevelType w:val="hybridMultilevel"/>
    <w:lvl w:ilvl="0">
      <w:lvlJc w:val="left"/>
      <w:lvlText w:val="%1."/>
      <w:numFmt w:val="decimal"/>
      <w:start w:val="12"/>
    </w:lvl>
  </w:abstractNum>
  <w:abstractNum w:abstractNumId="81">
    <w:nsid w:val="7FFFCA11"/>
    <w:multiLevelType w:val="hybridMultilevel"/>
    <w:lvl w:ilvl="0">
      <w:lvlJc w:val="left"/>
      <w:lvlText w:val="%1."/>
      <w:numFmt w:val="decimal"/>
      <w:start w:val="13"/>
    </w:lvl>
  </w:abstractNum>
  <w:abstractNum w:abstractNumId="82">
    <w:nsid w:val="1A27709E"/>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jpeg"/><Relationship Id="rId171" Type="http://schemas.openxmlformats.org/officeDocument/2006/relationships/image" Target="media/image125.jpeg"/><Relationship Id="rId172" Type="http://schemas.openxmlformats.org/officeDocument/2006/relationships/image" Target="media/image126.jpeg"/><Relationship Id="rId173" Type="http://schemas.openxmlformats.org/officeDocument/2006/relationships/image" Target="media/image127.jpeg"/><Relationship Id="rId174" Type="http://schemas.openxmlformats.org/officeDocument/2006/relationships/image" Target="media/image128.jpeg"/><Relationship Id="rId175" Type="http://schemas.openxmlformats.org/officeDocument/2006/relationships/image" Target="media/image129.jpeg"/><Relationship Id="rId176" Type="http://schemas.openxmlformats.org/officeDocument/2006/relationships/image" Target="media/image130.jpe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jpeg"/><Relationship Id="rId126" Type="http://schemas.openxmlformats.org/officeDocument/2006/relationships/hyperlink" Target="http://www.sec.gov/Archives/edgar/data/822818/000110465912072515/a12-25471_1ex2d6.htm" TargetMode="External"/><Relationship Id="rId128" Type="http://schemas.openxmlformats.org/officeDocument/2006/relationships/hyperlink" Target="https://www.sec.gov/Archives/edgar/data/0000822818/000082281821000039/ex27_hpcspax8321.htm" TargetMode="External"/><Relationship Id="rId129" Type="http://schemas.openxmlformats.org/officeDocument/2006/relationships/hyperlink" Target="http://www.sec.gov/Archives/edgar/data/822818/000110465905024545/a05-9487_1ex3d1a.htm" TargetMode="External"/><Relationship Id="rId130" Type="http://schemas.openxmlformats.org/officeDocument/2006/relationships/hyperlink" Target="http://www.sec.gov/Archives/edgar/data/822818/000110465911028511/a11-12194_1ex3d1b.htm" TargetMode="External"/><Relationship Id="rId131" Type="http://schemas.openxmlformats.org/officeDocument/2006/relationships/hyperlink" Target="https://www.sec.gov/Archives/edgar/data/822818/000082281822000012/a31622ex34dxamendedandrest.htm" TargetMode="External"/><Relationship Id="rId132" Type="http://schemas.openxmlformats.org/officeDocument/2006/relationships/hyperlink" Target="http://www.sec.gov/Archives/edgar/data/822818/000104746912010846/a2211991z424b2.htm" TargetMode="External"/><Relationship Id="rId133" Type="http://schemas.openxmlformats.org/officeDocument/2006/relationships/hyperlink" Target="https://www.sec.gov/Archives/edgar/data/822818/000082281820000024/form8-k103020ex434.htm" TargetMode="External"/><Relationship Id="rId134" Type="http://schemas.openxmlformats.org/officeDocument/2006/relationships/hyperlink" Target="https://www.sec.gov/Archives/edgar/data/822818/000082281823000033/clh-3312023ex4341bofaxcl.htm" TargetMode="External"/><Relationship Id="rId135" Type="http://schemas.openxmlformats.org/officeDocument/2006/relationships/hyperlink" Target="https://www.sec.gov/Archives/edgar/data/822818/000082281823000033/clh-3312023ex4342bofaxcl.htm" TargetMode="External"/><Relationship Id="rId136" Type="http://schemas.openxmlformats.org/officeDocument/2006/relationships/hyperlink" Target="http://www.sec.gov/Archives/edgar/data/822818/000082281816000061/ex434b_11116.htm" TargetMode="External"/><Relationship Id="rId137" Type="http://schemas.openxmlformats.org/officeDocument/2006/relationships/hyperlink" Target="http://www.sec.gov/Archives/edgar/data/822818/000082281816000061/ex434c_11116.htm" TargetMode="External"/><Relationship Id="rId138" Type="http://schemas.openxmlformats.org/officeDocument/2006/relationships/hyperlink" Target="http://www.sec.gov/Archives/edgar/data/822818/000082281816000061/ex434d_11116.htm" TargetMode="External"/><Relationship Id="rId139" Type="http://schemas.openxmlformats.org/officeDocument/2006/relationships/hyperlink" Target="http://www.sec.gov/Archives/edgar/data/822818/000082281816000061/ex434e_11116.htm" TargetMode="External"/><Relationship Id="rId140" Type="http://schemas.openxmlformats.org/officeDocument/2006/relationships/hyperlink" Target="http://www.sec.gov/Archives/edgar/data/822818/000082281817000024/ex434g_secondamendedandres.htm" TargetMode="External"/><Relationship Id="rId141" Type="http://schemas.openxmlformats.org/officeDocument/2006/relationships/hyperlink" Target="https://www.sec.gov/Archives/edgar/data/822818/000082281820000024/form8-k103020ex434k.htm" TargetMode="External"/><Relationship Id="rId142" Type="http://schemas.openxmlformats.org/officeDocument/2006/relationships/hyperlink" Target="http://www.sec.gov/Archives/edgar/data/822818/000082281817000024/ex443_creditagreement.htm" TargetMode="External"/><Relationship Id="rId143" Type="http://schemas.openxmlformats.org/officeDocument/2006/relationships/hyperlink" Target="http://www.sec.gov/Archives/edgar/data/822818/000082281817000024/ex443asecurityagreement.htm" TargetMode="External"/><Relationship Id="rId144" Type="http://schemas.openxmlformats.org/officeDocument/2006/relationships/hyperlink" Target="https://www.sec.gov/Archives/edgar/data/822818/000082281818000013/exhibit443b.htm" TargetMode="External"/><Relationship Id="rId147" Type="http://schemas.openxmlformats.org/officeDocument/2006/relationships/hyperlink" Target="http://www.sec.gov/Archives/edgar/data/822818/000082281818000039/incrementalfacilityamendme.htm" TargetMode="External"/><Relationship Id="rId148" Type="http://schemas.openxmlformats.org/officeDocument/2006/relationships/hyperlink" Target="https://www.sec.gov/Archives/edgar/data/0000822818/000082281821000047/hpcacquisition-ex443dclean.htm" TargetMode="External"/><Relationship Id="rId149" Type="http://schemas.openxmlformats.org/officeDocument/2006/relationships/hyperlink" Target="https://www.sec.gov/Archives/edgar/data/822818/000082281823000040/cleanharbors-amendmentno.htm" TargetMode="External"/><Relationship Id="rId150" Type="http://schemas.openxmlformats.org/officeDocument/2006/relationships/hyperlink" Target="https://www.sec.gov/Archives/edgar/data/822818/000082281823000053/a01amendmentno4public.htm" TargetMode="External"/><Relationship Id="rId151" Type="http://schemas.openxmlformats.org/officeDocument/2006/relationships/hyperlink" Target="http://www.sec.gov/Archives/edgar/data/822818/000082281817000024/ex444_intercreditoragreeme.htm" TargetMode="External"/><Relationship Id="rId152" Type="http://schemas.openxmlformats.org/officeDocument/2006/relationships/hyperlink" Target="http://www.sec.gov/Archives/edgar/data/822818/000082281819000030/clh-722019ex445.htm" TargetMode="External"/><Relationship Id="rId153" Type="http://schemas.openxmlformats.org/officeDocument/2006/relationships/hyperlink" Target="https://www.sec.gov/Archives/edgar/data/822818/000110465923006406/tm234313d1_ex4-46.htm" TargetMode="External"/><Relationship Id="rId154" Type="http://schemas.openxmlformats.org/officeDocument/2006/relationships/hyperlink" Target="http://www.sec.gov/Archives/edgar/data/822818/0001047469-99-020385.txt" TargetMode="External"/><Relationship Id="rId155" Type="http://schemas.openxmlformats.org/officeDocument/2006/relationships/hyperlink" Target="http://www.sec.gov/Archives/edgar/data/822818/000104746911001635/a2202164zex-10_43a.htm" TargetMode="External"/><Relationship Id="rId156" Type="http://schemas.openxmlformats.org/officeDocument/2006/relationships/hyperlink" Target="https://www.sec.gov/Archives/edgar/data/822818/000082281821000009/clhproxy2020.htm#APPENDIXA_897289" TargetMode="External"/><Relationship Id="rId157" Type="http://schemas.openxmlformats.org/officeDocument/2006/relationships/hyperlink" Target="https://www.sec.gov/Archives/edgar/data/822818/000082281820000004/clhproxy2020.htm" TargetMode="External"/><Relationship Id="rId158" Type="http://schemas.openxmlformats.org/officeDocument/2006/relationships/hyperlink" Target="https://www.sec.gov/Archives/edgar/data/822818/000082281820000016/form8k60320ex1058a.htm" TargetMode="External"/><Relationship Id="rId159" Type="http://schemas.openxmlformats.org/officeDocument/2006/relationships/hyperlink" Target="https://www.sec.gov/Archives/edgar/data/822818/000082281820000016/form8k60320ex1058b.htm" TargetMode="External"/><Relationship Id="rId160" Type="http://schemas.openxmlformats.org/officeDocument/2006/relationships/hyperlink" Target="https://www.sec.gov/Archives/edgar/data/822818/000082281820000016/form8k60320ex1058c.htm" TargetMode="External"/><Relationship Id="rId161" Type="http://schemas.openxmlformats.org/officeDocument/2006/relationships/hyperlink" Target="https://www.sec.gov/Archives/edgar/data/822818/000082281822000045/a8-kdated11_1x2022ex1059.htm" TargetMode="External"/><Relationship Id="rId162" Type="http://schemas.openxmlformats.org/officeDocument/2006/relationships/hyperlink" Target="https://www.sec.gov/Archives/edgar/data/822818/000082281822000045/a8-kdated11_1x22ex1060.htm" TargetMode="External"/><Relationship Id="rId163" Type="http://schemas.openxmlformats.org/officeDocument/2006/relationships/hyperlink" Target="https://www.sec.gov/Archives/edgar/data/822818/000082281822000045/a8-kdated11_1x2022ex1061.htm" TargetMode="External"/><Relationship Id="rId164" Type="http://schemas.openxmlformats.org/officeDocument/2006/relationships/hyperlink" Target="https://www.sec.gov/Archives/edgar/data/822818/000082281822000045/a8-kdated11_1x22ex1062.htm" TargetMode="External"/><Relationship Id="rId165" Type="http://schemas.openxmlformats.org/officeDocument/2006/relationships/hyperlink" Target="https://www.sec.gov/Archives/edgar/data/822818/000082281822000045/a8-kdated11_1x2022ex1063.htm" TargetMode="External"/><Relationship Id="rId166" Type="http://schemas.openxmlformats.org/officeDocument/2006/relationships/hyperlink" Target="https://www.sec.gov/Archives/edgar/data/822818/000082281823000011/a8-kdated3_1x2023ex1064.htm" TargetMode="External"/><Relationship Id="rId167" Type="http://schemas.openxmlformats.org/officeDocument/2006/relationships/hyperlink" Target="https://www.sec.gov/Archives/edgar/data/822818/000082281823000011/a8-kdated3_1x2023ex10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2024-02-21T10:47:15Z</dcterms:created>
  <dcterms:modified xsi:type="dcterms:W3CDTF">2024-02-21T10:47:15Z</dcterms:modified>
</cp:coreProperties>
</file>