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6"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57" w:lineRule="exact"/>
        <w:rPr>
          <w:sz w:val="24"/>
          <w:szCs w:val="24"/>
          <w:color w:val="auto"/>
        </w:rPr>
      </w:pPr>
    </w:p>
    <w:p>
      <w:pPr>
        <w:ind w:left="1120" w:hanging="352"/>
        <w:spacing w:after="0"/>
        <w:tabs>
          <w:tab w:leader="none" w:pos="11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15"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36" w:lineRule="exact"/>
        <w:rPr>
          <w:sz w:val="24"/>
          <w:szCs w:val="24"/>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1120" w:hanging="352"/>
        <w:spacing w:after="0"/>
        <w:tabs>
          <w:tab w:leader="none" w:pos="11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ectPr>
          <w:pgSz w:w="11900" w:h="16838" w:orient="portrait"/>
          <w:cols w:equalWidth="0" w:num="1">
            <w:col w:w="11200"/>
          </w:cols>
          <w:pgMar w:left="320" w:top="229" w:right="379" w:bottom="1440" w:gutter="0" w:footer="0" w:header="0"/>
        </w:sectPr>
      </w:pPr>
    </w:p>
    <w:p>
      <w:pPr>
        <w:spacing w:after="0" w:line="169"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p>
      <w:pPr>
        <w:spacing w:after="0" w:line="63"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Commission File Number 001-34223</w:t>
      </w:r>
    </w:p>
    <w:p>
      <w:pPr>
        <w:spacing w:after="0" w:line="31"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2508250</wp:posOffset>
            </wp:positionH>
            <wp:positionV relativeFrom="paragraph">
              <wp:posOffset>40005</wp:posOffset>
            </wp:positionV>
            <wp:extent cx="2134235" cy="651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34235" cy="6515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w:t>
      </w:r>
    </w:p>
    <w:p>
      <w:pPr>
        <w:spacing w:after="0" w:line="719" w:lineRule="exact"/>
        <w:rPr>
          <w:sz w:val="24"/>
          <w:szCs w:val="24"/>
          <w:color w:val="auto"/>
        </w:rPr>
      </w:pPr>
    </w:p>
    <w:p>
      <w:pPr>
        <w:sectPr>
          <w:pgSz w:w="11900" w:h="16838" w:orient="portrait"/>
          <w:cols w:equalWidth="0" w:num="2">
            <w:col w:w="7020" w:space="180"/>
            <w:col w:w="4000"/>
          </w:cols>
          <w:pgMar w:left="320" w:top="229" w:right="37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CLEAN HARBORS, INC.</w:t>
      </w:r>
    </w:p>
    <w:p>
      <w:pPr>
        <w:spacing w:after="0" w:line="7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0" w:lineRule="exact"/>
        <w:rPr>
          <w:sz w:val="24"/>
          <w:szCs w:val="24"/>
          <w:color w:val="auto"/>
        </w:rPr>
      </w:pPr>
    </w:p>
    <w:tbl>
      <w:tblPr>
        <w:tblLayout w:type="fixed"/>
        <w:tblInd w:w="1080" w:type="dxa"/>
        <w:tblCellMar>
          <w:top w:w="0" w:type="dxa"/>
          <w:left w:w="0" w:type="dxa"/>
          <w:bottom w:w="0" w:type="dxa"/>
          <w:right w:w="0" w:type="dxa"/>
        </w:tblCellMar>
      </w:tblPr>
      <w:tr>
        <w:trPr>
          <w:trHeight w:val="238"/>
        </w:trPr>
        <w:tc>
          <w:tcPr>
            <w:tcW w:w="5480" w:type="dxa"/>
            <w:vAlign w:val="bottom"/>
          </w:tcPr>
          <w:p>
            <w:pPr>
              <w:ind w:left="1860"/>
              <w:spacing w:after="0"/>
              <w:rPr>
                <w:sz w:val="20"/>
                <w:szCs w:val="20"/>
                <w:color w:val="auto"/>
              </w:rPr>
            </w:pPr>
            <w:r>
              <w:rPr>
                <w:rFonts w:ascii="Times New Roman" w:cs="Times New Roman" w:eastAsia="Times New Roman" w:hAnsi="Times New Roman"/>
                <w:sz w:val="18"/>
                <w:szCs w:val="18"/>
                <w:b w:val="1"/>
                <w:bCs w:val="1"/>
                <w:color w:val="auto"/>
              </w:rPr>
              <w:t>Massachusetts</w:t>
            </w:r>
          </w:p>
        </w:tc>
        <w:tc>
          <w:tcPr>
            <w:tcW w:w="3540" w:type="dxa"/>
            <w:vAlign w:val="bottom"/>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rPr>
              <w:t>04-2997780</w:t>
            </w:r>
          </w:p>
        </w:tc>
      </w:tr>
      <w:tr>
        <w:trPr>
          <w:trHeight w:val="243"/>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(State or Other Jurisdiction of Incorporation or Organization)</w:t>
            </w:r>
          </w:p>
        </w:tc>
        <w:tc>
          <w:tcPr>
            <w:tcW w:w="354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43"/>
        </w:trPr>
        <w:tc>
          <w:tcPr>
            <w:tcW w:w="548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42 Longwater Drive Norwell  MA</w:t>
            </w:r>
          </w:p>
        </w:tc>
        <w:tc>
          <w:tcPr>
            <w:tcW w:w="3540" w:type="dxa"/>
            <w:vAlign w:val="bottom"/>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rPr>
              <w:t>02061-9149</w:t>
            </w:r>
          </w:p>
        </w:tc>
      </w:tr>
      <w:tr>
        <w:trPr>
          <w:trHeight w:val="243"/>
        </w:trPr>
        <w:tc>
          <w:tcPr>
            <w:tcW w:w="54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54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8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(781) 792-5000</w:t>
      </w:r>
    </w:p>
    <w:p>
      <w:pPr>
        <w:spacing w:after="0" w:line="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4" w:lineRule="exact"/>
        <w:rPr>
          <w:sz w:val="24"/>
          <w:szCs w:val="24"/>
          <w:color w:val="auto"/>
        </w:rPr>
      </w:pPr>
    </w:p>
    <w:tbl>
      <w:tblPr>
        <w:tblLayout w:type="fixed"/>
        <w:tblInd w:w="860" w:type="dxa"/>
        <w:tblCellMar>
          <w:top w:w="0" w:type="dxa"/>
          <w:left w:w="0" w:type="dxa"/>
          <w:bottom w:w="0" w:type="dxa"/>
          <w:right w:w="0" w:type="dxa"/>
        </w:tblCellMar>
      </w:tblPr>
      <w:tr>
        <w:trPr>
          <w:trHeight w:val="207"/>
        </w:trPr>
        <w:tc>
          <w:tcPr>
            <w:tcW w:w="3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vMerge w:val="restart"/>
          </w:tcPr>
          <w:p>
            <w:pPr>
              <w:spacing w:after="0"/>
              <w:rPr>
                <w:sz w:val="18"/>
                <w:szCs w:val="18"/>
                <w:color w:val="auto"/>
              </w:rPr>
            </w:pPr>
          </w:p>
        </w:tc>
        <w:tc>
          <w:tcPr>
            <w:tcW w:w="3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120" w:type="dxa"/>
            <w:vAlign w:val="bottom"/>
            <w:vMerge w:val="restart"/>
          </w:tcPr>
          <w:p>
            <w:pPr>
              <w:spacing w:after="0"/>
              <w:rPr>
                <w:sz w:val="18"/>
                <w:szCs w:val="18"/>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c>
          <w:tcPr>
            <w:tcW w:w="0" w:type="dxa"/>
            <w:vAlign w:val="bottom"/>
          </w:tcPr>
          <w:p>
            <w:pPr>
              <w:spacing w:after="0"/>
              <w:rPr>
                <w:sz w:val="1"/>
                <w:szCs w:val="1"/>
                <w:color w:val="auto"/>
              </w:rPr>
            </w:pPr>
          </w:p>
        </w:tc>
      </w:tr>
      <w:tr>
        <w:trPr>
          <w:trHeight w:val="243"/>
        </w:trPr>
        <w:tc>
          <w:tcPr>
            <w:tcW w:w="3080" w:type="dxa"/>
            <w:vAlign w:val="bottom"/>
            <w:tcBorders>
              <w:bottom w:val="single" w:sz="8" w:color="auto"/>
            </w:tcBorders>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3100" w:type="dxa"/>
            <w:vAlign w:val="bottom"/>
            <w:tcBorders>
              <w:bottom w:val="single" w:sz="8" w:color="auto"/>
            </w:tcBorders>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3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registered</w:t>
            </w:r>
          </w:p>
        </w:tc>
        <w:tc>
          <w:tcPr>
            <w:tcW w:w="0" w:type="dxa"/>
            <w:vAlign w:val="bottom"/>
          </w:tcPr>
          <w:p>
            <w:pPr>
              <w:spacing w:after="0"/>
              <w:rPr>
                <w:sz w:val="1"/>
                <w:szCs w:val="1"/>
                <w:color w:val="auto"/>
              </w:rPr>
            </w:pPr>
          </w:p>
        </w:tc>
      </w:tr>
      <w:tr>
        <w:trPr>
          <w:trHeight w:val="237"/>
        </w:trPr>
        <w:tc>
          <w:tcPr>
            <w:tcW w:w="3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3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CLH</w:t>
            </w: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84" w:lineRule="exact"/>
        <w:rPr>
          <w:sz w:val="24"/>
          <w:szCs w:val="24"/>
          <w:color w:val="auto"/>
        </w:rPr>
      </w:pPr>
    </w:p>
    <w:p>
      <w:pPr>
        <w:ind w:right="60"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00"/>
          </w:cols>
          <w:pgMar w:left="320" w:top="229" w:right="379" w:bottom="1440" w:gutter="0" w:footer="0" w:header="0"/>
          <w:type w:val="continuous"/>
        </w:sectPr>
      </w:pPr>
    </w:p>
    <w:p>
      <w:pPr>
        <w:spacing w:after="0" w:line="6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4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760"/>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10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4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90" w:lineRule="exact"/>
        <w:rPr>
          <w:sz w:val="24"/>
          <w:szCs w:val="24"/>
          <w:color w:val="auto"/>
        </w:rPr>
      </w:pPr>
    </w:p>
    <w:p>
      <w:pPr>
        <w:sectPr>
          <w:pgSz w:w="11900" w:h="16838" w:orient="portrait"/>
          <w:cols w:equalWidth="0" w:num="3">
            <w:col w:w="3400" w:space="100"/>
            <w:col w:w="3260" w:space="720"/>
            <w:col w:w="3720"/>
          </w:cols>
          <w:pgMar w:left="320" w:top="229" w:right="379" w:bottom="1440" w:gutter="0" w:footer="0" w:header="0"/>
          <w:type w:val="continuous"/>
        </w:sectPr>
      </w:pPr>
    </w:p>
    <w:p>
      <w:pPr>
        <w:ind w:right="14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left="340" w:right="164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of Common Stock, $0.01 par value, of the registrant outstanding at October 23, 2026 was 52,729,841.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900" w:type="dxa"/>
            <w:vAlign w:val="bottom"/>
            <w:gridSpan w:val="7"/>
          </w:tcPr>
          <w:p>
            <w:pPr>
              <w:jc w:val="center"/>
              <w:ind w:right="3620"/>
              <w:spacing w:after="0"/>
              <w:rPr>
                <w:sz w:val="20"/>
                <w:szCs w:val="20"/>
                <w:color w:val="auto"/>
              </w:rPr>
            </w:pPr>
            <w:r>
              <w:rPr>
                <w:rFonts w:ascii="Times New Roman" w:cs="Times New Roman" w:eastAsia="Times New Roman" w:hAnsi="Times New Roman"/>
                <w:sz w:val="18"/>
                <w:szCs w:val="18"/>
                <w:b w:val="1"/>
                <w:bCs w:val="1"/>
                <w:color w:val="auto"/>
              </w:rPr>
              <w:t>CLEAN HARBORS, INC.</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60" w:type="dxa"/>
            <w:vAlign w:val="bottom"/>
            <w:gridSpan w:val="11"/>
          </w:tcPr>
          <w:p>
            <w:pPr>
              <w:jc w:val="center"/>
              <w:ind w:right="2960"/>
              <w:spacing w:after="0"/>
              <w:rPr>
                <w:sz w:val="20"/>
                <w:szCs w:val="20"/>
                <w:color w:val="auto"/>
              </w:rPr>
            </w:pPr>
            <w:r>
              <w:rPr>
                <w:rFonts w:ascii="Times New Roman" w:cs="Times New Roman" w:eastAsia="Times New Roman" w:hAnsi="Times New Roman"/>
                <w:sz w:val="18"/>
                <w:szCs w:val="18"/>
                <w:b w:val="1"/>
                <w:bCs w:val="1"/>
                <w:color w:val="auto"/>
                <w:w w:val="98"/>
              </w:rPr>
              <w:t>QUARTERLY REPORT ON FORM 10-Q</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900" w:type="dxa"/>
            <w:vAlign w:val="bottom"/>
            <w:gridSpan w:val="7"/>
          </w:tcPr>
          <w:p>
            <w:pPr>
              <w:jc w:val="center"/>
              <w:ind w:right="36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8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80" w:type="dxa"/>
            <w:vAlign w:val="bottom"/>
            <w:gridSpan w:val="10"/>
            <w:vMerge w:val="restart"/>
          </w:tcPr>
          <w:p>
            <w:pPr>
              <w:jc w:val="center"/>
              <w:ind w:right="3220"/>
              <w:spacing w:after="0"/>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80" w:type="dxa"/>
            <w:vAlign w:val="bottom"/>
            <w:gridSpan w:val="10"/>
            <w:vMerge w:val="continue"/>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0" w:type="dxa"/>
            <w:vAlign w:val="bottom"/>
          </w:tcPr>
          <w:p>
            <w:pPr>
              <w:spacing w:after="0"/>
              <w:rPr>
                <w:sz w:val="24"/>
                <w:szCs w:val="24"/>
                <w:color w:val="auto"/>
              </w:rPr>
            </w:pPr>
          </w:p>
        </w:tc>
        <w:tc>
          <w:tcPr>
            <w:tcW w:w="1034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ITEM 1: Unaudited Consolidated Financial Statements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6"/>
              </w:rPr>
              <w:t>Consolidated Balance Sheets</w:t>
            </w:r>
          </w:p>
        </w:tc>
        <w:tc>
          <w:tcPr>
            <w:tcW w:w="2080" w:type="dxa"/>
            <w:vAlign w:val="bottom"/>
            <w:tcBorders>
              <w:top w:val="single" w:sz="8" w:color="0000FF"/>
            </w:tcBorders>
            <w:gridSpan w:val="8"/>
          </w:tcPr>
          <w:p>
            <w:pPr>
              <w:spacing w:after="0"/>
              <w:rPr>
                <w:sz w:val="19"/>
                <w:szCs w:val="19"/>
                <w:color w:val="auto"/>
              </w:rPr>
            </w:pPr>
          </w:p>
        </w:tc>
        <w:tc>
          <w:tcPr>
            <w:tcW w:w="6100" w:type="dxa"/>
            <w:vAlign w:val="bottom"/>
            <w:gridSpan w:val="8"/>
          </w:tcPr>
          <w:p>
            <w:pPr>
              <w:spacing w:after="0"/>
              <w:rPr>
                <w:sz w:val="19"/>
                <w:szCs w:val="19"/>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Operations</w:t>
            </w:r>
          </w:p>
        </w:tc>
        <w:tc>
          <w:tcPr>
            <w:tcW w:w="6620" w:type="dxa"/>
            <w:vAlign w:val="bottom"/>
            <w:gridSpan w:val="12"/>
          </w:tcPr>
          <w:p>
            <w:pPr>
              <w:spacing w:after="0"/>
              <w:rPr>
                <w:sz w:val="19"/>
                <w:szCs w:val="19"/>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Comprehensive Income</w:t>
            </w:r>
          </w:p>
        </w:tc>
        <w:tc>
          <w:tcPr>
            <w:tcW w:w="5700" w:type="dxa"/>
            <w:vAlign w:val="bottom"/>
            <w:gridSpan w:val="6"/>
          </w:tcPr>
          <w:p>
            <w:pPr>
              <w:spacing w:after="0"/>
              <w:rPr>
                <w:sz w:val="19"/>
                <w:szCs w:val="19"/>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Cash Flows</w:t>
            </w:r>
          </w:p>
        </w:tc>
        <w:tc>
          <w:tcPr>
            <w:tcW w:w="860" w:type="dxa"/>
            <w:vAlign w:val="bottom"/>
            <w:gridSpan w:val="5"/>
          </w:tcPr>
          <w:p>
            <w:pPr>
              <w:spacing w:after="0"/>
              <w:rPr>
                <w:sz w:val="19"/>
                <w:szCs w:val="19"/>
                <w:color w:val="auto"/>
              </w:rPr>
            </w:pPr>
          </w:p>
        </w:tc>
        <w:tc>
          <w:tcPr>
            <w:tcW w:w="5700" w:type="dxa"/>
            <w:vAlign w:val="bottom"/>
            <w:gridSpan w:val="6"/>
          </w:tcPr>
          <w:p>
            <w:pPr>
              <w:spacing w:after="0"/>
              <w:rPr>
                <w:sz w:val="19"/>
                <w:szCs w:val="19"/>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Unaudited Consolidated Statements of Stockholders’ Equity</w:t>
            </w: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Notes to Unaudited Consolidated Financial Statements</w:t>
            </w:r>
          </w:p>
        </w:tc>
        <w:tc>
          <w:tcPr>
            <w:tcW w:w="380" w:type="dxa"/>
            <w:vAlign w:val="bottom"/>
            <w:gridSpan w:val="3"/>
          </w:tcPr>
          <w:p>
            <w:pPr>
              <w:spacing w:after="0"/>
              <w:rPr>
                <w:sz w:val="19"/>
                <w:szCs w:val="19"/>
                <w:color w:val="auto"/>
              </w:rPr>
            </w:pPr>
          </w:p>
        </w:tc>
        <w:tc>
          <w:tcPr>
            <w:tcW w:w="5900" w:type="dxa"/>
            <w:vAlign w:val="bottom"/>
            <w:gridSpan w:val="7"/>
          </w:tcPr>
          <w:p>
            <w:pPr>
              <w:spacing w:after="0"/>
              <w:rPr>
                <w:sz w:val="19"/>
                <w:szCs w:val="19"/>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0" w:type="dxa"/>
            <w:vAlign w:val="bottom"/>
          </w:tcPr>
          <w:p>
            <w:pPr>
              <w:spacing w:after="0"/>
              <w:rPr>
                <w:sz w:val="24"/>
                <w:szCs w:val="24"/>
                <w:color w:val="auto"/>
              </w:rPr>
            </w:pPr>
          </w:p>
        </w:tc>
        <w:tc>
          <w:tcPr>
            <w:tcW w:w="756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w w:val="99"/>
              </w:rPr>
              <w:t>ITEM 2: Management’s Discussion and Analysis of Financial Condition and Results of Operations</w:t>
            </w:r>
          </w:p>
        </w:tc>
        <w:tc>
          <w:tcPr>
            <w:tcW w:w="2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0" w:type="dxa"/>
            <w:vAlign w:val="bottom"/>
          </w:tcPr>
          <w:p>
            <w:pPr>
              <w:spacing w:after="0"/>
              <w:rPr>
                <w:sz w:val="24"/>
                <w:szCs w:val="24"/>
                <w:color w:val="auto"/>
              </w:rPr>
            </w:pPr>
          </w:p>
        </w:tc>
        <w:tc>
          <w:tcPr>
            <w:tcW w:w="756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ITEM 3: Quantitative and Qualitative Disclosures About Market Risk</w:t>
            </w:r>
          </w:p>
        </w:tc>
        <w:tc>
          <w:tcPr>
            <w:tcW w:w="2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0" w:type="dxa"/>
            <w:vAlign w:val="bottom"/>
          </w:tcPr>
          <w:p>
            <w:pPr>
              <w:spacing w:after="0"/>
              <w:rPr>
                <w:sz w:val="24"/>
                <w:szCs w:val="24"/>
                <w:color w:val="auto"/>
              </w:rPr>
            </w:pPr>
          </w:p>
        </w:tc>
        <w:tc>
          <w:tcPr>
            <w:tcW w:w="538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ITEM 4: Controls and Procedures</w:t>
            </w:r>
          </w:p>
        </w:tc>
        <w:tc>
          <w:tcPr>
            <w:tcW w:w="4960" w:type="dxa"/>
            <w:vAlign w:val="bottom"/>
            <w:gridSpan w:val="4"/>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tcBorders>
              <w:bottom w:val="single" w:sz="8" w:color="0000FF"/>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336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1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w w:val="98"/>
              </w:rPr>
              <w:t>ITEM 1: Legal Proceedings</w:t>
            </w:r>
          </w:p>
        </w:tc>
        <w:tc>
          <w:tcPr>
            <w:tcW w:w="8220" w:type="dxa"/>
            <w:vAlign w:val="bottom"/>
            <w:gridSpan w:val="17"/>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20" w:type="dxa"/>
            <w:vAlign w:val="bottom"/>
            <w:gridSpan w:val="8"/>
          </w:tcPr>
          <w:p>
            <w:pPr>
              <w:spacing w:after="0" w:line="20" w:lineRule="exact"/>
              <w:rPr>
                <w:sz w:val="1"/>
                <w:szCs w:val="1"/>
                <w:color w:val="auto"/>
              </w:rPr>
            </w:pPr>
          </w:p>
        </w:tc>
        <w:tc>
          <w:tcPr>
            <w:tcW w:w="506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21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ITEM 1A: Risk Factors</w:t>
            </w:r>
          </w:p>
        </w:tc>
        <w:tc>
          <w:tcPr>
            <w:tcW w:w="8220" w:type="dxa"/>
            <w:vAlign w:val="bottom"/>
            <w:gridSpan w:val="17"/>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20" w:type="dxa"/>
            <w:vAlign w:val="bottom"/>
            <w:gridSpan w:val="8"/>
          </w:tcPr>
          <w:p>
            <w:pPr>
              <w:spacing w:after="0" w:line="20" w:lineRule="exact"/>
              <w:rPr>
                <w:sz w:val="1"/>
                <w:szCs w:val="1"/>
                <w:color w:val="auto"/>
              </w:rPr>
            </w:pPr>
          </w:p>
        </w:tc>
        <w:tc>
          <w:tcPr>
            <w:tcW w:w="506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1034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ITEM 2: Unregistered Sales of Equity Securities and Use of Proceeds</w:t>
            </w: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52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ITEM 3: Defaults Upon Senior Securities</w:t>
            </w:r>
          </w:p>
        </w:tc>
        <w:tc>
          <w:tcPr>
            <w:tcW w:w="5060" w:type="dxa"/>
            <w:vAlign w:val="bottom"/>
            <w:gridSpan w:val="5"/>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w w:val="99"/>
              </w:rPr>
              <w:t>ITEM 4: Mine Safety Disclosures</w:t>
            </w:r>
          </w:p>
        </w:tc>
        <w:tc>
          <w:tcPr>
            <w:tcW w:w="600" w:type="dxa"/>
            <w:vAlign w:val="bottom"/>
            <w:gridSpan w:val="2"/>
          </w:tcPr>
          <w:p>
            <w:pPr>
              <w:spacing w:after="0"/>
              <w:rPr>
                <w:sz w:val="19"/>
                <w:szCs w:val="19"/>
                <w:color w:val="auto"/>
              </w:rPr>
            </w:pPr>
          </w:p>
        </w:tc>
        <w:tc>
          <w:tcPr>
            <w:tcW w:w="7180" w:type="dxa"/>
            <w:vAlign w:val="bottom"/>
            <w:gridSpan w:val="13"/>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7780" w:type="dxa"/>
            <w:vAlign w:val="bottom"/>
            <w:gridSpan w:val="1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ITEM 5: Other Information</w:t>
            </w:r>
          </w:p>
        </w:tc>
        <w:tc>
          <w:tcPr>
            <w:tcW w:w="7780" w:type="dxa"/>
            <w:vAlign w:val="bottom"/>
            <w:gridSpan w:val="15"/>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8180" w:type="dxa"/>
            <w:vAlign w:val="bottom"/>
            <w:gridSpan w:val="1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ITEM 6: Exhibits</w:t>
            </w:r>
          </w:p>
        </w:tc>
        <w:tc>
          <w:tcPr>
            <w:tcW w:w="800" w:type="dxa"/>
            <w:vAlign w:val="bottom"/>
            <w:gridSpan w:val="3"/>
          </w:tcPr>
          <w:p>
            <w:pPr>
              <w:spacing w:after="0"/>
              <w:rPr>
                <w:sz w:val="19"/>
                <w:szCs w:val="19"/>
                <w:color w:val="auto"/>
              </w:rPr>
            </w:pPr>
          </w:p>
        </w:tc>
        <w:tc>
          <w:tcPr>
            <w:tcW w:w="8180" w:type="dxa"/>
            <w:vAlign w:val="bottom"/>
            <w:gridSpan w:val="16"/>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980" w:type="dxa"/>
            <w:vAlign w:val="bottom"/>
            <w:gridSpan w:val="19"/>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8980" w:type="dxa"/>
            <w:vAlign w:val="bottom"/>
            <w:gridSpan w:val="19"/>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8"/>
        </w:trPr>
        <w:tc>
          <w:tcPr>
            <w:tcW w:w="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720" w:type="dxa"/>
            <w:vAlign w:val="bottom"/>
            <w:tcBorders>
              <w:top w:val="single" w:sz="8" w:color="0000FF"/>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40" w:type="dxa"/>
            <w:vAlign w:val="bottom"/>
          </w:tcPr>
          <w:p>
            <w:pPr>
              <w:spacing w:after="0"/>
              <w:rPr>
                <w:sz w:val="16"/>
                <w:szCs w:val="16"/>
                <w:color w:val="auto"/>
              </w:rPr>
            </w:pPr>
          </w:p>
        </w:tc>
        <w:tc>
          <w:tcPr>
            <w:tcW w:w="136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8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43"/>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43"/>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423,544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826,315</w:t>
            </w:r>
          </w:p>
        </w:tc>
      </w:tr>
      <w:tr>
        <w:trPr>
          <w:trHeight w:val="243"/>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127,363</w:t>
            </w:r>
          </w:p>
        </w:tc>
      </w:tr>
      <w:tr>
        <w:trPr>
          <w:trHeight w:val="243"/>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allowances aggregating $51,627 and $35,991, respectively</w:t>
            </w: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1,273,770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1,044,137</w:t>
            </w:r>
          </w:p>
        </w:tc>
      </w:tr>
      <w:tr>
        <w:trPr>
          <w:trHeight w:val="243"/>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160,888</w:t>
            </w:r>
          </w:p>
        </w:tc>
      </w:tr>
      <w:tr>
        <w:trPr>
          <w:trHeight w:val="243"/>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and supplies</w:t>
            </w: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407,922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372,088</w:t>
            </w:r>
          </w:p>
        </w:tc>
      </w:tr>
      <w:tr>
        <w:trPr>
          <w:trHeight w:val="243"/>
        </w:trPr>
        <w:tc>
          <w:tcPr>
            <w:tcW w:w="8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96,346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116,452</w:t>
            </w:r>
          </w:p>
        </w:tc>
      </w:tr>
      <w:tr>
        <w:trPr>
          <w:trHeight w:val="237"/>
        </w:trPr>
        <w:tc>
          <w:tcPr>
            <w:tcW w:w="8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2,513,034</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2,647,243</w:t>
            </w:r>
          </w:p>
        </w:tc>
      </w:tr>
      <w:tr>
        <w:trPr>
          <w:trHeight w:val="237"/>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2,757,283</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2,541,067</w:t>
            </w:r>
          </w:p>
        </w:tc>
      </w:tr>
      <w:tr>
        <w:trPr>
          <w:trHeight w:val="223"/>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43"/>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255,084</w:t>
            </w:r>
          </w:p>
        </w:tc>
      </w:tr>
      <w:tr>
        <w:trPr>
          <w:trHeight w:val="243"/>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1,843,273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1,479,050</w:t>
            </w:r>
          </w:p>
        </w:tc>
      </w:tr>
      <w:tr>
        <w:trPr>
          <w:trHeight w:val="243"/>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Permits and other intangibles, net</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866,755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653,027</w:t>
            </w:r>
          </w:p>
        </w:tc>
      </w:tr>
      <w:tr>
        <w:trPr>
          <w:trHeight w:val="243"/>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long-term assets</w:t>
            </w:r>
          </w:p>
        </w:tc>
        <w:tc>
          <w:tcPr>
            <w:tcW w:w="1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48,433</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48,585</w:t>
            </w:r>
          </w:p>
        </w:tc>
      </w:tr>
      <w:tr>
        <w:trPr>
          <w:trHeight w:val="236"/>
        </w:trPr>
        <w:tc>
          <w:tcPr>
            <w:tcW w:w="81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Total other assets</w:t>
            </w: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3,013,288</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2,435,746</w:t>
            </w:r>
          </w:p>
        </w:tc>
      </w:tr>
      <w:tr>
        <w:trPr>
          <w:trHeight w:val="262"/>
        </w:trPr>
        <w:tc>
          <w:tcPr>
            <w:tcW w:w="81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8,283,605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7,624,056</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43"/>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43"/>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43"/>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12,600</w:t>
            </w:r>
          </w:p>
        </w:tc>
      </w:tr>
      <w:tr>
        <w:trPr>
          <w:trHeight w:val="243"/>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551,756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506,592</w:t>
            </w:r>
          </w:p>
        </w:tc>
      </w:tr>
      <w:tr>
        <w:trPr>
          <w:trHeight w:val="243"/>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97,948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81,529</w:t>
            </w:r>
          </w:p>
        </w:tc>
      </w:tr>
      <w:tr>
        <w:trPr>
          <w:trHeight w:val="243"/>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525,728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441,788</w:t>
            </w:r>
          </w:p>
        </w:tc>
      </w:tr>
      <w:tr>
        <w:trPr>
          <w:trHeight w:val="243"/>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closure, post-closure and remedial liabilities</w:t>
            </w: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19,112</w:t>
            </w:r>
          </w:p>
        </w:tc>
      </w:tr>
      <w:tr>
        <w:trPr>
          <w:trHeight w:val="243"/>
        </w:trPr>
        <w:tc>
          <w:tcPr>
            <w:tcW w:w="8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81,345</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75,226</w:t>
            </w:r>
          </w:p>
        </w:tc>
      </w:tr>
      <w:tr>
        <w:trPr>
          <w:trHeight w:val="236"/>
        </w:trPr>
        <w:tc>
          <w:tcPr>
            <w:tcW w:w="8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1,289,689</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1,136,847</w:t>
            </w:r>
          </w:p>
        </w:tc>
      </w:tr>
      <w:tr>
        <w:trPr>
          <w:trHeight w:val="223"/>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43"/>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Closure and post-closure liabilities, less current portion of $9,648 and $10,290, respectively</w:t>
            </w: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131,194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125,038</w:t>
            </w:r>
          </w:p>
        </w:tc>
      </w:tr>
      <w:tr>
        <w:trPr>
          <w:trHeight w:val="243"/>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Remedial liabilities, less current portion of $10,664 and $8,822, respectively</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86,547</w:t>
            </w:r>
          </w:p>
        </w:tc>
      </w:tr>
      <w:tr>
        <w:trPr>
          <w:trHeight w:val="243"/>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2,877,298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2,763,563</w:t>
            </w:r>
          </w:p>
        </w:tc>
      </w:tr>
      <w:tr>
        <w:trPr>
          <w:trHeight w:val="243"/>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184,308</w:t>
            </w:r>
          </w:p>
        </w:tc>
      </w:tr>
      <w:tr>
        <w:trPr>
          <w:trHeight w:val="243"/>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400,248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384,207</w:t>
            </w:r>
          </w:p>
        </w:tc>
      </w:tr>
      <w:tr>
        <w:trPr>
          <w:trHeight w:val="243"/>
        </w:trPr>
        <w:tc>
          <w:tcPr>
            <w:tcW w:w="8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208,488</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197,886</w:t>
            </w:r>
          </w:p>
        </w:tc>
      </w:tr>
      <w:tr>
        <w:trPr>
          <w:trHeight w:val="237"/>
        </w:trPr>
        <w:tc>
          <w:tcPr>
            <w:tcW w:w="8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other liabilities</w:t>
            </w:r>
          </w:p>
        </w:tc>
        <w:tc>
          <w:tcPr>
            <w:tcW w:w="1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3,876,702</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3,741,549</w:t>
            </w:r>
          </w:p>
        </w:tc>
      </w:tr>
      <w:tr>
        <w:trPr>
          <w:trHeight w:val="223"/>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Commitments and contingent liabilities (See Note 15)</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43"/>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43"/>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43"/>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Authorized 80,000,000 shares; issued and outstanding 52,728,878 and 52,870,599 shares, respectively</w:t>
            </w: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243"/>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193,896</w:t>
            </w:r>
          </w:p>
        </w:tc>
      </w:tr>
      <w:tr>
        <w:trPr>
          <w:trHeight w:val="243"/>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(223,967)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(204,616)</w:t>
            </w:r>
          </w:p>
        </w:tc>
      </w:tr>
      <w:tr>
        <w:trPr>
          <w:trHeight w:val="243"/>
        </w:trPr>
        <w:tc>
          <w:tcPr>
            <w:tcW w:w="8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3,197,616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2,755,851</w:t>
            </w:r>
          </w:p>
        </w:tc>
      </w:tr>
      <w:tr>
        <w:trPr>
          <w:trHeight w:val="236"/>
        </w:trPr>
        <w:tc>
          <w:tcPr>
            <w:tcW w:w="81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3,117,214</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2,745,660</w:t>
            </w:r>
          </w:p>
        </w:tc>
      </w:tr>
      <w:tr>
        <w:trPr>
          <w:trHeight w:val="237"/>
        </w:trPr>
        <w:tc>
          <w:tcPr>
            <w:tcW w:w="81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8,283,605</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7,624,056</w:t>
            </w:r>
          </w:p>
        </w:tc>
      </w:tr>
      <w:tr>
        <w:trPr>
          <w:trHeight w:val="20"/>
        </w:trPr>
        <w:tc>
          <w:tcPr>
            <w:tcW w:w="8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6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226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6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Service revenues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1,529,035</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1,321,865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4,209,324</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3,860,267</w:t>
            </w:r>
          </w:p>
        </w:tc>
        <w:tc>
          <w:tcPr>
            <w:tcW w:w="0" w:type="dxa"/>
            <w:vAlign w:val="bottom"/>
          </w:tcPr>
          <w:p>
            <w:pPr>
              <w:spacing w:after="0"/>
              <w:rPr>
                <w:sz w:val="1"/>
                <w:szCs w:val="1"/>
                <w:color w:val="auto"/>
              </w:rPr>
            </w:pPr>
          </w:p>
        </w:tc>
      </w:tr>
      <w:tr>
        <w:trPr>
          <w:trHeight w:val="243"/>
        </w:trPr>
        <w:tc>
          <w:tcPr>
            <w:tcW w:w="61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Product revenues</w:t>
            </w: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340,414</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227,472</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854,667</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670,874</w:t>
            </w:r>
          </w:p>
        </w:tc>
        <w:tc>
          <w:tcPr>
            <w:tcW w:w="0" w:type="dxa"/>
            <w:vAlign w:val="bottom"/>
          </w:tcPr>
          <w:p>
            <w:pPr>
              <w:spacing w:after="0"/>
              <w:rPr>
                <w:sz w:val="1"/>
                <w:szCs w:val="1"/>
                <w:color w:val="auto"/>
              </w:rPr>
            </w:pPr>
          </w:p>
        </w:tc>
      </w:tr>
      <w:tr>
        <w:trPr>
          <w:trHeight w:val="237"/>
        </w:trPr>
        <w:tc>
          <w:tcPr>
            <w:tcW w:w="6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1,869,449</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1,549,337</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5,063,991</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4,531,141</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Cost of revenues: (exclusive of items shown separately below)</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Service revenues</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1,035,103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873,744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2,826,049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2,588,407</w:t>
            </w:r>
          </w:p>
        </w:tc>
        <w:tc>
          <w:tcPr>
            <w:tcW w:w="0" w:type="dxa"/>
            <w:vAlign w:val="bottom"/>
          </w:tcPr>
          <w:p>
            <w:pPr>
              <w:spacing w:after="0"/>
              <w:rPr>
                <w:sz w:val="1"/>
                <w:szCs w:val="1"/>
                <w:color w:val="auto"/>
              </w:rPr>
            </w:pPr>
          </w:p>
        </w:tc>
      </w:tr>
      <w:tr>
        <w:trPr>
          <w:trHeight w:val="243"/>
        </w:trPr>
        <w:tc>
          <w:tcPr>
            <w:tcW w:w="61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Product revenues</w:t>
            </w: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172,911</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174,746</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522,310</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515,464</w:t>
            </w:r>
          </w:p>
        </w:tc>
        <w:tc>
          <w:tcPr>
            <w:tcW w:w="0" w:type="dxa"/>
            <w:vAlign w:val="bottom"/>
          </w:tcPr>
          <w:p>
            <w:pPr>
              <w:spacing w:after="0"/>
              <w:rPr>
                <w:sz w:val="1"/>
                <w:szCs w:val="1"/>
                <w:color w:val="auto"/>
              </w:rPr>
            </w:pPr>
          </w:p>
        </w:tc>
      </w:tr>
      <w:tr>
        <w:trPr>
          <w:trHeight w:val="237"/>
        </w:trPr>
        <w:tc>
          <w:tcPr>
            <w:tcW w:w="6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cost of revenues</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1,208,014</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1,048,490</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3,348,359</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3,103,871</w:t>
            </w:r>
          </w:p>
        </w:tc>
        <w:tc>
          <w:tcPr>
            <w:tcW w:w="0" w:type="dxa"/>
            <w:vAlign w:val="bottom"/>
          </w:tcPr>
          <w:p>
            <w:pPr>
              <w:spacing w:after="0"/>
              <w:rPr>
                <w:sz w:val="1"/>
                <w:szCs w:val="1"/>
                <w:color w:val="auto"/>
              </w:rPr>
            </w:pPr>
          </w:p>
        </w:tc>
      </w:tr>
      <w:tr>
        <w:trPr>
          <w:trHeight w:val="237"/>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217,092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189,610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638,807</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558,640</w:t>
            </w:r>
          </w:p>
        </w:tc>
        <w:tc>
          <w:tcPr>
            <w:tcW w:w="0" w:type="dxa"/>
            <w:vAlign w:val="bottom"/>
          </w:tcPr>
          <w:p>
            <w:pPr>
              <w:spacing w:after="0"/>
              <w:rPr>
                <w:sz w:val="1"/>
                <w:szCs w:val="1"/>
                <w:color w:val="auto"/>
              </w:rPr>
            </w:pPr>
          </w:p>
        </w:tc>
      </w:tr>
      <w:tr>
        <w:trPr>
          <w:trHeight w:val="243"/>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Accretion of environmental liabilities</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10,710</w:t>
            </w:r>
          </w:p>
        </w:tc>
        <w:tc>
          <w:tcPr>
            <w:tcW w:w="0" w:type="dxa"/>
            <w:vAlign w:val="bottom"/>
          </w:tcPr>
          <w:p>
            <w:pPr>
              <w:spacing w:after="0"/>
              <w:rPr>
                <w:sz w:val="1"/>
                <w:szCs w:val="1"/>
                <w:color w:val="auto"/>
              </w:rPr>
            </w:pPr>
          </w:p>
        </w:tc>
      </w:tr>
      <w:tr>
        <w:trPr>
          <w:trHeight w:val="243"/>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122,703</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114,729</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360,309</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342,994</w:t>
            </w:r>
          </w:p>
        </w:tc>
        <w:tc>
          <w:tcPr>
            <w:tcW w:w="0" w:type="dxa"/>
            <w:vAlign w:val="bottom"/>
          </w:tcPr>
          <w:p>
            <w:pPr>
              <w:spacing w:after="0"/>
              <w:rPr>
                <w:sz w:val="1"/>
                <w:szCs w:val="1"/>
                <w:color w:val="auto"/>
              </w:rPr>
            </w:pPr>
          </w:p>
        </w:tc>
      </w:tr>
      <w:tr>
        <w:trPr>
          <w:trHeight w:val="237"/>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318,109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193,009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705,941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514,926</w:t>
            </w:r>
          </w:p>
        </w:tc>
        <w:tc>
          <w:tcPr>
            <w:tcW w:w="0" w:type="dxa"/>
            <w:vAlign w:val="bottom"/>
          </w:tcPr>
          <w:p>
            <w:pPr>
              <w:spacing w:after="0"/>
              <w:rPr>
                <w:sz w:val="1"/>
                <w:szCs w:val="1"/>
                <w:color w:val="auto"/>
              </w:rPr>
            </w:pPr>
          </w:p>
        </w:tc>
      </w:tr>
      <w:tr>
        <w:trPr>
          <w:trHeight w:val="243"/>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0" w:type="dxa"/>
            <w:vAlign w:val="bottom"/>
          </w:tcPr>
          <w:p>
            <w:pPr>
              <w:spacing w:after="0"/>
              <w:rPr>
                <w:sz w:val="1"/>
                <w:szCs w:val="1"/>
                <w:color w:val="auto"/>
              </w:rPr>
            </w:pPr>
          </w:p>
        </w:tc>
      </w:tr>
      <w:tr>
        <w:trPr>
          <w:trHeight w:val="189"/>
        </w:trPr>
        <w:tc>
          <w:tcPr>
            <w:tcW w:w="610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Interest expense, net of interest income of $3,838, $6,497, $13,879, and $17,212,</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(37,438)</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(35,700)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(108,500)</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(108,883)</w:t>
            </w:r>
          </w:p>
        </w:tc>
        <w:tc>
          <w:tcPr>
            <w:tcW w:w="0" w:type="dxa"/>
            <w:vAlign w:val="bottom"/>
          </w:tcPr>
          <w:p>
            <w:pPr>
              <w:spacing w:after="0"/>
              <w:rPr>
                <w:sz w:val="1"/>
                <w:szCs w:val="1"/>
                <w:color w:val="auto"/>
              </w:rPr>
            </w:pPr>
          </w:p>
        </w:tc>
      </w:tr>
      <w:tr>
        <w:trPr>
          <w:trHeight w:val="236"/>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282,195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160,826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598,664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408,025</w:t>
            </w:r>
          </w:p>
        </w:tc>
        <w:tc>
          <w:tcPr>
            <w:tcW w:w="0" w:type="dxa"/>
            <w:vAlign w:val="bottom"/>
          </w:tcPr>
          <w:p>
            <w:pPr>
              <w:spacing w:after="0"/>
              <w:rPr>
                <w:sz w:val="1"/>
                <w:szCs w:val="1"/>
                <w:color w:val="auto"/>
              </w:rPr>
            </w:pPr>
          </w:p>
        </w:tc>
      </w:tr>
      <w:tr>
        <w:trPr>
          <w:trHeight w:val="243"/>
        </w:trPr>
        <w:tc>
          <w:tcPr>
            <w:tcW w:w="6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74,095</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42,027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156,899</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103,641</w:t>
            </w:r>
          </w:p>
        </w:tc>
        <w:tc>
          <w:tcPr>
            <w:tcW w:w="0" w:type="dxa"/>
            <w:vAlign w:val="bottom"/>
          </w:tcPr>
          <w:p>
            <w:pPr>
              <w:spacing w:after="0"/>
              <w:rPr>
                <w:sz w:val="1"/>
                <w:szCs w:val="1"/>
                <w:color w:val="auto"/>
              </w:rPr>
            </w:pPr>
          </w:p>
        </w:tc>
      </w:tr>
      <w:tr>
        <w:trPr>
          <w:trHeight w:val="262"/>
        </w:trPr>
        <w:tc>
          <w:tcPr>
            <w:tcW w:w="6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208,100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118,799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441,765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304,384</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1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6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6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used to compute earnings per share - Basic</w:t>
            </w:r>
          </w:p>
        </w:tc>
        <w:tc>
          <w:tcPr>
            <w:tcW w:w="2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52,752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53,518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52,812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53,659</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used to compute earnings per share - Diluted</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52,897</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53,713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52,969</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53,871</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222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16"/>
        </w:trPr>
        <w:tc>
          <w:tcPr>
            <w:tcW w:w="6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8"/>
                <w:szCs w:val="18"/>
                <w:color w:val="auto"/>
              </w:rPr>
            </w:pPr>
          </w:p>
        </w:tc>
      </w:tr>
      <w:tr>
        <w:trPr>
          <w:trHeight w:val="23"/>
        </w:trPr>
        <w:tc>
          <w:tcPr>
            <w:tcW w:w="6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6"/>
        </w:trPr>
        <w:tc>
          <w:tcPr>
            <w:tcW w:w="6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6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208,100</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118,799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441,765</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304,384</w:t>
            </w:r>
          </w:p>
        </w:tc>
      </w:tr>
      <w:tr>
        <w:trPr>
          <w:trHeight w:val="243"/>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43"/>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(loss) gain on available-for-sale securities</w:t>
            </w: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43"/>
        </w:trPr>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(loss) gain on fair value of interest rate hedges</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w:t>
            </w:r>
          </w:p>
        </w:tc>
      </w:tr>
      <w:tr>
        <w:trPr>
          <w:trHeight w:val="189"/>
        </w:trPr>
        <w:tc>
          <w:tcPr>
            <w:tcW w:w="6100" w:type="dxa"/>
            <w:vAlign w:val="bottom"/>
            <w:shd w:val="clear" w:color="auto" w:fill="CCEEFF"/>
          </w:tcPr>
          <w:p>
            <w:pPr>
              <w:ind w:left="360"/>
              <w:spacing w:after="0" w:line="189" w:lineRule="exact"/>
              <w:rPr>
                <w:sz w:val="20"/>
                <w:szCs w:val="20"/>
                <w:color w:val="auto"/>
              </w:rPr>
            </w:pPr>
            <w:r>
              <w:rPr>
                <w:rFonts w:ascii="Times New Roman" w:cs="Times New Roman" w:eastAsia="Times New Roman" w:hAnsi="Times New Roman"/>
                <w:sz w:val="18"/>
                <w:szCs w:val="18"/>
                <w:color w:val="auto"/>
              </w:rPr>
              <w:t>Reclassification adjustment for interest rate hedge amounts realized in net</w:t>
            </w: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43"/>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w:t>
            </w: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(5,643)</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(7,823)</w:t>
            </w:r>
          </w:p>
        </w:tc>
      </w:tr>
      <w:tr>
        <w:trPr>
          <w:trHeight w:val="243"/>
        </w:trPr>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Pension adjustments</w:t>
            </w:r>
          </w:p>
        </w:tc>
        <w:tc>
          <w:tcPr>
            <w:tcW w:w="30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(10,547)</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(19,698)</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14,167</w:t>
            </w:r>
          </w:p>
        </w:tc>
      </w:tr>
      <w:tr>
        <w:trPr>
          <w:trHeight w:val="237"/>
        </w:trPr>
        <w:tc>
          <w:tcPr>
            <w:tcW w:w="6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(12,571)</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(19,351)</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2,535</w:t>
            </w:r>
          </w:p>
        </w:tc>
      </w:tr>
      <w:tr>
        <w:trPr>
          <w:trHeight w:val="262"/>
        </w:trPr>
        <w:tc>
          <w:tcPr>
            <w:tcW w:w="6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205,855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106,228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422,414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306,919</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60" w:type="dxa"/>
            <w:vAlign w:val="bottom"/>
            <w:gridSpan w:val="4"/>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16"/>
        </w:trPr>
        <w:tc>
          <w:tcPr>
            <w:tcW w:w="8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8"/>
                <w:szCs w:val="18"/>
                <w:color w:val="auto"/>
              </w:rPr>
            </w:pPr>
          </w:p>
        </w:tc>
      </w:tr>
      <w:tr>
        <w:trPr>
          <w:trHeight w:val="23"/>
        </w:trPr>
        <w:tc>
          <w:tcPr>
            <w:tcW w:w="8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6"/>
        </w:trPr>
        <w:tc>
          <w:tcPr>
            <w:tcW w:w="8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9"/>
        </w:trPr>
        <w:tc>
          <w:tcPr>
            <w:tcW w:w="8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7"/>
        </w:trPr>
        <w:tc>
          <w:tcPr>
            <w:tcW w:w="8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441,765</w:t>
            </w:r>
          </w:p>
        </w:tc>
        <w:tc>
          <w:tcPr>
            <w:tcW w:w="120" w:type="dxa"/>
            <w:vAlign w:val="bottom"/>
          </w:tcPr>
          <w:p>
            <w:pPr>
              <w:spacing w:after="0"/>
              <w:rPr>
                <w:sz w:val="19"/>
                <w:szCs w:val="19"/>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304,384</w:t>
            </w:r>
          </w:p>
        </w:tc>
      </w:tr>
      <w:tr>
        <w:trPr>
          <w:trHeight w:val="232"/>
        </w:trPr>
        <w:tc>
          <w:tcPr>
            <w:tcW w:w="8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to net cash from operating activities:</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27"/>
        </w:trPr>
        <w:tc>
          <w:tcPr>
            <w:tcW w:w="8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360,309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342,994</w:t>
            </w:r>
          </w:p>
        </w:tc>
      </w:tr>
      <w:tr>
        <w:trPr>
          <w:trHeight w:val="233"/>
        </w:trPr>
        <w:tc>
          <w:tcPr>
            <w:tcW w:w="8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9,571</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6,520</w:t>
            </w:r>
          </w:p>
        </w:tc>
      </w:tr>
      <w:tr>
        <w:trPr>
          <w:trHeight w:val="227"/>
        </w:trPr>
        <w:tc>
          <w:tcPr>
            <w:tcW w:w="8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deferred financing costs and debt discount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5,024</w:t>
            </w:r>
          </w:p>
        </w:tc>
      </w:tr>
      <w:tr>
        <w:trPr>
          <w:trHeight w:val="233"/>
        </w:trPr>
        <w:tc>
          <w:tcPr>
            <w:tcW w:w="8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Accretion of environmental liabilities</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10,575</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10,710</w:t>
            </w:r>
          </w:p>
        </w:tc>
      </w:tr>
      <w:tr>
        <w:trPr>
          <w:trHeight w:val="227"/>
        </w:trPr>
        <w:tc>
          <w:tcPr>
            <w:tcW w:w="8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Changes in environmental liability estimates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(8,933)</w:t>
            </w:r>
          </w:p>
        </w:tc>
      </w:tr>
      <w:tr>
        <w:trPr>
          <w:trHeight w:val="232"/>
        </w:trPr>
        <w:tc>
          <w:tcPr>
            <w:tcW w:w="8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income, net</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(1,982)</w:t>
            </w:r>
          </w:p>
        </w:tc>
      </w:tr>
      <w:tr>
        <w:trPr>
          <w:trHeight w:val="227"/>
        </w:trPr>
        <w:tc>
          <w:tcPr>
            <w:tcW w:w="8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36,141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22,620</w:t>
            </w:r>
          </w:p>
        </w:tc>
      </w:tr>
      <w:tr>
        <w:trPr>
          <w:trHeight w:val="233"/>
        </w:trPr>
        <w:tc>
          <w:tcPr>
            <w:tcW w:w="8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Environmental expenditures</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(9,756)</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(10,960)</w:t>
            </w:r>
          </w:p>
        </w:tc>
      </w:tr>
      <w:tr>
        <w:trPr>
          <w:trHeight w:val="227"/>
        </w:trPr>
        <w:tc>
          <w:tcPr>
            <w:tcW w:w="8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Changes in assets and liabilities, net of acquisitions: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2"/>
        </w:trPr>
        <w:tc>
          <w:tcPr>
            <w:tcW w:w="8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Accounts receivable and unbilled accounts receivable</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(276,946)</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(113,131)</w:t>
            </w:r>
          </w:p>
        </w:tc>
      </w:tr>
      <w:tr>
        <w:trPr>
          <w:trHeight w:val="227"/>
        </w:trPr>
        <w:tc>
          <w:tcPr>
            <w:tcW w:w="86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Inventories and supplies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(35,736)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8,301</w:t>
            </w:r>
          </w:p>
        </w:tc>
      </w:tr>
      <w:tr>
        <w:trPr>
          <w:trHeight w:val="233"/>
        </w:trPr>
        <w:tc>
          <w:tcPr>
            <w:tcW w:w="8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Other current and non-current assets</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31,230</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(5,467)</w:t>
            </w:r>
          </w:p>
        </w:tc>
      </w:tr>
      <w:tr>
        <w:trPr>
          <w:trHeight w:val="226"/>
        </w:trPr>
        <w:tc>
          <w:tcPr>
            <w:tcW w:w="86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22,517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(35,492)</w:t>
            </w:r>
          </w:p>
        </w:tc>
      </w:tr>
      <w:tr>
        <w:trPr>
          <w:trHeight w:val="230"/>
        </w:trPr>
        <w:tc>
          <w:tcPr>
            <w:tcW w:w="8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Other current and long-term liabilities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74,514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(12,956)</w:t>
            </w:r>
          </w:p>
        </w:tc>
      </w:tr>
      <w:tr>
        <w:trPr>
          <w:trHeight w:val="223"/>
        </w:trPr>
        <w:tc>
          <w:tcPr>
            <w:tcW w:w="866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6"/>
                <w:szCs w:val="16"/>
                <w:color w:val="auto"/>
              </w:rPr>
              <w:t>Net cash from operating activities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664,673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511,632</w:t>
            </w:r>
          </w:p>
        </w:tc>
      </w:tr>
      <w:tr>
        <w:trPr>
          <w:trHeight w:val="213"/>
        </w:trPr>
        <w:tc>
          <w:tcPr>
            <w:tcW w:w="8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flows used in investing activities: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6"/>
        </w:trPr>
        <w:tc>
          <w:tcPr>
            <w:tcW w:w="8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(397,480)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(303,169)</w:t>
            </w:r>
          </w:p>
        </w:tc>
      </w:tr>
      <w:tr>
        <w:trPr>
          <w:trHeight w:val="233"/>
        </w:trPr>
        <w:tc>
          <w:tcPr>
            <w:tcW w:w="8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sale and disposal of fixed assets</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8,483</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15,250</w:t>
            </w:r>
          </w:p>
        </w:tc>
      </w:tr>
      <w:tr>
        <w:trPr>
          <w:trHeight w:val="227"/>
        </w:trPr>
        <w:tc>
          <w:tcPr>
            <w:tcW w:w="8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Acquisitions, net of cash acquired</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(689,044)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Additions to intangible assets including costs to obtain or renew permits</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(2,830)</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w:t>
            </w:r>
          </w:p>
        </w:tc>
      </w:tr>
      <w:tr>
        <w:trPr>
          <w:trHeight w:val="227"/>
        </w:trPr>
        <w:tc>
          <w:tcPr>
            <w:tcW w:w="8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Purchases of available-for-sale securities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(37,665)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(62,108)</w:t>
            </w:r>
          </w:p>
        </w:tc>
      </w:tr>
      <w:tr>
        <w:trPr>
          <w:trHeight w:val="229"/>
        </w:trPr>
        <w:tc>
          <w:tcPr>
            <w:tcW w:w="8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sale of available-for-sale securities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71,927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74,968</w:t>
            </w:r>
          </w:p>
        </w:tc>
      </w:tr>
      <w:tr>
        <w:trPr>
          <w:trHeight w:val="223"/>
        </w:trPr>
        <w:tc>
          <w:tcPr>
            <w:tcW w:w="866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(1,046,609)</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(276,587)</w:t>
            </w:r>
          </w:p>
        </w:tc>
      </w:tr>
      <w:tr>
        <w:trPr>
          <w:trHeight w:val="212"/>
        </w:trPr>
        <w:tc>
          <w:tcPr>
            <w:tcW w:w="8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flows used in financing activities: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6"/>
        </w:trPr>
        <w:tc>
          <w:tcPr>
            <w:tcW w:w="8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 in uncashed checks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(2,639)</w:t>
            </w:r>
          </w:p>
        </w:tc>
      </w:tr>
      <w:tr>
        <w:trPr>
          <w:trHeight w:val="233"/>
        </w:trPr>
        <w:tc>
          <w:tcPr>
            <w:tcW w:w="8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Tax payments related to withholdings on vested restricted stock</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(15,612)</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(13,833)</w:t>
            </w:r>
          </w:p>
        </w:tc>
      </w:tr>
      <w:tr>
        <w:trPr>
          <w:trHeight w:val="226"/>
        </w:trPr>
        <w:tc>
          <w:tcPr>
            <w:tcW w:w="8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(77,133)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(117,001)</w:t>
            </w:r>
          </w:p>
        </w:tc>
      </w:tr>
      <w:tr>
        <w:trPr>
          <w:trHeight w:val="233"/>
        </w:trPr>
        <w:tc>
          <w:tcPr>
            <w:tcW w:w="8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employee stock purchase plan</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3,611</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3,360</w:t>
            </w:r>
          </w:p>
        </w:tc>
      </w:tr>
      <w:tr>
        <w:trPr>
          <w:trHeight w:val="227"/>
        </w:trPr>
        <w:tc>
          <w:tcPr>
            <w:tcW w:w="8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financing costs paid</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Payments on finance leases</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(38,096)</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(25,088)</w:t>
            </w:r>
          </w:p>
        </w:tc>
      </w:tr>
      <w:tr>
        <w:trPr>
          <w:trHeight w:val="227"/>
        </w:trPr>
        <w:tc>
          <w:tcPr>
            <w:tcW w:w="8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Principal payments on debt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(11,327)</w:t>
            </w:r>
          </w:p>
        </w:tc>
      </w:tr>
      <w:tr>
        <w:trPr>
          <w:trHeight w:val="229"/>
        </w:trPr>
        <w:tc>
          <w:tcPr>
            <w:tcW w:w="8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Borrowing from revolving credit facility</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120,000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866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(15,655)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(166,528)</w:t>
            </w:r>
          </w:p>
        </w:tc>
      </w:tr>
      <w:tr>
        <w:trPr>
          <w:trHeight w:val="223"/>
        </w:trPr>
        <w:tc>
          <w:tcPr>
            <w:tcW w:w="8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Effect of exchange rate change on cash</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3,488</w:t>
            </w:r>
          </w:p>
        </w:tc>
      </w:tr>
      <w:tr>
        <w:trPr>
          <w:trHeight w:val="223"/>
        </w:trPr>
        <w:tc>
          <w:tcPr>
            <w:tcW w:w="8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(Decrease) increase in cash and cash equivalents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(402,771)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72,005</w:t>
            </w:r>
          </w:p>
        </w:tc>
      </w:tr>
      <w:tr>
        <w:trPr>
          <w:trHeight w:val="229"/>
        </w:trPr>
        <w:tc>
          <w:tcPr>
            <w:tcW w:w="8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826,315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687,192</w:t>
            </w:r>
          </w:p>
        </w:tc>
      </w:tr>
      <w:tr>
        <w:trPr>
          <w:trHeight w:val="226"/>
        </w:trPr>
        <w:tc>
          <w:tcPr>
            <w:tcW w:w="8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423,544</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759,197</w:t>
            </w:r>
          </w:p>
        </w:tc>
      </w:tr>
      <w:tr>
        <w:trPr>
          <w:trHeight w:val="20"/>
        </w:trPr>
        <w:tc>
          <w:tcPr>
            <w:tcW w:w="8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96"/>
        </w:trPr>
        <w:tc>
          <w:tcPr>
            <w:tcW w:w="8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Supplemental information:</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26"/>
        </w:trPr>
        <w:tc>
          <w:tcPr>
            <w:tcW w:w="8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payments for interest and income taxes: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3"/>
        </w:trPr>
        <w:tc>
          <w:tcPr>
            <w:tcW w:w="8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paid</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114,037</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133,520</w:t>
            </w:r>
          </w:p>
        </w:tc>
      </w:tr>
      <w:tr>
        <w:trPr>
          <w:trHeight w:val="226"/>
        </w:trPr>
        <w:tc>
          <w:tcPr>
            <w:tcW w:w="8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Income taxes paid, net of refunds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97,644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93,531</w:t>
            </w:r>
          </w:p>
        </w:tc>
      </w:tr>
      <w:tr>
        <w:trPr>
          <w:trHeight w:val="233"/>
        </w:trPr>
        <w:tc>
          <w:tcPr>
            <w:tcW w:w="8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investing activities:</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26"/>
        </w:trPr>
        <w:tc>
          <w:tcPr>
            <w:tcW w:w="8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Property, plant and equipment accrued</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45,391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36,604</w:t>
            </w:r>
          </w:p>
        </w:tc>
      </w:tr>
      <w:tr>
        <w:trPr>
          <w:trHeight w:val="233"/>
        </w:trPr>
        <w:tc>
          <w:tcPr>
            <w:tcW w:w="8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ROU assets obtained in exchange for operating lease liabilities</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55,559</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51,736</w:t>
            </w:r>
          </w:p>
        </w:tc>
      </w:tr>
      <w:tr>
        <w:trPr>
          <w:trHeight w:val="223"/>
        </w:trPr>
        <w:tc>
          <w:tcPr>
            <w:tcW w:w="8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ROU assets obtained in exchange for finance lease liabilities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60,586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59,937</w:t>
            </w:r>
          </w:p>
        </w:tc>
      </w:tr>
    </w:tbl>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STOCKHOLDERS’ EQUITY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2000" w:type="dxa"/>
            <w:vAlign w:val="bottom"/>
            <w:gridSpan w:val="3"/>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60" w:type="dxa"/>
            <w:vAlign w:val="bottom"/>
            <w:vMerge w:val="restart"/>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$0.01</w:t>
            </w: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vMerge w:val="restart"/>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48"/>
        </w:trPr>
        <w:tc>
          <w:tcPr>
            <w:tcW w:w="37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760" w:type="dxa"/>
            <w:vAlign w:val="bottom"/>
          </w:tcPr>
          <w:p>
            <w:pPr>
              <w:jc w:val="center"/>
              <w:ind w:left="301"/>
              <w:spacing w:after="0" w:line="149" w:lineRule="exact"/>
              <w:rPr>
                <w:sz w:val="20"/>
                <w:szCs w:val="20"/>
                <w:color w:val="auto"/>
              </w:rPr>
            </w:pPr>
            <w:r>
              <w:rPr>
                <w:rFonts w:ascii="Times New Roman" w:cs="Times New Roman" w:eastAsia="Times New Roman" w:hAnsi="Times New Roman"/>
                <w:sz w:val="14"/>
                <w:szCs w:val="14"/>
                <w:b w:val="1"/>
                <w:bCs w:val="1"/>
                <w:color w:val="auto"/>
              </w:rPr>
              <w:t>Par</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52"/>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tcPr>
          <w:p>
            <w:pPr>
              <w:jc w:val="center"/>
              <w:ind w:left="301"/>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7"/>
                <w:szCs w:val="17"/>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02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43"/>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2026</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52,871</w:t>
            </w:r>
          </w:p>
        </w:tc>
        <w:tc>
          <w:tcPr>
            <w:tcW w:w="10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jc w:val="right"/>
              <w:ind w:right="56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193,896</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(204,616)</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2,755,851</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2,745,660</w:t>
            </w:r>
          </w:p>
        </w:tc>
        <w:tc>
          <w:tcPr>
            <w:tcW w:w="0" w:type="dxa"/>
            <w:vAlign w:val="bottom"/>
          </w:tcPr>
          <w:p>
            <w:pPr>
              <w:spacing w:after="0"/>
              <w:rPr>
                <w:sz w:val="1"/>
                <w:szCs w:val="1"/>
                <w:color w:val="auto"/>
              </w:rPr>
            </w:pPr>
          </w:p>
        </w:tc>
      </w:tr>
      <w:tr>
        <w:trPr>
          <w:trHeight w:val="243"/>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1"/>
                <w:szCs w:val="21"/>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63,201</w:t>
            </w:r>
          </w:p>
        </w:tc>
        <w:tc>
          <w:tcPr>
            <w:tcW w:w="0" w:type="dxa"/>
            <w:vAlign w:val="bottom"/>
          </w:tcPr>
          <w:p>
            <w:pPr>
              <w:spacing w:after="0"/>
              <w:rPr>
                <w:sz w:val="1"/>
                <w:szCs w:val="1"/>
                <w:color w:val="auto"/>
              </w:rPr>
            </w:pPr>
          </w:p>
        </w:tc>
      </w:tr>
      <w:tr>
        <w:trPr>
          <w:trHeight w:val="243"/>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(8,633)</w:t>
            </w:r>
          </w:p>
        </w:tc>
        <w:tc>
          <w:tcPr>
            <w:tcW w:w="0" w:type="dxa"/>
            <w:vAlign w:val="bottom"/>
          </w:tcPr>
          <w:p>
            <w:pPr>
              <w:spacing w:after="0"/>
              <w:rPr>
                <w:sz w:val="1"/>
                <w:szCs w:val="1"/>
                <w:color w:val="auto"/>
              </w:rPr>
            </w:pPr>
          </w:p>
        </w:tc>
      </w:tr>
      <w:tr>
        <w:trPr>
          <w:trHeight w:val="243"/>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1"/>
                <w:szCs w:val="21"/>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9,578</w:t>
            </w: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Issuance of common stock for restricted share</w:t>
            </w: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net of employee tax withholdings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(9,303)</w:t>
            </w:r>
          </w:p>
        </w:tc>
        <w:tc>
          <w:tcPr>
            <w:tcW w:w="0" w:type="dxa"/>
            <w:vAlign w:val="bottom"/>
          </w:tcPr>
          <w:p>
            <w:pPr>
              <w:spacing w:after="0"/>
              <w:rPr>
                <w:sz w:val="1"/>
                <w:szCs w:val="1"/>
                <w:color w:val="auto"/>
              </w:rPr>
            </w:pPr>
          </w:p>
        </w:tc>
      </w:tr>
      <w:tr>
        <w:trPr>
          <w:trHeight w:val="243"/>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37"/>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2026</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52,833</w:t>
            </w:r>
          </w:p>
        </w:tc>
        <w:tc>
          <w:tcPr>
            <w:tcW w:w="100" w:type="dxa"/>
            <w:vAlign w:val="bottom"/>
            <w:tcBorders>
              <w:top w:val="single" w:sz="8" w:color="CCEEFF"/>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169,172</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(213,249)</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2,819,052</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2,775,503</w:t>
            </w:r>
          </w:p>
        </w:tc>
        <w:tc>
          <w:tcPr>
            <w:tcW w:w="0" w:type="dxa"/>
            <w:vAlign w:val="bottom"/>
          </w:tcPr>
          <w:p>
            <w:pPr>
              <w:spacing w:after="0"/>
              <w:rPr>
                <w:sz w:val="1"/>
                <w:szCs w:val="1"/>
                <w:color w:val="auto"/>
              </w:rPr>
            </w:pPr>
          </w:p>
        </w:tc>
      </w:tr>
      <w:tr>
        <w:trPr>
          <w:trHeight w:val="243"/>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1"/>
                <w:szCs w:val="21"/>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170,464</w:t>
            </w:r>
          </w:p>
        </w:tc>
        <w:tc>
          <w:tcPr>
            <w:tcW w:w="0" w:type="dxa"/>
            <w:vAlign w:val="bottom"/>
          </w:tcPr>
          <w:p>
            <w:pPr>
              <w:spacing w:after="0"/>
              <w:rPr>
                <w:sz w:val="1"/>
                <w:szCs w:val="1"/>
                <w:color w:val="auto"/>
              </w:rPr>
            </w:pPr>
          </w:p>
        </w:tc>
      </w:tr>
      <w:tr>
        <w:trPr>
          <w:trHeight w:val="243"/>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(8,473)</w:t>
            </w:r>
          </w:p>
        </w:tc>
        <w:tc>
          <w:tcPr>
            <w:tcW w:w="0" w:type="dxa"/>
            <w:vAlign w:val="bottom"/>
          </w:tcPr>
          <w:p>
            <w:pPr>
              <w:spacing w:after="0"/>
              <w:rPr>
                <w:sz w:val="1"/>
                <w:szCs w:val="1"/>
                <w:color w:val="auto"/>
              </w:rPr>
            </w:pPr>
          </w:p>
        </w:tc>
      </w:tr>
      <w:tr>
        <w:trPr>
          <w:trHeight w:val="243"/>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1"/>
                <w:szCs w:val="21"/>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14,818</w:t>
            </w: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Issuance of common stock for restricted share</w:t>
            </w: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net of employee tax withholdings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0" w:type="dxa"/>
            <w:vAlign w:val="bottom"/>
          </w:tcPr>
          <w:p>
            <w:pPr>
              <w:spacing w:after="0"/>
              <w:rPr>
                <w:sz w:val="1"/>
                <w:szCs w:val="1"/>
                <w:color w:val="auto"/>
              </w:rPr>
            </w:pPr>
          </w:p>
        </w:tc>
      </w:tr>
      <w:tr>
        <w:trPr>
          <w:trHeight w:val="243"/>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43"/>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0" w:type="dxa"/>
            <w:vAlign w:val="bottom"/>
          </w:tcPr>
          <w:p>
            <w:pPr>
              <w:spacing w:after="0"/>
              <w:rPr>
                <w:sz w:val="1"/>
                <w:szCs w:val="1"/>
                <w:color w:val="auto"/>
              </w:rPr>
            </w:pPr>
          </w:p>
        </w:tc>
      </w:tr>
      <w:tr>
        <w:trPr>
          <w:trHeight w:val="237"/>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2026</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52,791</w:t>
            </w:r>
          </w:p>
        </w:tc>
        <w:tc>
          <w:tcPr>
            <w:tcW w:w="10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160,100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(221,722)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2,989,516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2,928,422</w:t>
            </w:r>
          </w:p>
        </w:tc>
        <w:tc>
          <w:tcPr>
            <w:tcW w:w="0" w:type="dxa"/>
            <w:vAlign w:val="bottom"/>
          </w:tcPr>
          <w:p>
            <w:pPr>
              <w:spacing w:after="0"/>
              <w:rPr>
                <w:sz w:val="1"/>
                <w:szCs w:val="1"/>
                <w:color w:val="auto"/>
              </w:rPr>
            </w:pPr>
          </w:p>
        </w:tc>
      </w:tr>
      <w:tr>
        <w:trPr>
          <w:trHeight w:val="243"/>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208,100</w:t>
            </w:r>
          </w:p>
        </w:tc>
        <w:tc>
          <w:tcPr>
            <w:tcW w:w="0" w:type="dxa"/>
            <w:vAlign w:val="bottom"/>
          </w:tcPr>
          <w:p>
            <w:pPr>
              <w:spacing w:after="0"/>
              <w:rPr>
                <w:sz w:val="1"/>
                <w:szCs w:val="1"/>
                <w:color w:val="auto"/>
              </w:rPr>
            </w:pPr>
          </w:p>
        </w:tc>
      </w:tr>
      <w:tr>
        <w:trPr>
          <w:trHeight w:val="243"/>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1"/>
                <w:szCs w:val="21"/>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0" w:type="dxa"/>
            <w:vAlign w:val="bottom"/>
          </w:tcPr>
          <w:p>
            <w:pPr>
              <w:spacing w:after="0"/>
              <w:rPr>
                <w:sz w:val="1"/>
                <w:szCs w:val="1"/>
                <w:color w:val="auto"/>
              </w:rPr>
            </w:pPr>
          </w:p>
        </w:tc>
      </w:tr>
      <w:tr>
        <w:trPr>
          <w:trHeight w:val="243"/>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11,745</w:t>
            </w:r>
          </w:p>
        </w:tc>
        <w:tc>
          <w:tcPr>
            <w:tcW w:w="0" w:type="dxa"/>
            <w:vAlign w:val="bottom"/>
          </w:tcPr>
          <w:p>
            <w:pPr>
              <w:spacing w:after="0"/>
              <w:rPr>
                <w:sz w:val="1"/>
                <w:szCs w:val="1"/>
                <w:color w:val="auto"/>
              </w:rPr>
            </w:pPr>
          </w:p>
        </w:tc>
      </w:tr>
      <w:tr>
        <w:trPr>
          <w:trHeight w:val="189"/>
        </w:trPr>
        <w:tc>
          <w:tcPr>
            <w:tcW w:w="374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Issuance of common stock for restricted share</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vesting, net of employee tax withholdings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0" w:type="dxa"/>
            <w:vAlign w:val="bottom"/>
          </w:tcPr>
          <w:p>
            <w:pPr>
              <w:spacing w:after="0"/>
              <w:rPr>
                <w:sz w:val="1"/>
                <w:szCs w:val="1"/>
                <w:color w:val="auto"/>
              </w:rPr>
            </w:pPr>
          </w:p>
        </w:tc>
      </w:tr>
      <w:tr>
        <w:trPr>
          <w:trHeight w:val="243"/>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37"/>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52,729</w:t>
            </w:r>
          </w:p>
        </w:tc>
        <w:tc>
          <w:tcPr>
            <w:tcW w:w="1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ind w:right="56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143,038</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(223,967)</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3,197,616</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3,117,214</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ind w:left="372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STOCKHOLDERS’ EQUITY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60" w:type="dxa"/>
            <w:vAlign w:val="bottom"/>
          </w:tcPr>
          <w:p>
            <w:pPr>
              <w:spacing w:after="0"/>
              <w:rPr>
                <w:sz w:val="16"/>
                <w:szCs w:val="16"/>
                <w:color w:val="auto"/>
              </w:rPr>
            </w:pPr>
          </w:p>
        </w:tc>
        <w:tc>
          <w:tcPr>
            <w:tcW w:w="2000" w:type="dxa"/>
            <w:vAlign w:val="bottom"/>
            <w:gridSpan w:val="3"/>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2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60" w:type="dxa"/>
            <w:vAlign w:val="bottom"/>
            <w:vMerge w:val="restart"/>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$0.01</w:t>
            </w: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vMerge w:val="restart"/>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49"/>
        </w:trPr>
        <w:tc>
          <w:tcPr>
            <w:tcW w:w="37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12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760" w:type="dxa"/>
            <w:vAlign w:val="bottom"/>
          </w:tcPr>
          <w:p>
            <w:pPr>
              <w:jc w:val="center"/>
              <w:ind w:left="261"/>
              <w:spacing w:after="0" w:line="149" w:lineRule="exact"/>
              <w:rPr>
                <w:sz w:val="20"/>
                <w:szCs w:val="20"/>
                <w:color w:val="auto"/>
              </w:rPr>
            </w:pPr>
            <w:r>
              <w:rPr>
                <w:rFonts w:ascii="Times New Roman" w:cs="Times New Roman" w:eastAsia="Times New Roman" w:hAnsi="Times New Roman"/>
                <w:sz w:val="14"/>
                <w:szCs w:val="14"/>
                <w:b w:val="1"/>
                <w:bCs w:val="1"/>
                <w:color w:val="auto"/>
              </w:rPr>
              <w:t>Par</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52"/>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376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76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7"/>
                <w:szCs w:val="17"/>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02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43"/>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2025</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53,833</w:t>
            </w:r>
          </w:p>
        </w:tc>
        <w:tc>
          <w:tcPr>
            <w:tcW w:w="12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538</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421,749</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(213,635)</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2,364,877</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2,573,529</w:t>
            </w:r>
          </w:p>
        </w:tc>
        <w:tc>
          <w:tcPr>
            <w:tcW w:w="0" w:type="dxa"/>
            <w:vAlign w:val="bottom"/>
          </w:tcPr>
          <w:p>
            <w:pPr>
              <w:spacing w:after="0"/>
              <w:rPr>
                <w:sz w:val="1"/>
                <w:szCs w:val="1"/>
                <w:color w:val="auto"/>
              </w:rPr>
            </w:pPr>
          </w:p>
        </w:tc>
      </w:tr>
      <w:tr>
        <w:trPr>
          <w:trHeight w:val="243"/>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1"/>
                <w:szCs w:val="21"/>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58,680</w:t>
            </w:r>
          </w:p>
        </w:tc>
        <w:tc>
          <w:tcPr>
            <w:tcW w:w="0" w:type="dxa"/>
            <w:vAlign w:val="bottom"/>
          </w:tcPr>
          <w:p>
            <w:pPr>
              <w:spacing w:after="0"/>
              <w:rPr>
                <w:sz w:val="1"/>
                <w:szCs w:val="1"/>
                <w:color w:val="auto"/>
              </w:rPr>
            </w:pPr>
          </w:p>
        </w:tc>
      </w:tr>
      <w:tr>
        <w:trPr>
          <w:trHeight w:val="243"/>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(4,932)</w:t>
            </w:r>
          </w:p>
        </w:tc>
        <w:tc>
          <w:tcPr>
            <w:tcW w:w="0" w:type="dxa"/>
            <w:vAlign w:val="bottom"/>
          </w:tcPr>
          <w:p>
            <w:pPr>
              <w:spacing w:after="0"/>
              <w:rPr>
                <w:sz w:val="1"/>
                <w:szCs w:val="1"/>
                <w:color w:val="auto"/>
              </w:rPr>
            </w:pPr>
          </w:p>
        </w:tc>
      </w:tr>
      <w:tr>
        <w:trPr>
          <w:trHeight w:val="243"/>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1"/>
                <w:szCs w:val="21"/>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7,635</w:t>
            </w:r>
          </w:p>
        </w:tc>
        <w:tc>
          <w:tcPr>
            <w:tcW w:w="0" w:type="dxa"/>
            <w:vAlign w:val="bottom"/>
          </w:tcPr>
          <w:p>
            <w:pPr>
              <w:spacing w:after="0"/>
              <w:rPr>
                <w:sz w:val="1"/>
                <w:szCs w:val="1"/>
                <w:color w:val="auto"/>
              </w:rPr>
            </w:pPr>
          </w:p>
        </w:tc>
      </w:tr>
      <w:tr>
        <w:trPr>
          <w:trHeight w:val="189"/>
        </w:trPr>
        <w:tc>
          <w:tcPr>
            <w:tcW w:w="376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Issuance of common stock for restricted share</w:t>
            </w: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net of employee tax withholdings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(8,688)</w:t>
            </w:r>
          </w:p>
        </w:tc>
        <w:tc>
          <w:tcPr>
            <w:tcW w:w="0" w:type="dxa"/>
            <w:vAlign w:val="bottom"/>
          </w:tcPr>
          <w:p>
            <w:pPr>
              <w:spacing w:after="0"/>
              <w:rPr>
                <w:sz w:val="1"/>
                <w:szCs w:val="1"/>
                <w:color w:val="auto"/>
              </w:rPr>
            </w:pPr>
          </w:p>
        </w:tc>
      </w:tr>
      <w:tr>
        <w:trPr>
          <w:trHeight w:val="243"/>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(54,997)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0" w:type="dxa"/>
            <w:vAlign w:val="bottom"/>
          </w:tcPr>
          <w:p>
            <w:pPr>
              <w:spacing w:after="0"/>
              <w:rPr>
                <w:sz w:val="1"/>
                <w:szCs w:val="1"/>
                <w:color w:val="auto"/>
              </w:rPr>
            </w:pPr>
          </w:p>
        </w:tc>
      </w:tr>
      <w:tr>
        <w:trPr>
          <w:trHeight w:val="237"/>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53,636</w:t>
            </w:r>
          </w:p>
        </w:tc>
        <w:tc>
          <w:tcPr>
            <w:tcW w:w="120" w:type="dxa"/>
            <w:vAlign w:val="bottom"/>
            <w:tcBorders>
              <w:top w:val="single" w:sz="8" w:color="CCEEFF"/>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536</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365,698</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(218,567)</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2,423,557</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2,571,224</w:t>
            </w:r>
          </w:p>
        </w:tc>
        <w:tc>
          <w:tcPr>
            <w:tcW w:w="0" w:type="dxa"/>
            <w:vAlign w:val="bottom"/>
          </w:tcPr>
          <w:p>
            <w:pPr>
              <w:spacing w:after="0"/>
              <w:rPr>
                <w:sz w:val="1"/>
                <w:szCs w:val="1"/>
                <w:color w:val="auto"/>
              </w:rPr>
            </w:pPr>
          </w:p>
        </w:tc>
      </w:tr>
      <w:tr>
        <w:trPr>
          <w:trHeight w:val="243"/>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1"/>
                <w:szCs w:val="21"/>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126,905</w:t>
            </w:r>
          </w:p>
        </w:tc>
        <w:tc>
          <w:tcPr>
            <w:tcW w:w="0" w:type="dxa"/>
            <w:vAlign w:val="bottom"/>
          </w:tcPr>
          <w:p>
            <w:pPr>
              <w:spacing w:after="0"/>
              <w:rPr>
                <w:sz w:val="1"/>
                <w:szCs w:val="1"/>
                <w:color w:val="auto"/>
              </w:rPr>
            </w:pPr>
          </w:p>
        </w:tc>
      </w:tr>
      <w:tr>
        <w:trPr>
          <w:trHeight w:val="243"/>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20,038</w:t>
            </w:r>
          </w:p>
        </w:tc>
        <w:tc>
          <w:tcPr>
            <w:tcW w:w="0" w:type="dxa"/>
            <w:vAlign w:val="bottom"/>
          </w:tcPr>
          <w:p>
            <w:pPr>
              <w:spacing w:after="0"/>
              <w:rPr>
                <w:sz w:val="1"/>
                <w:szCs w:val="1"/>
                <w:color w:val="auto"/>
              </w:rPr>
            </w:pPr>
          </w:p>
        </w:tc>
      </w:tr>
      <w:tr>
        <w:trPr>
          <w:trHeight w:val="243"/>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1"/>
                <w:szCs w:val="21"/>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6,063</w:t>
            </w:r>
          </w:p>
        </w:tc>
        <w:tc>
          <w:tcPr>
            <w:tcW w:w="0" w:type="dxa"/>
            <w:vAlign w:val="bottom"/>
          </w:tcPr>
          <w:p>
            <w:pPr>
              <w:spacing w:after="0"/>
              <w:rPr>
                <w:sz w:val="1"/>
                <w:szCs w:val="1"/>
                <w:color w:val="auto"/>
              </w:rPr>
            </w:pPr>
          </w:p>
        </w:tc>
      </w:tr>
      <w:tr>
        <w:trPr>
          <w:trHeight w:val="189"/>
        </w:trPr>
        <w:tc>
          <w:tcPr>
            <w:tcW w:w="376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Issuance of common stock for restricted share</w:t>
            </w: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net of employee tax withholdings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0" w:type="dxa"/>
            <w:vAlign w:val="bottom"/>
          </w:tcPr>
          <w:p>
            <w:pPr>
              <w:spacing w:after="0"/>
              <w:rPr>
                <w:sz w:val="1"/>
                <w:szCs w:val="1"/>
                <w:color w:val="auto"/>
              </w:rPr>
            </w:pPr>
          </w:p>
        </w:tc>
      </w:tr>
      <w:tr>
        <w:trPr>
          <w:trHeight w:val="243"/>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(11,755)</w:t>
            </w:r>
          </w:p>
        </w:tc>
        <w:tc>
          <w:tcPr>
            <w:tcW w:w="0" w:type="dxa"/>
            <w:vAlign w:val="bottom"/>
          </w:tcPr>
          <w:p>
            <w:pPr>
              <w:spacing w:after="0"/>
              <w:rPr>
                <w:sz w:val="1"/>
                <w:szCs w:val="1"/>
                <w:color w:val="auto"/>
              </w:rPr>
            </w:pPr>
          </w:p>
        </w:tc>
      </w:tr>
      <w:tr>
        <w:trPr>
          <w:trHeight w:val="243"/>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0" w:type="dxa"/>
            <w:vAlign w:val="bottom"/>
          </w:tcPr>
          <w:p>
            <w:pPr>
              <w:spacing w:after="0"/>
              <w:rPr>
                <w:sz w:val="1"/>
                <w:szCs w:val="1"/>
                <w:color w:val="auto"/>
              </w:rPr>
            </w:pPr>
          </w:p>
        </w:tc>
      </w:tr>
      <w:tr>
        <w:trPr>
          <w:trHeight w:val="237"/>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53,614</w:t>
            </w:r>
          </w:p>
        </w:tc>
        <w:tc>
          <w:tcPr>
            <w:tcW w:w="1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536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361,598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(198,529)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2,550,462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2,714,067</w:t>
            </w:r>
          </w:p>
        </w:tc>
        <w:tc>
          <w:tcPr>
            <w:tcW w:w="0" w:type="dxa"/>
            <w:vAlign w:val="bottom"/>
          </w:tcPr>
          <w:p>
            <w:pPr>
              <w:spacing w:after="0"/>
              <w:rPr>
                <w:sz w:val="1"/>
                <w:szCs w:val="1"/>
                <w:color w:val="auto"/>
              </w:rPr>
            </w:pPr>
          </w:p>
        </w:tc>
      </w:tr>
      <w:tr>
        <w:trPr>
          <w:trHeight w:val="243"/>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118,799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118,799</w:t>
            </w:r>
          </w:p>
        </w:tc>
        <w:tc>
          <w:tcPr>
            <w:tcW w:w="0" w:type="dxa"/>
            <w:vAlign w:val="bottom"/>
          </w:tcPr>
          <w:p>
            <w:pPr>
              <w:spacing w:after="0"/>
              <w:rPr>
                <w:sz w:val="1"/>
                <w:szCs w:val="1"/>
                <w:color w:val="auto"/>
              </w:rPr>
            </w:pPr>
          </w:p>
        </w:tc>
      </w:tr>
      <w:tr>
        <w:trPr>
          <w:trHeight w:val="243"/>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1"/>
                <w:szCs w:val="21"/>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(12,571)</w:t>
            </w:r>
          </w:p>
        </w:tc>
        <w:tc>
          <w:tcPr>
            <w:tcW w:w="0" w:type="dxa"/>
            <w:vAlign w:val="bottom"/>
          </w:tcPr>
          <w:p>
            <w:pPr>
              <w:spacing w:after="0"/>
              <w:rPr>
                <w:sz w:val="1"/>
                <w:szCs w:val="1"/>
                <w:color w:val="auto"/>
              </w:rPr>
            </w:pPr>
          </w:p>
        </w:tc>
      </w:tr>
      <w:tr>
        <w:trPr>
          <w:trHeight w:val="243"/>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8,922</w:t>
            </w:r>
          </w:p>
        </w:tc>
        <w:tc>
          <w:tcPr>
            <w:tcW w:w="0" w:type="dxa"/>
            <w:vAlign w:val="bottom"/>
          </w:tcPr>
          <w:p>
            <w:pPr>
              <w:spacing w:after="0"/>
              <w:rPr>
                <w:sz w:val="1"/>
                <w:szCs w:val="1"/>
                <w:color w:val="auto"/>
              </w:rPr>
            </w:pPr>
          </w:p>
        </w:tc>
      </w:tr>
      <w:tr>
        <w:trPr>
          <w:trHeight w:val="189"/>
        </w:trPr>
        <w:tc>
          <w:tcPr>
            <w:tcW w:w="376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Issuance of common stock for restricted share</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vesting, net of employee tax withholdings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w:t>
            </w:r>
          </w:p>
        </w:tc>
        <w:tc>
          <w:tcPr>
            <w:tcW w:w="0" w:type="dxa"/>
            <w:vAlign w:val="bottom"/>
          </w:tcPr>
          <w:p>
            <w:pPr>
              <w:spacing w:after="0"/>
              <w:rPr>
                <w:sz w:val="1"/>
                <w:szCs w:val="1"/>
                <w:color w:val="auto"/>
              </w:rPr>
            </w:pPr>
          </w:p>
        </w:tc>
      </w:tr>
      <w:tr>
        <w:trPr>
          <w:trHeight w:val="243"/>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37"/>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53,431</w:t>
            </w:r>
          </w:p>
        </w:tc>
        <w:tc>
          <w:tcPr>
            <w:tcW w:w="1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ind w:right="581"/>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534</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317,145</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(211,100)</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2,669,261</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2,775,840</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89"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62"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interim financial statements are unaudited and include the accounts of Clean Harbors, Inc. and its subsidiaries (collectively, “Clean Harbors” or the “Company”) and have been prepared pursuant to the rules and regulations of the Securities and Exchange Commission (“SEC”), and in the opinion of management, include all adjustments which are of a normal recurring nature and are necessary for a fair presentation of the financial position, results of operations and cash flows for the periods presented. Management has made estimates and assumptions affecting the amounts reported in the Company’s consolidated interim financial statements and accompanying footnotes; actual results could differ from those estimates and judgments. The results for interim periods are not necessarily indicative of results for the entire year or any other interim periods. The financial statements presented herein should be read in conjunction with the financial statements included in the Company’s Annual Report on Form 10-K for the year ended December 31, 2025.</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16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2, “Significant Accounting Policies,” in the Company's Annual Report on Form 10-K for the year ended December 31, 2025. There have been no material changes to these policies or their application during the periods presented.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REVENUES</w:t>
      </w:r>
    </w:p>
    <w:p>
      <w:pPr>
        <w:spacing w:after="0" w:line="148"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color w:val="auto"/>
        </w:rPr>
        <w:t>The Company generates revenues through the following operating segments: Environmental Services and Safety-Kleen Sustainability Solutions (“SKSS”). The Company’s Environmental Services operating segment generally has four sources of revenue and the SKSS operating segment has two sources of revenue. The Company disaggregates third-party revenues by geographic location and source of revenue as management believes these categories depict how revenue and cash flows are affected by economic factors. The tables below present revenues from external customers by segment. When necessary, the Company records intercompany transactions to present the direct revenue in the appropriate segment results. The Company’s significant sources of revenues include:</w:t>
      </w:r>
    </w:p>
    <w:p>
      <w:pPr>
        <w:spacing w:after="0" w:line="118"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Technical Services</w:t>
      </w:r>
      <w:r>
        <w:rPr>
          <w:rFonts w:ascii="Times New Roman" w:cs="Times New Roman" w:eastAsia="Times New Roman" w:hAnsi="Times New Roman"/>
          <w:sz w:val="18"/>
          <w:szCs w:val="18"/>
          <w:color w:val="auto"/>
        </w:rPr>
        <w:t>—Technical Services contribute to the revenues of the Environmental Services operating segment. Revenues for these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generated from fees charged for waste material management and disposal services, including onsite environmental management services, remediation projects, collection and transportation, packaging, recycling, treatment and disposal of waste. These services include both hazardous and non-hazardous waste, including per- and polyfluoroalkyl substances, or PFAS. Revenues are primarily generated by short-term projects, most of which are governed by master service agreements that are long-term in nature and outline the pricing and legal frameworks for such arrangements. Services are provided based on purchase orders or agreements with the customer and include prices based upon units of volume of waste, material and personnel costs, and transportation and other fees. Collection and transportation revenues are recognized over time, as the customer receives and consumes the benefits of the services as they are being performed, and the Company has a right to payment for performance completed to date. The Company uses the input method to recognize revenues over time based on time and materials incurred as a basis for measuring the satisfaction of the performance obligation. Revenues for treatment and disposal of waste are recognized upon completion of treatment, final disposition, or when the waste is shipped to a third party for processing and disposal. The Company enters into bundled arrangements for the collection and transportation and disposal of waste. For such arrangements, transportation and disposal are considered distinct performance obligations, and the Company allocates revenues to each based on the relative standalone selling price (i.e., the estimated price that a customer would pay for the services on a standalone basis). Revenues and the related costs from waste that is not yet completely processed and disposed of are deferred. The deferred revenues and costs are recognized when the services are completed. The period between collection and transportation and the final processing and disposal varies depending on the location of the customer, but generally is measured in days.</w:t>
      </w:r>
    </w:p>
    <w:p>
      <w:pPr>
        <w:spacing w:after="0" w:line="12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Industrial Services</w:t>
      </w:r>
      <w:r>
        <w:rPr>
          <w:rFonts w:ascii="Times New Roman" w:cs="Times New Roman" w:eastAsia="Times New Roman" w:hAnsi="Times New Roman"/>
          <w:sz w:val="18"/>
          <w:szCs w:val="18"/>
          <w:color w:val="auto"/>
        </w:rPr>
        <w:t>—Industrial Services contribute to the revenues of the Environmental Services operating segment. These revenues are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generated from industrial and specialty services provided to refineries, chemical plants, manufacturing facilities, power generation companies and other industrial customers throughout North America. Services include in-plant cleaning and maintenance services; plant outage and turnaround services; specialty cleaning services, including chemical cleaning, pigging, mechanical flushing and high and ultra-high pressure water cleaning; leak detection and repair; daylighting; production services; and upstream energy services. Services are provided based on purchase orders or agreements with the customer and include prices based upon daily, hourly or job rates for equipment, materials and personnel. The Company recognizes revenues for these services over time, as the customer receives and consumes the benefits of the services as they are being performed, and the Company has a right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for performance completed to date. The Company uses the input method to recognize revenues over time, based on time and materials incurred.</w:t>
      </w:r>
    </w:p>
    <w:p>
      <w:pPr>
        <w:spacing w:after="0" w:line="156" w:lineRule="exact"/>
        <w:rPr>
          <w:sz w:val="20"/>
          <w:szCs w:val="20"/>
          <w:color w:val="auto"/>
        </w:rPr>
      </w:pPr>
    </w:p>
    <w:p>
      <w:pPr>
        <w:ind w:right="20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Field and Emergency Response Services</w:t>
      </w:r>
      <w:r>
        <w:rPr>
          <w:rFonts w:ascii="Times New Roman" w:cs="Times New Roman" w:eastAsia="Times New Roman" w:hAnsi="Times New Roman"/>
          <w:sz w:val="18"/>
          <w:szCs w:val="18"/>
          <w:color w:val="auto"/>
        </w:rPr>
        <w:t>—Field and Emergency Response Services contribute to the revenues of the Environmental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segment. Field Services revenues are generated from cleanup services at customer sites, including those managed by municipalities and utility providers, or other locations on a scheduled or emergency response basis. Services include confined space entry for tank cleaning, site decontamination, environmental remediation, railcar cleaning, manhole/vault clean outs, product recovery and transfer, and vacuum services. Additional services include filtration, water treatment services and wetland restoration. Emergency Response Services, for environmental emergencies of any scale, range from man-made disasters such as oil spills and industrial fires to natural disasters like hurricanes. These services include land- and water-based spill remediation, as well as disaster cleanup, contagion disinfection, decontamination, and disposal services. Field and emergency response services are provided based on purchase orders or agreements with customers and include prices generally based upon daily, hourly or job rates for equipment, materials and personnel. The Company recognizes revenues for these services over time as the customer receives and consumes the benefits of the services as they are being performed, and the Company has a right to payment for performance completed to date. The Company uses the input method to recognize revenues over time based on time and materials incurred. The duration of such services can be over a number of hours, several days or even months for larger scale projects.</w:t>
      </w:r>
    </w:p>
    <w:p>
      <w:pPr>
        <w:spacing w:after="0" w:line="10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Safety-Kleen Environmental Services</w:t>
      </w:r>
      <w:r>
        <w:rPr>
          <w:rFonts w:ascii="Times New Roman" w:cs="Times New Roman" w:eastAsia="Times New Roman" w:hAnsi="Times New Roman"/>
          <w:sz w:val="18"/>
          <w:szCs w:val="18"/>
          <w:color w:val="auto"/>
        </w:rPr>
        <w:t>—Safety-Kleen Environmental Services revenues contribute both to the Environmental Services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and the SKSS operating segment. Revenues from providing containerized waste handling and disposal services, parts washer services and vacuum services, referred to collectively as the Safety-Kleen branches’ core service offerings, contribute to the revenues of the Environmental Services operating segment. In addition, sales of packaged blended oil products and other complementary product sales contribute to the revenues of the Environmental Services operating segment. Revenues generated from waste oil, anti-freeze and oil filter collection services; sales of bulk blended oil products; and sales of bulk automotive fluids contribute to the SKSS operating segment. Due to the complementary nature of these products and services and their customer base, there are some cross-overs of Safety-Kleen Environmental Services revenue streams between the Environmental Services and SKSS operating segments.</w:t>
      </w:r>
    </w:p>
    <w:p>
      <w:pPr>
        <w:spacing w:after="0" w:line="117"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Generally, revenues from services are recognized over time as the customer receives and consumes the benefits of the services as they are being performed, and the Company has a right to payment for performance completed to date. The duration of such services can be over a number of hours or several days. The Company uses the input method to recognize revenues over time, based on time and materials incurred. Product revenues are recognized upon the transfer of control whereby control transfers when the products are delivered to the customer. Containerized waste services consist of profiling, collecting, transporting and recycling or disposing of a wide variety of waste. Related collection and transportation revenues are recognized over time as the customer receives and consumes the benefits of the services as they are being performed, and the Company has a right to payment for performance completed to date. Parts washer services include customer use of the Company’s parts washer equipment, cleaning and maintenance of the parts washer equipment, and removal and replacement of used cleaning fluids. Parts washer services are considered a single performance obligation due to the highly integrated and interdependent nature of the arrangement. Revenues from parts washer services are recognized over the service interval as the customer receives the benefit of the services.</w:t>
      </w:r>
    </w:p>
    <w:p>
      <w:pPr>
        <w:spacing w:after="0" w:line="12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Safety-Kleen Oil</w:t>
      </w:r>
      <w:r>
        <w:rPr>
          <w:rFonts w:ascii="Times New Roman" w:cs="Times New Roman" w:eastAsia="Times New Roman" w:hAnsi="Times New Roman"/>
          <w:sz w:val="18"/>
          <w:szCs w:val="18"/>
          <w:color w:val="auto"/>
        </w:rPr>
        <w:t>—Safety-Kleen Oil related sales contribute to the revenues of the SKSS segment. These revenues are generated from bulk sales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high-quality base and blended lubricating oils to many industries and customers, including major oil brands, lubricant blenders and manufacturers, blended lubricant distributors and government agencies. The Company also processes used oil into vacuum gas oil, which can be further re-refined into lubricant base oils or sold directly into the marine diesel oil fuel market and sells recycled fuel oil to asphalt and industrial plants. By-products coming off the refinery are a mixture of light-end distillates and asphalt flux that are sold into various markets. The Company recognizes revenues for oil products at a point in time upon the transfer of control. Generally, control transfers when the products are delivered to the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Company’s third-party revenues disaggregated by source of revenues and geography in total and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Services and SKSS operating segments and Corporate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2026</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Environmental</w:t>
            </w:r>
          </w:p>
        </w:tc>
        <w:tc>
          <w:tcPr>
            <w:tcW w:w="140" w:type="dxa"/>
            <w:vAlign w:val="bottom"/>
          </w:tcPr>
          <w:p>
            <w:pPr>
              <w:spacing w:after="0"/>
              <w:rPr>
                <w:sz w:val="14"/>
                <w:szCs w:val="14"/>
                <w:color w:val="auto"/>
              </w:rPr>
            </w:pPr>
          </w:p>
        </w:tc>
        <w:tc>
          <w:tcPr>
            <w:tcW w:w="1560" w:type="dxa"/>
            <w:vAlign w:val="bottom"/>
            <w:gridSpan w:val="2"/>
          </w:tcPr>
          <w:p>
            <w:pPr>
              <w:jc w:val="center"/>
              <w:ind w:right="260"/>
              <w:spacing w:after="0" w:line="172" w:lineRule="exact"/>
              <w:rPr>
                <w:sz w:val="20"/>
                <w:szCs w:val="20"/>
                <w:color w:val="auto"/>
              </w:rPr>
            </w:pPr>
            <w:r>
              <w:rPr>
                <w:rFonts w:ascii="Times New Roman" w:cs="Times New Roman" w:eastAsia="Times New Roman" w:hAnsi="Times New Roman"/>
                <w:sz w:val="16"/>
                <w:szCs w:val="16"/>
                <w:b w:val="1"/>
                <w:bCs w:val="1"/>
                <w:color w:val="auto"/>
              </w:rPr>
              <w:t>Safety-Kleen</w:t>
            </w: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Sustainability</w:t>
            </w:r>
          </w:p>
        </w:tc>
        <w:tc>
          <w:tcPr>
            <w:tcW w:w="260" w:type="dxa"/>
            <w:vAlign w:val="bottom"/>
          </w:tcPr>
          <w:p>
            <w:pPr>
              <w:spacing w:after="0"/>
              <w:rPr>
                <w:sz w:val="14"/>
                <w:szCs w:val="14"/>
                <w:color w:val="auto"/>
              </w:rPr>
            </w:pPr>
          </w:p>
        </w:tc>
        <w:tc>
          <w:tcPr>
            <w:tcW w:w="14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360" w:type="dxa"/>
            <w:vAlign w:val="bottom"/>
          </w:tcPr>
          <w:p>
            <w:pPr>
              <w:spacing w:after="0"/>
              <w:rPr>
                <w:sz w:val="14"/>
                <w:szCs w:val="14"/>
                <w:color w:val="auto"/>
              </w:rPr>
            </w:pPr>
          </w:p>
        </w:tc>
        <w:tc>
          <w:tcPr>
            <w:tcW w:w="1220" w:type="dxa"/>
            <w:vAlign w:val="bottom"/>
            <w:vMerge w:val="restart"/>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14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2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440" w:type="dxa"/>
            <w:vAlign w:val="bottom"/>
            <w:tcBorders>
              <w:top w:val="single" w:sz="8" w:color="CCEEFF"/>
              <w:bottom w:val="single" w:sz="8" w:color="auto"/>
            </w:tcBorders>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b w:val="1"/>
                <w:bCs w:val="1"/>
                <w:color w:val="auto"/>
                <w:w w:val="99"/>
              </w:rPr>
              <w:t>Primary Geographical Markets</w:t>
            </w:r>
          </w:p>
        </w:tc>
        <w:tc>
          <w:tcPr>
            <w:tcW w:w="2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140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144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CCEEFF"/>
            </w:tcBorders>
            <w:shd w:val="clear" w:color="auto" w:fill="CCEEFF"/>
          </w:tcPr>
          <w:p>
            <w:pPr>
              <w:spacing w:after="0"/>
              <w:rPr>
                <w:sz w:val="17"/>
                <w:szCs w:val="17"/>
                <w:color w:val="auto"/>
              </w:rPr>
            </w:pPr>
          </w:p>
        </w:tc>
        <w:tc>
          <w:tcPr>
            <w:tcW w:w="132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1,410,767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297,503</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1,708,270</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18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127,671</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33,508</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161,179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1,538,438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331,011</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1,869,449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Sources of Revenue</w:t>
            </w: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Technical Services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507,222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507,222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Industrial Services</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336,681</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and Emergency Response Services</w:t>
            </w: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401,189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401,189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Safety-Kleen Environmental Services</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381,960</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Safety-Kleen Oil</w:t>
            </w:r>
          </w:p>
        </w:tc>
        <w:tc>
          <w:tcPr>
            <w:tcW w:w="18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242,397</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242,397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1,538,438</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331,011</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1,869,449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7"/>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Environmental</w:t>
            </w:r>
          </w:p>
        </w:tc>
        <w:tc>
          <w:tcPr>
            <w:tcW w:w="140" w:type="dxa"/>
            <w:vAlign w:val="bottom"/>
          </w:tcPr>
          <w:p>
            <w:pPr>
              <w:spacing w:after="0"/>
              <w:rPr>
                <w:sz w:val="14"/>
                <w:szCs w:val="14"/>
                <w:color w:val="auto"/>
              </w:rPr>
            </w:pPr>
          </w:p>
        </w:tc>
        <w:tc>
          <w:tcPr>
            <w:tcW w:w="1560" w:type="dxa"/>
            <w:vAlign w:val="bottom"/>
            <w:gridSpan w:val="2"/>
          </w:tcPr>
          <w:p>
            <w:pPr>
              <w:jc w:val="center"/>
              <w:ind w:right="260"/>
              <w:spacing w:after="0" w:line="172" w:lineRule="exact"/>
              <w:rPr>
                <w:sz w:val="20"/>
                <w:szCs w:val="20"/>
                <w:color w:val="auto"/>
              </w:rPr>
            </w:pPr>
            <w:r>
              <w:rPr>
                <w:rFonts w:ascii="Times New Roman" w:cs="Times New Roman" w:eastAsia="Times New Roman" w:hAnsi="Times New Roman"/>
                <w:sz w:val="16"/>
                <w:szCs w:val="16"/>
                <w:b w:val="1"/>
                <w:bCs w:val="1"/>
                <w:color w:val="auto"/>
              </w:rPr>
              <w:t>Safety-Kleen</w:t>
            </w: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Sustainability</w:t>
            </w:r>
          </w:p>
        </w:tc>
        <w:tc>
          <w:tcPr>
            <w:tcW w:w="260" w:type="dxa"/>
            <w:vAlign w:val="bottom"/>
          </w:tcPr>
          <w:p>
            <w:pPr>
              <w:spacing w:after="0"/>
              <w:rPr>
                <w:sz w:val="14"/>
                <w:szCs w:val="14"/>
                <w:color w:val="auto"/>
              </w:rPr>
            </w:pPr>
          </w:p>
        </w:tc>
        <w:tc>
          <w:tcPr>
            <w:tcW w:w="14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360" w:type="dxa"/>
            <w:vAlign w:val="bottom"/>
          </w:tcPr>
          <w:p>
            <w:pPr>
              <w:spacing w:after="0"/>
              <w:rPr>
                <w:sz w:val="14"/>
                <w:szCs w:val="14"/>
                <w:color w:val="auto"/>
              </w:rPr>
            </w:pPr>
          </w:p>
        </w:tc>
        <w:tc>
          <w:tcPr>
            <w:tcW w:w="1220" w:type="dxa"/>
            <w:vAlign w:val="bottom"/>
            <w:vMerge w:val="restart"/>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14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2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440" w:type="dxa"/>
            <w:vAlign w:val="bottom"/>
            <w:tcBorders>
              <w:top w:val="single" w:sz="8" w:color="CCEEFF"/>
              <w:bottom w:val="single" w:sz="8" w:color="auto"/>
            </w:tcBorders>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b w:val="1"/>
                <w:bCs w:val="1"/>
                <w:color w:val="auto"/>
                <w:w w:val="99"/>
              </w:rPr>
              <w:t>Primary Geographical Markets</w:t>
            </w:r>
          </w:p>
        </w:tc>
        <w:tc>
          <w:tcPr>
            <w:tcW w:w="2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140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144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CCEEFF"/>
            </w:tcBorders>
            <w:shd w:val="clear" w:color="auto" w:fill="CCEEFF"/>
          </w:tcPr>
          <w:p>
            <w:pPr>
              <w:spacing w:after="0"/>
              <w:rPr>
                <w:sz w:val="17"/>
                <w:szCs w:val="17"/>
                <w:color w:val="auto"/>
              </w:rPr>
            </w:pPr>
          </w:p>
        </w:tc>
        <w:tc>
          <w:tcPr>
            <w:tcW w:w="132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1,194,300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202,483</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1,396,783</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18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124,280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28,274</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152,554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1,318,580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230,757</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1,549,337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Sources of Revenue</w:t>
            </w: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Technical Services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490,768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490,768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Industrial Services</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332,102</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and Emergency Response Services</w:t>
            </w: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232,262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232,262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Safety-Kleen Environmental Services</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340,049</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Safety-Kleen Oil</w:t>
            </w:r>
          </w:p>
        </w:tc>
        <w:tc>
          <w:tcPr>
            <w:tcW w:w="18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154,156</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154,156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1,318,580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230,757</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1,549,337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10"/>
          </w:tcPr>
          <w:p>
            <w:pPr>
              <w:ind w:left="80"/>
              <w:spacing w:after="0"/>
              <w:rPr>
                <w:sz w:val="20"/>
                <w:szCs w:val="20"/>
                <w:color w:val="auto"/>
              </w:rPr>
            </w:pPr>
            <w:r>
              <w:rPr>
                <w:rFonts w:ascii="Times New Roman" w:cs="Times New Roman" w:eastAsia="Times New Roman" w:hAnsi="Times New Roman"/>
                <w:sz w:val="16"/>
                <w:szCs w:val="16"/>
                <w:b w:val="1"/>
                <w:bCs w:val="1"/>
                <w:color w:val="auto"/>
              </w:rPr>
              <w:t>Nine Months Ended September 30, 2026</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Environmental</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5"/>
          </w:tcPr>
          <w:p>
            <w:pPr>
              <w:jc w:val="center"/>
              <w:ind w:right="240"/>
              <w:spacing w:after="0" w:line="172" w:lineRule="exact"/>
              <w:rPr>
                <w:sz w:val="20"/>
                <w:szCs w:val="20"/>
                <w:color w:val="auto"/>
              </w:rPr>
            </w:pPr>
            <w:r>
              <w:rPr>
                <w:rFonts w:ascii="Times New Roman" w:cs="Times New Roman" w:eastAsia="Times New Roman" w:hAnsi="Times New Roman"/>
                <w:sz w:val="16"/>
                <w:szCs w:val="16"/>
                <w:b w:val="1"/>
                <w:bCs w:val="1"/>
                <w:color w:val="auto"/>
              </w:rPr>
              <w:t>Safety-Kleen</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5"/>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Sustainability</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3"/>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vMerge w:val="restart"/>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440" w:type="dxa"/>
            <w:vAlign w:val="bottom"/>
            <w:tcBorders>
              <w:top w:val="single" w:sz="8" w:color="CCEEFF"/>
              <w:bottom w:val="single" w:sz="8" w:color="auto"/>
            </w:tcBorders>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b w:val="1"/>
                <w:bCs w:val="1"/>
                <w:color w:val="auto"/>
                <w:w w:val="99"/>
              </w:rPr>
              <w:t>Primary Geographical Markets</w:t>
            </w:r>
          </w:p>
        </w:tc>
        <w:tc>
          <w:tcPr>
            <w:tcW w:w="20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140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3,873,397</w:t>
            </w:r>
          </w:p>
        </w:tc>
        <w:tc>
          <w:tcPr>
            <w:tcW w:w="20" w:type="dxa"/>
            <w:vAlign w:val="bottom"/>
          </w:tcPr>
          <w:p>
            <w:pPr>
              <w:spacing w:after="0"/>
              <w:rPr>
                <w:sz w:val="21"/>
                <w:szCs w:val="21"/>
                <w:color w:val="auto"/>
              </w:rPr>
            </w:pPr>
          </w:p>
        </w:tc>
        <w:tc>
          <w:tcPr>
            <w:tcW w:w="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757,091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4,630,488</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352,021</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81,482</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433,503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4,225,418</w:t>
            </w:r>
          </w:p>
        </w:tc>
        <w:tc>
          <w:tcPr>
            <w:tcW w:w="20" w:type="dxa"/>
            <w:vAlign w:val="bottom"/>
          </w:tcPr>
          <w:p>
            <w:pPr>
              <w:spacing w:after="0"/>
              <w:rPr>
                <w:sz w:val="20"/>
                <w:szCs w:val="20"/>
                <w:color w:val="auto"/>
              </w:rPr>
            </w:pPr>
          </w:p>
        </w:tc>
        <w:tc>
          <w:tcPr>
            <w:tcW w:w="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838,573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5,063,991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Sources of Revenue</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Technical Services</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1,501,164</w:t>
            </w:r>
          </w:p>
        </w:tc>
        <w:tc>
          <w:tcPr>
            <w:tcW w:w="20" w:type="dxa"/>
            <w:vAlign w:val="bottom"/>
            <w:shd w:val="clear" w:color="auto" w:fill="CCEEFF"/>
          </w:tcPr>
          <w:p>
            <w:pPr>
              <w:spacing w:after="0"/>
              <w:rPr>
                <w:sz w:val="21"/>
                <w:szCs w:val="21"/>
                <w:color w:val="auto"/>
              </w:rPr>
            </w:pPr>
          </w:p>
        </w:tc>
        <w:tc>
          <w:tcPr>
            <w:tcW w:w="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1,501,164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Industrial Services</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998,350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998,350</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and Emergency Response Services</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880,459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880,459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Safety-Kleen Environmental Services</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845,445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254,082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1,099,527</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Safety-Kleen Oil</w:t>
            </w:r>
          </w:p>
        </w:tc>
        <w:tc>
          <w:tcPr>
            <w:tcW w:w="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584,491</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584,491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4,225,418</w:t>
            </w:r>
          </w:p>
        </w:tc>
        <w:tc>
          <w:tcPr>
            <w:tcW w:w="20" w:type="dxa"/>
            <w:vAlign w:val="bottom"/>
          </w:tcPr>
          <w:p>
            <w:pPr>
              <w:spacing w:after="0"/>
              <w:rPr>
                <w:sz w:val="20"/>
                <w:szCs w:val="20"/>
                <w:color w:val="auto"/>
              </w:rPr>
            </w:pPr>
          </w:p>
        </w:tc>
        <w:tc>
          <w:tcPr>
            <w:tcW w:w="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838,573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5,063,991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6"/>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10"/>
          </w:tcPr>
          <w:p>
            <w:pPr>
              <w:ind w:left="60"/>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Environmental</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5"/>
          </w:tcPr>
          <w:p>
            <w:pPr>
              <w:jc w:val="center"/>
              <w:ind w:right="300"/>
              <w:spacing w:after="0" w:line="172" w:lineRule="exact"/>
              <w:rPr>
                <w:sz w:val="20"/>
                <w:szCs w:val="20"/>
                <w:color w:val="auto"/>
              </w:rPr>
            </w:pPr>
            <w:r>
              <w:rPr>
                <w:rFonts w:ascii="Times New Roman" w:cs="Times New Roman" w:eastAsia="Times New Roman" w:hAnsi="Times New Roman"/>
                <w:sz w:val="16"/>
                <w:szCs w:val="16"/>
                <w:b w:val="1"/>
                <w:bCs w:val="1"/>
                <w:color w:val="auto"/>
                <w:w w:val="99"/>
              </w:rPr>
              <w:t>Safety-Kleen</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5"/>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Sustainability</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vMerge w:val="restart"/>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Services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440" w:type="dxa"/>
            <w:vAlign w:val="bottom"/>
            <w:tcBorders>
              <w:top w:val="single" w:sz="8" w:color="CCEEFF"/>
              <w:bottom w:val="single" w:sz="8" w:color="auto"/>
            </w:tcBorders>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b w:val="1"/>
                <w:bCs w:val="1"/>
                <w:color w:val="auto"/>
                <w:w w:val="99"/>
              </w:rPr>
              <w:t>Primary Geographical Markets</w:t>
            </w:r>
          </w:p>
        </w:tc>
        <w:tc>
          <w:tcPr>
            <w:tcW w:w="20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140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3,519,337</w:t>
            </w:r>
          </w:p>
        </w:tc>
        <w:tc>
          <w:tcPr>
            <w:tcW w:w="20" w:type="dxa"/>
            <w:vAlign w:val="bottom"/>
          </w:tcPr>
          <w:p>
            <w:pPr>
              <w:spacing w:after="0"/>
              <w:rPr>
                <w:sz w:val="21"/>
                <w:szCs w:val="21"/>
                <w:color w:val="auto"/>
              </w:rPr>
            </w:pPr>
          </w:p>
        </w:tc>
        <w:tc>
          <w:tcPr>
            <w:tcW w:w="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596,612</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gridSpan w:val="3"/>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4,116,135</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4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336,340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78,666</w:t>
            </w:r>
          </w:p>
        </w:tc>
        <w:tc>
          <w:tcPr>
            <w:tcW w:w="60" w:type="dxa"/>
            <w:vAlign w:val="bottom"/>
            <w:tcBorders>
              <w:bottom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415,006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3,855,677</w:t>
            </w:r>
          </w:p>
        </w:tc>
        <w:tc>
          <w:tcPr>
            <w:tcW w:w="20" w:type="dxa"/>
            <w:vAlign w:val="bottom"/>
          </w:tcPr>
          <w:p>
            <w:pPr>
              <w:spacing w:after="0"/>
              <w:rPr>
                <w:sz w:val="20"/>
                <w:szCs w:val="20"/>
                <w:color w:val="auto"/>
              </w:rPr>
            </w:pPr>
          </w:p>
        </w:tc>
        <w:tc>
          <w:tcPr>
            <w:tcW w:w="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675,278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gridSpan w:val="3"/>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4,531,141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Sources of Revenue</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Technical Services</w:t>
            </w: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1,380,394</w:t>
            </w:r>
          </w:p>
        </w:tc>
        <w:tc>
          <w:tcPr>
            <w:tcW w:w="20" w:type="dxa"/>
            <w:vAlign w:val="bottom"/>
            <w:shd w:val="clear" w:color="auto" w:fill="CCEEFF"/>
          </w:tcPr>
          <w:p>
            <w:pPr>
              <w:spacing w:after="0"/>
              <w:rPr>
                <w:sz w:val="21"/>
                <w:szCs w:val="21"/>
                <w:color w:val="auto"/>
              </w:rPr>
            </w:pPr>
          </w:p>
        </w:tc>
        <w:tc>
          <w:tcPr>
            <w:tcW w:w="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1,380,394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Industrial Services and Other</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1,016,040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1,016,226</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and Emergency Response Services</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690,755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690,755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Safety-Kleen Environmental Services</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768,488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213,965</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982,453</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Safety-Kleen Oil</w:t>
            </w:r>
          </w:p>
        </w:tc>
        <w:tc>
          <w:tcPr>
            <w:tcW w:w="4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461,313</w:t>
            </w:r>
          </w:p>
        </w:tc>
        <w:tc>
          <w:tcPr>
            <w:tcW w:w="60" w:type="dxa"/>
            <w:vAlign w:val="bottom"/>
            <w:tcBorders>
              <w:bottom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461,313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3,855,677</w:t>
            </w:r>
          </w:p>
        </w:tc>
        <w:tc>
          <w:tcPr>
            <w:tcW w:w="20" w:type="dxa"/>
            <w:vAlign w:val="bottom"/>
          </w:tcPr>
          <w:p>
            <w:pPr>
              <w:spacing w:after="0"/>
              <w:rPr>
                <w:sz w:val="20"/>
                <w:szCs w:val="20"/>
                <w:color w:val="auto"/>
              </w:rPr>
            </w:pPr>
          </w:p>
        </w:tc>
        <w:tc>
          <w:tcPr>
            <w:tcW w:w="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675,278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gridSpan w:val="3"/>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4,531,141</w:t>
            </w:r>
          </w:p>
        </w:tc>
        <w:tc>
          <w:tcPr>
            <w:tcW w:w="0" w:type="dxa"/>
            <w:vAlign w:val="bottom"/>
          </w:tcPr>
          <w:p>
            <w:pPr>
              <w:spacing w:after="0"/>
              <w:rPr>
                <w:sz w:val="1"/>
                <w:szCs w:val="1"/>
                <w:color w:val="auto"/>
              </w:rPr>
            </w:pPr>
          </w:p>
        </w:tc>
      </w:tr>
      <w:tr>
        <w:trPr>
          <w:trHeight w:val="20"/>
        </w:trPr>
        <w:tc>
          <w:tcPr>
            <w:tcW w:w="45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Contract Balances</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4540" w:type="dxa"/>
            <w:vAlign w:val="bottom"/>
            <w:gridSpan w:val="4"/>
            <w:vMerge w:val="continue"/>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2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80" w:type="dxa"/>
            <w:vAlign w:val="bottom"/>
            <w:tcBorders>
              <w:bottom w:val="single" w:sz="8" w:color="CCEEFF"/>
            </w:tcBorders>
            <w:gridSpan w:val="2"/>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40"/>
        </w:trPr>
        <w:tc>
          <w:tcPr>
            <w:tcW w:w="20" w:type="dxa"/>
            <w:vAlign w:val="bottom"/>
            <w:shd w:val="clear" w:color="auto" w:fill="CCEEFF"/>
          </w:tcPr>
          <w:p>
            <w:pPr>
              <w:spacing w:after="0"/>
              <w:rPr>
                <w:sz w:val="20"/>
                <w:szCs w:val="20"/>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1,273,770</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60" w:type="dxa"/>
            <w:vAlign w:val="bottom"/>
            <w:gridSpan w:val="3"/>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1,044,137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Contract assets (unbilled receivables)</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218,442</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160,888</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 (deferred revenue)</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97,948</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81,529</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(contract assets), and customer advances and deposits or deferred revenue (contract liabilities) on the consolidated balance sheet. Generally, billing occurs subsequent to revenue recognition, as a right to payment is not solely subject to passage of time, resulting in contract assets, which are generally classified as current. The Company sometimes receives advances or deposits from its customers before revenues are recognized, resulting in contract liabilities. These assets and liabilities are reported on the consolidated balance sheet on a contract-by-contract basis at the end of each reporting period. The contract liability balances at the beginning of each period presented are generally fully recognized in the subsequent three-month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BUSINESS COMBINATIONS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EnviroServe Acquisition</w:t>
      </w:r>
    </w:p>
    <w:p>
      <w:pPr>
        <w:spacing w:after="0" w:line="148"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On October 2, 2026, the Company acquired EnviroServe for an all-cash purchase price of approximately $470 million, net of cash acquired and subject to final settlement of working capital balances. The operations of the acquired business will expand the Environmental Services segment’s Technical and Field Services businesses.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ES&amp;H Acquisition</w:t>
      </w:r>
    </w:p>
    <w:p>
      <w:pPr>
        <w:spacing w:after="0" w:line="162" w:lineRule="exact"/>
        <w:rPr>
          <w:sz w:val="20"/>
          <w:szCs w:val="20"/>
          <w:color w:val="auto"/>
        </w:rPr>
      </w:pPr>
    </w:p>
    <w:p>
      <w:pPr>
        <w:ind w:right="60" w:firstLine="648"/>
        <w:spacing w:after="0" w:line="312" w:lineRule="auto"/>
        <w:rPr>
          <w:sz w:val="20"/>
          <w:szCs w:val="20"/>
          <w:color w:val="auto"/>
        </w:rPr>
      </w:pPr>
      <w:r>
        <w:rPr>
          <w:rFonts w:ascii="Times New Roman" w:cs="Times New Roman" w:eastAsia="Times New Roman" w:hAnsi="Times New Roman"/>
          <w:sz w:val="17"/>
          <w:szCs w:val="17"/>
          <w:color w:val="auto"/>
        </w:rPr>
        <w:t>On September 18, 2026, the Company acquired ES&amp;H for an all-cash purchase price of $300.7 million, net of cash acquired and subject to final settlement of working capital balances. The operations of the acquired business will expand the Environmental Services segment’s Field Services business.</w:t>
      </w:r>
    </w:p>
    <w:p>
      <w:pPr>
        <w:spacing w:after="0" w:line="5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preliminary allocation of the purchase price is provisional and was based on estimates of fair value of assets acquired and liabilities assumed as of September 18, 2026. The Company continues to obtain information to complete the valuation of these balances and the associated income tax accounting. Measurement period adjustments will reflect new information obtained about facts and circumstances that existed as of the acquisition date. The following table summarizes the preliminary determinations and recognition of assets acquired and liabilities assumed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At September 18, 2026</w:t>
            </w:r>
          </w:p>
        </w:tc>
      </w:tr>
      <w:tr>
        <w:trPr>
          <w:trHeight w:val="243"/>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including unbilled receivables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16,503</w:t>
            </w:r>
          </w:p>
        </w:tc>
      </w:tr>
      <w:tr>
        <w:trPr>
          <w:trHeight w:val="243"/>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and supplies</w:t>
            </w:r>
          </w:p>
        </w:tc>
        <w:tc>
          <w:tcPr>
            <w:tcW w:w="16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43"/>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43"/>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6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23,230</w:t>
            </w:r>
          </w:p>
        </w:tc>
      </w:tr>
      <w:tr>
        <w:trPr>
          <w:trHeight w:val="243"/>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Permits and other intangible assets</w:t>
            </w:r>
          </w:p>
        </w:tc>
        <w:tc>
          <w:tcPr>
            <w:tcW w:w="16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126,500</w:t>
            </w:r>
          </w:p>
        </w:tc>
      </w:tr>
      <w:tr>
        <w:trPr>
          <w:trHeight w:val="243"/>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4,192</w:t>
            </w:r>
          </w:p>
        </w:tc>
      </w:tr>
      <w:tr>
        <w:trPr>
          <w:trHeight w:val="243"/>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w:t>
            </w:r>
          </w:p>
        </w:tc>
      </w:tr>
      <w:tr>
        <w:trPr>
          <w:trHeight w:val="243"/>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w:t>
            </w:r>
          </w:p>
        </w:tc>
      </w:tr>
      <w:tr>
        <w:trPr>
          <w:trHeight w:val="243"/>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6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r>
      <w:tr>
        <w:trPr>
          <w:trHeight w:val="243"/>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1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(3,327)</w:t>
            </w:r>
          </w:p>
        </w:tc>
      </w:tr>
      <w:tr>
        <w:trPr>
          <w:trHeight w:val="244"/>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1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159,045</w:t>
            </w:r>
          </w:p>
        </w:tc>
      </w:tr>
      <w:tr>
        <w:trPr>
          <w:trHeight w:val="270"/>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141,704</w:t>
            </w:r>
          </w:p>
        </w:tc>
      </w:tr>
      <w:tr>
        <w:trPr>
          <w:trHeight w:val="289"/>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300,749</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40" w:firstLine="648"/>
        <w:spacing w:after="0" w:line="281" w:lineRule="auto"/>
        <w:rPr>
          <w:sz w:val="20"/>
          <w:szCs w:val="20"/>
          <w:color w:val="auto"/>
        </w:rPr>
      </w:pPr>
      <w:r>
        <w:rPr>
          <w:rFonts w:ascii="Times New Roman" w:cs="Times New Roman" w:eastAsia="Times New Roman" w:hAnsi="Times New Roman"/>
          <w:sz w:val="17"/>
          <w:szCs w:val="17"/>
          <w:color w:val="auto"/>
        </w:rPr>
        <w:t>Other intangible assets acquired are trade names and customer relationships anticipated to have average estimated useful lives of 15 years. The Company recorded the excess of the total purchase price, which includes the aggregate cash consideration paid in excess of the fair value of the tangible and intangible assets acquired and liabilities assumed, as goodwill. The goodwill recognized is attributable to the operating synergies, assembled workforce and growth potential that the Company expects to realize from the acquisition. Goodwill generated from the acquisition is deductible for tax purposes.</w:t>
      </w:r>
    </w:p>
    <w:p>
      <w:pPr>
        <w:spacing w:after="0" w:line="83"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Pro forma revenues and earnings amounts on a combined basis as if this acquisition had been completed on January 1, 2025 are immaterial to the consolidated financial statements of the Company. The results of operations of the acquired business from the acquisition date through the end of the reporting period were not material to the Company’s unaudited consolidated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Western Oil Acquisition</w:t>
      </w:r>
    </w:p>
    <w:p>
      <w:pPr>
        <w:spacing w:after="0" w:line="162"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On July 17, 2026, the Company acquired Western Oil, Inc., a waste oil collection business, for $29.4 million, net of cash acquired and subject to final settlement of working capital balances. The operations of the acquired business are incorporated into the SKSS segment and the Environmental Services segment’s Field Services business. The impact of this acquisition is not material to the Company’s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Terra Nova Solutions Acquisition</w:t>
      </w:r>
    </w:p>
    <w:p>
      <w:pPr>
        <w:spacing w:after="0" w:line="162"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On May 13, 2026, the Company acquired Terra Nova Solutions for an all-cash purchase price of $225.4 million, net of cash acquired. The operations of the acquired business expanded the Environmental Services segment’s Technical and Field Services businesses and included four permitted waste treatment facilities.</w:t>
      </w:r>
    </w:p>
    <w:p>
      <w:pPr>
        <w:spacing w:after="0" w:line="9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preliminary allocation of the purchase price is provisional and was based on estimates of fair value of assets acquired and liabilities assumed as of May 13, 2026. The Company continues to obtain information to complete the valuation of these balances and the associated income tax accounting. Measurement period adjustments will reflect new information obtained about facts and circumstances that existed as of the acquisition date. The following table summarizes the preliminary determinations and recognition of assets acquired and liabilities assumed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At Acquisition</w:t>
            </w: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rPr>
              <w:t>At Acquisition</w:t>
            </w:r>
          </w:p>
        </w:tc>
      </w:tr>
      <w:tr>
        <w:trPr>
          <w:trHeight w:val="189"/>
        </w:trPr>
        <w:tc>
          <w:tcPr>
            <w:tcW w:w="5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Date As Reported</w:t>
            </w:r>
          </w:p>
        </w:tc>
        <w:tc>
          <w:tcPr>
            <w:tcW w:w="140" w:type="dxa"/>
            <w:vAlign w:val="bottom"/>
          </w:tcPr>
          <w:p>
            <w:pPr>
              <w:spacing w:after="0"/>
              <w:rPr>
                <w:sz w:val="16"/>
                <w:szCs w:val="16"/>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Measurement Period</w:t>
            </w:r>
          </w:p>
        </w:tc>
        <w:tc>
          <w:tcPr>
            <w:tcW w:w="160" w:type="dxa"/>
            <w:vAlign w:val="bottom"/>
          </w:tcPr>
          <w:p>
            <w:pPr>
              <w:spacing w:after="0"/>
              <w:rPr>
                <w:sz w:val="16"/>
                <w:szCs w:val="16"/>
                <w:color w:val="auto"/>
              </w:rPr>
            </w:pPr>
          </w:p>
        </w:tc>
        <w:tc>
          <w:tcPr>
            <w:tcW w:w="1640" w:type="dxa"/>
            <w:vAlign w:val="bottom"/>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rPr>
              <w:t>Date As Reported</w:t>
            </w:r>
          </w:p>
        </w:tc>
      </w:tr>
      <w:tr>
        <w:trPr>
          <w:trHeight w:val="239"/>
        </w:trPr>
        <w:tc>
          <w:tcPr>
            <w:tcW w:w="5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June 30, 2026</w:t>
            </w:r>
          </w:p>
        </w:tc>
        <w:tc>
          <w:tcPr>
            <w:tcW w:w="140" w:type="dxa"/>
            <w:vAlign w:val="bottom"/>
          </w:tcPr>
          <w:p>
            <w:pPr>
              <w:spacing w:after="0"/>
              <w:rPr>
                <w:sz w:val="20"/>
                <w:szCs w:val="20"/>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60" w:type="dxa"/>
            <w:vAlign w:val="bottom"/>
          </w:tcPr>
          <w:p>
            <w:pPr>
              <w:spacing w:after="0"/>
              <w:rPr>
                <w:sz w:val="20"/>
                <w:szCs w:val="20"/>
                <w:color w:val="auto"/>
              </w:rPr>
            </w:pPr>
          </w:p>
        </w:tc>
        <w:tc>
          <w:tcPr>
            <w:tcW w:w="1640" w:type="dxa"/>
            <w:vAlign w:val="bottom"/>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rPr>
              <w:t>September 30, 2026</w:t>
            </w:r>
          </w:p>
        </w:tc>
      </w:tr>
      <w:tr>
        <w:trPr>
          <w:trHeight w:val="243"/>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including unbilled receivables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6,855</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6,927</w:t>
            </w: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and supplies</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4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w:t>
            </w: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27,278</w:t>
            </w:r>
          </w:p>
        </w:tc>
      </w:tr>
      <w:tr>
        <w:trPr>
          <w:trHeight w:val="24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Permits and other intangible assets</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86,400</w:t>
            </w: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4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w:t>
            </w:r>
          </w:p>
        </w:tc>
      </w:tr>
      <w:tr>
        <w:trPr>
          <w:trHeight w:val="24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4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0" w:type="dxa"/>
            <w:vAlign w:val="bottom"/>
          </w:tcPr>
          <w:p>
            <w:pPr>
              <w:spacing w:after="0"/>
              <w:rPr>
                <w:sz w:val="21"/>
                <w:szCs w:val="21"/>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(16,227)</w:t>
            </w:r>
          </w:p>
        </w:tc>
      </w:tr>
      <w:tr>
        <w:trPr>
          <w:trHeight w:val="27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Closure and post-closure liabilities</w:t>
            </w:r>
          </w:p>
        </w:tc>
        <w:tc>
          <w:tcPr>
            <w:tcW w:w="180" w:type="dxa"/>
            <w:vAlign w:val="bottom"/>
            <w:shd w:val="clear" w:color="auto" w:fill="CCEEFF"/>
          </w:tcPr>
          <w:p>
            <w:pPr>
              <w:spacing w:after="0"/>
              <w:rPr>
                <w:sz w:val="23"/>
                <w:szCs w:val="23"/>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7"/>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18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115,017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102,471</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110,756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122,909</w:t>
            </w:r>
          </w:p>
        </w:tc>
      </w:tr>
      <w:tr>
        <w:trPr>
          <w:trHeight w:val="26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225,773</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225,380</w:t>
            </w: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Other intangible assets acquired are customer relationships anticipated to have estimated useful lives of 16 years. The Company recorded the excess of the total purchase price, which includes the aggregate cash consideration paid in excess of the fair value of the tangible and intangible assets acquired and liabilities assumed, as goodwill. The goodwill recognized is attributable to the operating synergies, assembled workforce and growth potential that the Company expects to realize from the acquisition. Goodwill generated from the acquisition is not deductible for tax purposes.</w:t>
      </w:r>
    </w:p>
    <w:p>
      <w:pPr>
        <w:spacing w:after="0" w:line="11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Pro forma revenues and earnings amounts on a combined basis as if this acquisition had been completed on January 1, 2025 are immaterial to the consolidated financial statements of the Company. The results of operations of the acquired business from the acquisition date through the end of the reporting period were not material to the Company’s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Depot Connect International Acquisition</w:t>
      </w:r>
    </w:p>
    <w:p>
      <w:pPr>
        <w:spacing w:after="0" w:line="16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On March 20, 2026, the Company acquired certain environmental businesses of Depot Connect International for an all-cash purchase price of $132.5 million. The operations of the acquired businesses expanded the Environmental Services segment’s Technical and Field Services businesses and included two permitted waste treatment facilities. The acquisition did not include working capital balances held by the seller other than those shown in the table below.</w:t>
      </w:r>
    </w:p>
    <w:p>
      <w:pPr>
        <w:spacing w:after="0" w:line="99"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The preliminary allocation of the purchase price is provisional and was based on estimates of fair value of assets acquired and liabilities assumed as of March 20, 2026. The Company continues to obtain information to complete the valuation of these balances and the associated income tax accounting. Measurement period adjustments will reflect new information obtained about facts and circumstances that existed as of the acquisition date. The following table summarizes the preliminary determinations and recognition of assets acquired and liabilities assumed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At Acquisition</w:t>
            </w: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At Acquisition</w:t>
            </w:r>
          </w:p>
        </w:tc>
      </w:tr>
      <w:tr>
        <w:trPr>
          <w:trHeight w:val="189"/>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Date As Reported</w:t>
            </w:r>
          </w:p>
        </w:tc>
        <w:tc>
          <w:tcPr>
            <w:tcW w:w="120" w:type="dxa"/>
            <w:vAlign w:val="bottom"/>
          </w:tcPr>
          <w:p>
            <w:pPr>
              <w:spacing w:after="0"/>
              <w:rPr>
                <w:sz w:val="16"/>
                <w:szCs w:val="16"/>
                <w:color w:val="auto"/>
              </w:rPr>
            </w:pP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Measurement Period</w:t>
            </w:r>
          </w:p>
        </w:tc>
        <w:tc>
          <w:tcPr>
            <w:tcW w:w="140" w:type="dxa"/>
            <w:vAlign w:val="bottom"/>
          </w:tcPr>
          <w:p>
            <w:pPr>
              <w:spacing w:after="0"/>
              <w:rPr>
                <w:sz w:val="16"/>
                <w:szCs w:val="16"/>
                <w:color w:val="auto"/>
              </w:rPr>
            </w:pPr>
          </w:p>
        </w:tc>
        <w:tc>
          <w:tcPr>
            <w:tcW w:w="156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Date As Reported</w:t>
            </w:r>
          </w:p>
        </w:tc>
      </w:tr>
      <w:tr>
        <w:trPr>
          <w:trHeight w:val="239"/>
        </w:trPr>
        <w:tc>
          <w:tcPr>
            <w:tcW w:w="56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rPr>
              <w:t>June 30, 2026</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September 30, 2026</w:t>
            </w:r>
          </w:p>
        </w:tc>
      </w:tr>
      <w:tr>
        <w:trPr>
          <w:trHeight w:val="257"/>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 and supplies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7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4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15,109</w:t>
            </w:r>
          </w:p>
        </w:tc>
      </w:tr>
      <w:tr>
        <w:trPr>
          <w:trHeight w:val="27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Permits and other intangible assets</w:t>
            </w:r>
          </w:p>
        </w:tc>
        <w:tc>
          <w:tcPr>
            <w:tcW w:w="240" w:type="dxa"/>
            <w:vAlign w:val="bottom"/>
            <w:shd w:val="clear" w:color="auto" w:fill="CCEEFF"/>
          </w:tcPr>
          <w:p>
            <w:pPr>
              <w:spacing w:after="0"/>
              <w:rPr>
                <w:sz w:val="23"/>
                <w:szCs w:val="23"/>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33,800</w:t>
            </w:r>
          </w:p>
        </w:tc>
      </w:tr>
      <w:tr>
        <w:trPr>
          <w:trHeight w:val="27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5,634</w:t>
            </w:r>
          </w:p>
        </w:tc>
      </w:tr>
      <w:tr>
        <w:trPr>
          <w:trHeight w:val="27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shd w:val="clear" w:color="auto" w:fill="CCEEFF"/>
          </w:tcPr>
          <w:p>
            <w:pPr>
              <w:spacing w:after="0"/>
              <w:rPr>
                <w:sz w:val="23"/>
                <w:szCs w:val="23"/>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w:t>
            </w:r>
          </w:p>
        </w:tc>
      </w:tr>
      <w:tr>
        <w:trPr>
          <w:trHeight w:val="27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4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w:t>
            </w:r>
          </w:p>
        </w:tc>
      </w:tr>
      <w:tr>
        <w:trPr>
          <w:trHeight w:val="27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240" w:type="dxa"/>
            <w:vAlign w:val="bottom"/>
            <w:shd w:val="clear" w:color="auto" w:fill="CCEEFF"/>
          </w:tcPr>
          <w:p>
            <w:pPr>
              <w:spacing w:after="0"/>
              <w:rPr>
                <w:sz w:val="23"/>
                <w:szCs w:val="23"/>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w:t>
            </w:r>
          </w:p>
        </w:tc>
      </w:tr>
      <w:tr>
        <w:trPr>
          <w:trHeight w:val="27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Closure and post-closure liabilities</w:t>
            </w:r>
          </w:p>
        </w:tc>
        <w:tc>
          <w:tcPr>
            <w:tcW w:w="240" w:type="dxa"/>
            <w:vAlign w:val="bottom"/>
          </w:tcPr>
          <w:p>
            <w:pPr>
              <w:spacing w:after="0"/>
              <w:rPr>
                <w:sz w:val="23"/>
                <w:szCs w:val="23"/>
                <w:color w:val="auto"/>
              </w:rPr>
            </w:pP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r>
      <w:tr>
        <w:trPr>
          <w:trHeight w:val="243"/>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45,448</w:t>
            </w:r>
          </w:p>
        </w:tc>
      </w:tr>
      <w:tr>
        <w:trPr>
          <w:trHeight w:val="270"/>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84,637</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87,057</w:t>
            </w:r>
          </w:p>
        </w:tc>
      </w:tr>
      <w:tr>
        <w:trPr>
          <w:trHeight w:val="289"/>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131,820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132,505</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Other intangible assets acquired are customer relationships anticipated to have estimated useful lives of 12 years. The Company recorded the excess of the total purchase price, which includes the aggregate cash consideration paid in excess of the fair value of the tangible and intangible assets acquired and liabilities assumed, as goodwill. The goodwill recognized is attributable to the operating synergies, assembled workforce and growth potential that the Company expects to realize from the acquisition. Goodwill generated from the acquisition is deductible for tax purposes.</w:t>
      </w:r>
    </w:p>
    <w:p>
      <w:pPr>
        <w:spacing w:after="0" w:line="11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Pro forma revenues and earnings amounts on a combined basis as if this acquisition had been completed on January 1, 2025 are immaterial to the consolidated financial statements of the Company. The results of operations of the acquired business from the acquisition date through the end of the reporting period were not material to the Company’s unaudited consolidated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INVENTORIES AND SUPPLIES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and supplies consisted of the following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40" w:type="dxa"/>
            <w:vAlign w:val="bottom"/>
          </w:tcPr>
          <w:p>
            <w:pPr>
              <w:spacing w:after="0"/>
              <w:rPr>
                <w:sz w:val="18"/>
                <w:szCs w:val="18"/>
                <w:color w:val="auto"/>
              </w:rPr>
            </w:pPr>
          </w:p>
        </w:tc>
        <w:tc>
          <w:tcPr>
            <w:tcW w:w="1500" w:type="dxa"/>
            <w:vAlign w:val="bottom"/>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40"/>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223,624</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217,028</w:t>
            </w: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and oil related products</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123,883</w:t>
            </w:r>
          </w:p>
        </w:tc>
      </w:tr>
      <w:tr>
        <w:trPr>
          <w:trHeight w:val="24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Solvent and solutions</w:t>
            </w:r>
          </w:p>
        </w:tc>
        <w:tc>
          <w:tcPr>
            <w:tcW w:w="14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11,589</w:t>
            </w:r>
          </w:p>
        </w:tc>
      </w:tr>
      <w:tr>
        <w:trPr>
          <w:trHeight w:val="243"/>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22,146</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19,588</w:t>
            </w:r>
          </w:p>
        </w:tc>
      </w:tr>
      <w:tr>
        <w:trPr>
          <w:trHeight w:val="261"/>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 and supplies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407,922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372,088</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Supplies inventories consist primarily of critical spare parts to support the Company’s incinerator, refurbishment center and re-refinery operations and other general supplies used in normal day-to-day operations. Stocking crucial spare parts, largely for the sustained functioning of the Company’s incinerator facilities, has resulted in significant supplies inventory balances. Other inventories consist primarily of parts washer components, cleaning fluids, absorbents and automotive fluids, such as windshield washer fluid and antifreeze.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PLANT AND EQUIPMENT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40" w:type="dxa"/>
            <w:vAlign w:val="bottom"/>
          </w:tcPr>
          <w:p>
            <w:pPr>
              <w:spacing w:after="0"/>
              <w:rPr>
                <w:sz w:val="18"/>
                <w:szCs w:val="18"/>
                <w:color w:val="auto"/>
              </w:rPr>
            </w:pPr>
          </w:p>
        </w:tc>
        <w:tc>
          <w:tcPr>
            <w:tcW w:w="150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40"/>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233,061</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193,438</w:t>
            </w: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retirement costs (non-landfill)</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40,232</w:t>
            </w:r>
          </w:p>
        </w:tc>
      </w:tr>
      <w:tr>
        <w:trPr>
          <w:trHeight w:val="24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 assets</w:t>
            </w:r>
          </w:p>
        </w:tc>
        <w:tc>
          <w:tcPr>
            <w:tcW w:w="14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285,720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278,700</w:t>
            </w:r>
          </w:p>
        </w:tc>
      </w:tr>
      <w:tr>
        <w:trPr>
          <w:trHeight w:val="243"/>
        </w:trPr>
        <w:tc>
          <w:tcPr>
            <w:tcW w:w="778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Buildings and improvements </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799,711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753,404</w:t>
            </w:r>
          </w:p>
        </w:tc>
      </w:tr>
      <w:tr>
        <w:trPr>
          <w:trHeight w:val="243"/>
        </w:trPr>
        <w:tc>
          <w:tcPr>
            <w:tcW w:w="778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Vehicles </w:t>
            </w:r>
            <w:r>
              <w:rPr>
                <w:rFonts w:ascii="Times New Roman" w:cs="Times New Roman" w:eastAsia="Times New Roman" w:hAnsi="Times New Roman"/>
                <w:sz w:val="23"/>
                <w:szCs w:val="23"/>
                <w:color w:val="auto"/>
                <w:vertAlign w:val="superscript"/>
              </w:rPr>
              <w:t>(2)</w:t>
            </w:r>
          </w:p>
        </w:tc>
        <w:tc>
          <w:tcPr>
            <w:tcW w:w="14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1,718,391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1,583,387</w:t>
            </w:r>
          </w:p>
        </w:tc>
      </w:tr>
      <w:tr>
        <w:trPr>
          <w:trHeight w:val="243"/>
        </w:trPr>
        <w:tc>
          <w:tcPr>
            <w:tcW w:w="778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Equipment </w:t>
            </w:r>
            <w:r>
              <w:rPr>
                <w:rFonts w:ascii="Times New Roman" w:cs="Times New Roman" w:eastAsia="Times New Roman" w:hAnsi="Times New Roman"/>
                <w:sz w:val="23"/>
                <w:szCs w:val="23"/>
                <w:color w:val="auto"/>
                <w:vertAlign w:val="superscript"/>
              </w:rPr>
              <w:t>(3)</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2,755,823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2,652,027</w:t>
            </w:r>
          </w:p>
        </w:tc>
      </w:tr>
      <w:tr>
        <w:trPr>
          <w:trHeight w:val="24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159,004</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90,182</w:t>
            </w:r>
          </w:p>
        </w:tc>
      </w:tr>
      <w:tr>
        <w:trPr>
          <w:trHeight w:val="237"/>
        </w:trPr>
        <w:tc>
          <w:tcPr>
            <w:tcW w:w="7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5,993,517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5,591,370</w:t>
            </w:r>
          </w:p>
        </w:tc>
      </w:tr>
      <w:tr>
        <w:trPr>
          <w:trHeight w:val="24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 accumulated depreciation and amortization</w:t>
            </w:r>
          </w:p>
        </w:tc>
        <w:tc>
          <w:tcPr>
            <w:tcW w:w="1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3,236,234</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3,050,303</w:t>
            </w:r>
          </w:p>
        </w:tc>
      </w:tr>
      <w:tr>
        <w:trPr>
          <w:trHeight w:val="237"/>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2,757,283</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2,541,067</w:t>
            </w:r>
          </w:p>
        </w:tc>
      </w:tr>
      <w:tr>
        <w:trPr>
          <w:trHeight w:val="20"/>
        </w:trPr>
        <w:tc>
          <w:tcPr>
            <w:tcW w:w="7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w:t>
      </w:r>
    </w:p>
    <w:p>
      <w:pPr>
        <w:spacing w:after="0" w:line="58" w:lineRule="exact"/>
        <w:rPr>
          <w:sz w:val="20"/>
          <w:szCs w:val="20"/>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inclusive of gross right-of-use (“ROU”) assets classified as finance leases of $8.0 million in each period.</w:t>
      </w:r>
    </w:p>
    <w:p>
      <w:pPr>
        <w:spacing w:after="0" w:line="2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inclusive of gross ROU assets classified as finance leases of $343.8 million and $294.2 million, respectively.</w:t>
      </w:r>
    </w:p>
    <w:p>
      <w:pPr>
        <w:spacing w:after="0" w:line="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inclusive of gross ROU assets classified as finance leases of $20.8 million and $17.4 million, respectively.</w:t>
      </w:r>
    </w:p>
    <w:p>
      <w:pPr>
        <w:spacing w:after="0" w:line="12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Depreciation expense, inclusive of landfill and finance lease amortization, was $106.0 million and $314.5 million for the three and nine months ended September 30, 2026, respectively. Depreciation expense, inclusive of landfill and finance lease amortization, was $101.3 million and $302.5 million for the three and nine months ended September 30, 2025,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OTHER INTANGIBLE ASSETS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goodwill by segment for the nine months ended September 30, 2026 were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Environmental</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Safety-Kleen</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7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Sustainability</w:t>
            </w:r>
          </w:p>
        </w:tc>
        <w:tc>
          <w:tcPr>
            <w:tcW w:w="260" w:type="dxa"/>
            <w:vAlign w:val="bottom"/>
          </w:tcPr>
          <w:p>
            <w:pPr>
              <w:spacing w:after="0"/>
              <w:rPr>
                <w:sz w:val="14"/>
                <w:szCs w:val="14"/>
                <w:color w:val="auto"/>
              </w:rPr>
            </w:pPr>
          </w:p>
        </w:tc>
        <w:tc>
          <w:tcPr>
            <w:tcW w:w="980" w:type="dxa"/>
            <w:vAlign w:val="bottom"/>
            <w:vMerge w:val="restart"/>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Totals</w:t>
            </w:r>
          </w:p>
        </w:tc>
        <w:tc>
          <w:tcPr>
            <w:tcW w:w="0" w:type="dxa"/>
            <w:vAlign w:val="bottom"/>
          </w:tcPr>
          <w:p>
            <w:pPr>
              <w:spacing w:after="0"/>
              <w:rPr>
                <w:sz w:val="1"/>
                <w:szCs w:val="1"/>
                <w:color w:val="auto"/>
              </w:rPr>
            </w:pPr>
          </w:p>
        </w:tc>
      </w:tr>
      <w:tr>
        <w:trPr>
          <w:trHeight w:val="214"/>
        </w:trPr>
        <w:tc>
          <w:tcPr>
            <w:tcW w:w="7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2026</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1,297,478</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181,572</w:t>
            </w:r>
          </w:p>
        </w:tc>
        <w:tc>
          <w:tcPr>
            <w:tcW w:w="1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1,479,050</w:t>
            </w:r>
          </w:p>
        </w:tc>
        <w:tc>
          <w:tcPr>
            <w:tcW w:w="0" w:type="dxa"/>
            <w:vAlign w:val="bottom"/>
          </w:tcPr>
          <w:p>
            <w:pPr>
              <w:spacing w:after="0"/>
              <w:rPr>
                <w:sz w:val="1"/>
                <w:szCs w:val="1"/>
                <w:color w:val="auto"/>
              </w:rPr>
            </w:pPr>
          </w:p>
        </w:tc>
      </w:tr>
      <w:tr>
        <w:trPr>
          <w:trHeight w:val="24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from current period acquisitions</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365,976</w:t>
            </w:r>
          </w:p>
        </w:tc>
        <w:tc>
          <w:tcPr>
            <w:tcW w:w="0" w:type="dxa"/>
            <w:vAlign w:val="bottom"/>
          </w:tcPr>
          <w:p>
            <w:pPr>
              <w:spacing w:after="0"/>
              <w:rPr>
                <w:sz w:val="1"/>
                <w:szCs w:val="1"/>
                <w:color w:val="auto"/>
              </w:rPr>
            </w:pPr>
          </w:p>
        </w:tc>
      </w:tr>
      <w:tr>
        <w:trPr>
          <w:trHeight w:val="24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0" w:type="dxa"/>
            <w:vAlign w:val="bottom"/>
          </w:tcPr>
          <w:p>
            <w:pPr>
              <w:spacing w:after="0"/>
              <w:rPr>
                <w:sz w:val="1"/>
                <w:szCs w:val="1"/>
                <w:color w:val="auto"/>
              </w:rPr>
            </w:pPr>
          </w:p>
        </w:tc>
      </w:tr>
      <w:tr>
        <w:trPr>
          <w:trHeight w:val="236"/>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1,647,904</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195,369</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1,843,273</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Company assesses goodwill for impairment on an annual basis as of December 31 or at an interim date when it is more likely than not that events or changes in the business environment (“triggering events”) would reduce the fair value of a reporting unit below its carrying value. During the period ended September 30, 2026, no such triggering events were identified.</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2026 and December 31, 2025, the Company’s intangible assets consisted of the following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3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restart"/>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Cost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40"/>
              <w:spacing w:after="0" w:line="17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60" w:type="dxa"/>
            <w:vAlign w:val="bottom"/>
          </w:tcPr>
          <w:p>
            <w:pPr>
              <w:spacing w:after="0"/>
              <w:rPr>
                <w:sz w:val="14"/>
                <w:szCs w:val="14"/>
                <w:color w:val="auto"/>
              </w:rPr>
            </w:pPr>
          </w:p>
        </w:tc>
        <w:tc>
          <w:tcPr>
            <w:tcW w:w="820" w:type="dxa"/>
            <w:vAlign w:val="bottom"/>
            <w:vMerge w:val="restart"/>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Net</w:t>
            </w:r>
          </w:p>
        </w:tc>
        <w:tc>
          <w:tcPr>
            <w:tcW w:w="1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restart"/>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Cost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60"/>
              <w:spacing w:after="0" w:line="172"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260" w:type="dxa"/>
            <w:vAlign w:val="bottom"/>
          </w:tcPr>
          <w:p>
            <w:pPr>
              <w:spacing w:after="0"/>
              <w:rPr>
                <w:sz w:val="14"/>
                <w:szCs w:val="14"/>
                <w:color w:val="auto"/>
              </w:rPr>
            </w:pPr>
          </w:p>
        </w:tc>
        <w:tc>
          <w:tcPr>
            <w:tcW w:w="820" w:type="dxa"/>
            <w:vAlign w:val="bottom"/>
            <w:vMerge w:val="restart"/>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39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197,686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137,239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60,447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196,224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132,308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63,916</w:t>
            </w:r>
          </w:p>
        </w:tc>
        <w:tc>
          <w:tcPr>
            <w:tcW w:w="0" w:type="dxa"/>
            <w:vAlign w:val="bottom"/>
          </w:tcPr>
          <w:p>
            <w:pPr>
              <w:spacing w:after="0"/>
              <w:rPr>
                <w:sz w:val="1"/>
                <w:szCs w:val="1"/>
                <w:color w:val="auto"/>
              </w:rPr>
            </w:pP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and supplier relationships</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933,316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628,185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698,381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405,568</w:t>
            </w:r>
          </w:p>
        </w:tc>
        <w:tc>
          <w:tcPr>
            <w:tcW w:w="0" w:type="dxa"/>
            <w:vAlign w:val="bottom"/>
          </w:tcPr>
          <w:p>
            <w:pPr>
              <w:spacing w:after="0"/>
              <w:rPr>
                <w:sz w:val="1"/>
                <w:szCs w:val="1"/>
                <w:color w:val="auto"/>
              </w:rPr>
            </w:pPr>
          </w:p>
        </w:tc>
      </w:tr>
      <w:tr>
        <w:trPr>
          <w:trHeight w:val="24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124,945</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66,441</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58,504</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121,030</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57,438</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63,592</w:t>
            </w:r>
          </w:p>
        </w:tc>
        <w:tc>
          <w:tcPr>
            <w:tcW w:w="0" w:type="dxa"/>
            <w:vAlign w:val="bottom"/>
          </w:tcPr>
          <w:p>
            <w:pPr>
              <w:spacing w:after="0"/>
              <w:rPr>
                <w:sz w:val="1"/>
                <w:szCs w:val="1"/>
                <w:color w:val="auto"/>
              </w:rPr>
            </w:pPr>
          </w:p>
        </w:tc>
      </w:tr>
      <w:tr>
        <w:trPr>
          <w:trHeight w:val="236"/>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amortizable permits and other intangible assets</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1,255,947</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508,811</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747,136</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1,015,635</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482,559</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533,076</w:t>
            </w:r>
          </w:p>
        </w:tc>
        <w:tc>
          <w:tcPr>
            <w:tcW w:w="0" w:type="dxa"/>
            <w:vAlign w:val="bottom"/>
          </w:tcPr>
          <w:p>
            <w:pPr>
              <w:spacing w:after="0"/>
              <w:rPr>
                <w:sz w:val="1"/>
                <w:szCs w:val="1"/>
                <w:color w:val="auto"/>
              </w:rPr>
            </w:pPr>
          </w:p>
        </w:tc>
      </w:tr>
      <w:tr>
        <w:trPr>
          <w:trHeight w:val="237"/>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119,619</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119,619</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119,951</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119,951</w:t>
            </w:r>
          </w:p>
        </w:tc>
        <w:tc>
          <w:tcPr>
            <w:tcW w:w="0" w:type="dxa"/>
            <w:vAlign w:val="bottom"/>
          </w:tcPr>
          <w:p>
            <w:pPr>
              <w:spacing w:after="0"/>
              <w:rPr>
                <w:sz w:val="1"/>
                <w:szCs w:val="1"/>
                <w:color w:val="auto"/>
              </w:rPr>
            </w:pPr>
          </w:p>
        </w:tc>
      </w:tr>
      <w:tr>
        <w:trPr>
          <w:trHeight w:val="236"/>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permits and other intangible assets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1,375,566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508,811</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866,755</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1,135,586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482,559</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653,027</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Amortization expense of permits, customer and supplier relationships, and other intangible assets was $16.7 million and $45.8 million in the three and nine months ended September 30, 2026, respectively. Amortization expense of permits, customer and supplier relationships, and other intangible assets was $13.4 million and $40.5 million in the three and nine months ended September 30, 2025,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expected amortization of the net carrying amount of finite-lived intangible assets at September 30, 2026 was as follows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Years Ending December 31,</w:t>
            </w: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Expected Amortization</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920" w:type="dxa"/>
            <w:vAlign w:val="bottom"/>
            <w:tcBorders>
              <w:top w:val="single" w:sz="8" w:color="auto"/>
              <w:bottom w:val="single" w:sz="8" w:color="CCEEFF"/>
            </w:tcBorders>
          </w:tcPr>
          <w:p>
            <w:pPr>
              <w:spacing w:after="0" w:line="20" w:lineRule="exact"/>
              <w:rPr>
                <w:sz w:val="1"/>
                <w:szCs w:val="1"/>
                <w:color w:val="auto"/>
              </w:rPr>
            </w:pPr>
          </w:p>
        </w:tc>
        <w:tc>
          <w:tcPr>
            <w:tcW w:w="58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(three months)</w:t>
            </w:r>
          </w:p>
        </w:tc>
        <w:tc>
          <w:tcPr>
            <w:tcW w:w="14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19,888</w:t>
            </w:r>
          </w:p>
        </w:tc>
        <w:tc>
          <w:tcPr>
            <w:tcW w:w="0" w:type="dxa"/>
            <w:vAlign w:val="bottom"/>
          </w:tcPr>
          <w:p>
            <w:pPr>
              <w:spacing w:after="0"/>
              <w:rPr>
                <w:sz w:val="1"/>
                <w:szCs w:val="1"/>
                <w:color w:val="auto"/>
              </w:rPr>
            </w:pPr>
          </w:p>
        </w:tc>
      </w:tr>
      <w:tr>
        <w:trPr>
          <w:trHeight w:val="243"/>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75,533</w:t>
            </w:r>
          </w:p>
        </w:tc>
        <w:tc>
          <w:tcPr>
            <w:tcW w:w="0" w:type="dxa"/>
            <w:vAlign w:val="bottom"/>
          </w:tcPr>
          <w:p>
            <w:pPr>
              <w:spacing w:after="0"/>
              <w:rPr>
                <w:sz w:val="1"/>
                <w:szCs w:val="1"/>
                <w:color w:val="auto"/>
              </w:rPr>
            </w:pPr>
          </w:p>
        </w:tc>
      </w:tr>
      <w:tr>
        <w:trPr>
          <w:trHeight w:val="243"/>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8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65,863</w:t>
            </w:r>
          </w:p>
        </w:tc>
        <w:tc>
          <w:tcPr>
            <w:tcW w:w="0" w:type="dxa"/>
            <w:vAlign w:val="bottom"/>
          </w:tcPr>
          <w:p>
            <w:pPr>
              <w:spacing w:after="0"/>
              <w:rPr>
                <w:sz w:val="1"/>
                <w:szCs w:val="1"/>
                <w:color w:val="auto"/>
              </w:rPr>
            </w:pPr>
          </w:p>
        </w:tc>
      </w:tr>
      <w:tr>
        <w:trPr>
          <w:trHeight w:val="243"/>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60,257</w:t>
            </w:r>
          </w:p>
        </w:tc>
        <w:tc>
          <w:tcPr>
            <w:tcW w:w="0" w:type="dxa"/>
            <w:vAlign w:val="bottom"/>
          </w:tcPr>
          <w:p>
            <w:pPr>
              <w:spacing w:after="0"/>
              <w:rPr>
                <w:sz w:val="1"/>
                <w:szCs w:val="1"/>
                <w:color w:val="auto"/>
              </w:rPr>
            </w:pPr>
          </w:p>
        </w:tc>
      </w:tr>
      <w:tr>
        <w:trPr>
          <w:trHeight w:val="243"/>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58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54,565</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7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CCEEFF"/>
            </w:tcBorders>
          </w:tcPr>
          <w:p>
            <w:pPr>
              <w:spacing w:after="0"/>
              <w:rPr>
                <w:sz w:val="21"/>
                <w:szCs w:val="21"/>
                <w:color w:val="auto"/>
              </w:rPr>
            </w:pPr>
          </w:p>
        </w:tc>
        <w:tc>
          <w:tcPr>
            <w:tcW w:w="15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471,030</w:t>
            </w:r>
          </w:p>
        </w:tc>
        <w:tc>
          <w:tcPr>
            <w:tcW w:w="0" w:type="dxa"/>
            <w:vAlign w:val="bottom"/>
          </w:tcPr>
          <w:p>
            <w:pPr>
              <w:spacing w:after="0"/>
              <w:rPr>
                <w:sz w:val="1"/>
                <w:szCs w:val="1"/>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spacing w:after="0"/>
              <w:rPr>
                <w:sz w:val="22"/>
                <w:szCs w:val="22"/>
                <w:color w:val="auto"/>
              </w:rPr>
            </w:pPr>
          </w:p>
        </w:tc>
        <w:tc>
          <w:tcPr>
            <w:tcW w:w="5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747,136</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ACCRUED EXPENSES AND OTHER CURRENT LIABILITIES</w:t>
            </w: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778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77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40" w:type="dxa"/>
            <w:vAlign w:val="bottom"/>
          </w:tcPr>
          <w:p>
            <w:pPr>
              <w:spacing w:after="0"/>
              <w:rPr>
                <w:sz w:val="24"/>
                <w:szCs w:val="24"/>
                <w:color w:val="auto"/>
              </w:rPr>
            </w:pPr>
          </w:p>
        </w:tc>
        <w:tc>
          <w:tcPr>
            <w:tcW w:w="150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39"/>
        </w:trPr>
        <w:tc>
          <w:tcPr>
            <w:tcW w:w="20" w:type="dxa"/>
            <w:vAlign w:val="bottom"/>
            <w:tcBorders>
              <w:top w:val="single" w:sz="8" w:color="CCEEFF"/>
            </w:tcBorders>
            <w:shd w:val="clear" w:color="auto" w:fill="CCEEFF"/>
          </w:tcPr>
          <w:p>
            <w:pPr>
              <w:spacing w:after="0"/>
              <w:rPr>
                <w:sz w:val="20"/>
                <w:szCs w:val="20"/>
                <w:color w:val="auto"/>
              </w:rPr>
            </w:pPr>
          </w:p>
        </w:tc>
        <w:tc>
          <w:tcPr>
            <w:tcW w:w="77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148,816</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144,689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insurance</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116,675</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income, real estate, sales and other taxes</w:t>
            </w:r>
          </w:p>
        </w:tc>
        <w:tc>
          <w:tcPr>
            <w:tcW w:w="14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93,416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30,893</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1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127,858</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107,449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525,728</w:t>
            </w:r>
          </w:p>
        </w:tc>
        <w:tc>
          <w:tcPr>
            <w:tcW w:w="120" w:type="dxa"/>
            <w:vAlign w:val="bottom"/>
          </w:tcPr>
          <w:p>
            <w:pPr>
              <w:spacing w:after="0"/>
              <w:rPr>
                <w:sz w:val="20"/>
                <w:szCs w:val="20"/>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441,788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increase in Accrued income, real estate, sales and other taxes is due to higher accrued federal taxes as a result of increased taxable income in the nine months ended September 30, 2026.</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CLOSURE AND POST-CLOSURE LIABILITIES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to closure and post-closure liabilities (also referred to as “asset retirement obligations”) from January 1, 2026 through 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Landfill</w:t>
            </w:r>
          </w:p>
        </w:tc>
        <w:tc>
          <w:tcPr>
            <w:tcW w:w="20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Non-Landfill</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40"/>
              <w:spacing w:after="0" w:line="162" w:lineRule="exact"/>
              <w:rPr>
                <w:sz w:val="20"/>
                <w:szCs w:val="20"/>
                <w:color w:val="auto"/>
              </w:rPr>
            </w:pPr>
            <w:r>
              <w:rPr>
                <w:rFonts w:ascii="Times New Roman" w:cs="Times New Roman" w:eastAsia="Times New Roman" w:hAnsi="Times New Roman"/>
                <w:sz w:val="16"/>
                <w:szCs w:val="16"/>
                <w:b w:val="1"/>
                <w:bCs w:val="1"/>
                <w:color w:val="auto"/>
              </w:rPr>
              <w:t>Retirement</w:t>
            </w:r>
          </w:p>
        </w:tc>
        <w:tc>
          <w:tcPr>
            <w:tcW w:w="200" w:type="dxa"/>
            <w:vAlign w:val="bottom"/>
          </w:tcPr>
          <w:p>
            <w:pPr>
              <w:spacing w:after="0"/>
              <w:rPr>
                <w:sz w:val="14"/>
                <w:szCs w:val="14"/>
                <w:color w:val="auto"/>
              </w:rPr>
            </w:pPr>
          </w:p>
        </w:tc>
        <w:tc>
          <w:tcPr>
            <w:tcW w:w="138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Retirement</w:t>
            </w:r>
          </w:p>
        </w:tc>
        <w:tc>
          <w:tcPr>
            <w:tcW w:w="340" w:type="dxa"/>
            <w:vAlign w:val="bottom"/>
          </w:tcPr>
          <w:p>
            <w:pPr>
              <w:spacing w:after="0"/>
              <w:rPr>
                <w:sz w:val="14"/>
                <w:szCs w:val="14"/>
                <w:color w:val="auto"/>
              </w:rPr>
            </w:pPr>
          </w:p>
        </w:tc>
        <w:tc>
          <w:tcPr>
            <w:tcW w:w="1140" w:type="dxa"/>
            <w:vAlign w:val="bottom"/>
            <w:vMerge w:val="restart"/>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6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3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2026</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59,763</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75,565</w:t>
            </w:r>
          </w:p>
        </w:tc>
        <w:tc>
          <w:tcPr>
            <w:tcW w:w="10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135,328</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assumed in acquisitions</w:t>
            </w:r>
          </w:p>
        </w:tc>
        <w:tc>
          <w:tcPr>
            <w:tcW w:w="22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0" w:type="dxa"/>
            <w:vAlign w:val="bottom"/>
          </w:tcPr>
          <w:p>
            <w:pPr>
              <w:spacing w:after="0"/>
              <w:rPr>
                <w:sz w:val="1"/>
                <w:szCs w:val="1"/>
                <w:color w:val="auto"/>
              </w:rPr>
            </w:pPr>
          </w:p>
        </w:tc>
      </w:tr>
      <w:tr>
        <w:trPr>
          <w:trHeight w:val="24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asset retirement obligations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7,955</w:t>
            </w:r>
          </w:p>
        </w:tc>
        <w:tc>
          <w:tcPr>
            <w:tcW w:w="0" w:type="dxa"/>
            <w:vAlign w:val="bottom"/>
          </w:tcPr>
          <w:p>
            <w:pPr>
              <w:spacing w:after="0"/>
              <w:rPr>
                <w:sz w:val="1"/>
                <w:szCs w:val="1"/>
                <w:color w:val="auto"/>
              </w:rPr>
            </w:pPr>
          </w:p>
        </w:tc>
      </w:tr>
      <w:tr>
        <w:trPr>
          <w:trHeight w:val="24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estimates recorded to consolidated statement of operations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estimates recorded to consolidated balance sheet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0" w:type="dxa"/>
            <w:vAlign w:val="bottom"/>
          </w:tcPr>
          <w:p>
            <w:pPr>
              <w:spacing w:after="0"/>
              <w:rPr>
                <w:sz w:val="1"/>
                <w:szCs w:val="1"/>
                <w:color w:val="auto"/>
              </w:rPr>
            </w:pPr>
          </w:p>
        </w:tc>
      </w:tr>
      <w:tr>
        <w:trPr>
          <w:trHeight w:val="24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Expenditures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Currency translation and other</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62"/>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60,924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79,918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140,842</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In the nine months ended September 30, 2026, there were no significant benefits or charges resulting from changes in estimates for closure and post-closure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REMEDIAL LIABILITIES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to remedial liabilities from January 1, 2026 through September 30, 2026 were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Remedial</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Liabilities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Remedial</w:t>
            </w:r>
          </w:p>
        </w:tc>
        <w:tc>
          <w:tcPr>
            <w:tcW w:w="120" w:type="dxa"/>
            <w:vAlign w:val="bottom"/>
          </w:tcPr>
          <w:p>
            <w:pPr>
              <w:spacing w:after="0"/>
              <w:rPr>
                <w:sz w:val="14"/>
                <w:szCs w:val="14"/>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Remedial</w:t>
            </w:r>
          </w:p>
        </w:tc>
        <w:tc>
          <w:tcPr>
            <w:tcW w:w="140" w:type="dxa"/>
            <w:vAlign w:val="bottom"/>
          </w:tcPr>
          <w:p>
            <w:pPr>
              <w:spacing w:after="0"/>
              <w:rPr>
                <w:sz w:val="14"/>
                <w:szCs w:val="14"/>
                <w:color w:val="auto"/>
              </w:rPr>
            </w:pPr>
          </w:p>
        </w:tc>
        <w:tc>
          <w:tcPr>
            <w:tcW w:w="13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(Including</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Superfund) for</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Liabilities for</w:t>
            </w:r>
          </w:p>
        </w:tc>
        <w:tc>
          <w:tcPr>
            <w:tcW w:w="120" w:type="dxa"/>
            <w:vAlign w:val="bottom"/>
          </w:tcPr>
          <w:p>
            <w:pPr>
              <w:spacing w:after="0"/>
              <w:rPr>
                <w:sz w:val="14"/>
                <w:szCs w:val="14"/>
                <w:color w:val="auto"/>
              </w:rPr>
            </w:pPr>
          </w:p>
        </w:tc>
        <w:tc>
          <w:tcPr>
            <w:tcW w:w="12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Liabilities for</w:t>
            </w:r>
          </w:p>
        </w:tc>
        <w:tc>
          <w:tcPr>
            <w:tcW w:w="140" w:type="dxa"/>
            <w:vAlign w:val="bottom"/>
          </w:tcPr>
          <w:p>
            <w:pPr>
              <w:spacing w:after="0"/>
              <w:rPr>
                <w:sz w:val="14"/>
                <w:szCs w:val="14"/>
                <w:color w:val="auto"/>
              </w:rPr>
            </w:pPr>
          </w:p>
        </w:tc>
        <w:tc>
          <w:tcPr>
            <w:tcW w:w="13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Non-Landfill</w:t>
            </w:r>
          </w:p>
        </w:tc>
        <w:tc>
          <w:tcPr>
            <w:tcW w:w="240" w:type="dxa"/>
            <w:vAlign w:val="bottom"/>
          </w:tcPr>
          <w:p>
            <w:pPr>
              <w:spacing w:after="0"/>
              <w:rPr>
                <w:sz w:val="14"/>
                <w:szCs w:val="14"/>
                <w:color w:val="auto"/>
              </w:rPr>
            </w:pPr>
          </w:p>
        </w:tc>
        <w:tc>
          <w:tcPr>
            <w:tcW w:w="900" w:type="dxa"/>
            <w:vAlign w:val="bottom"/>
            <w:vMerge w:val="restart"/>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Landfill Sites</w:t>
            </w: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Inactive Sites</w:t>
            </w: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Operations</w:t>
            </w: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2026</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54,523</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38,918</w:t>
            </w:r>
          </w:p>
        </w:tc>
        <w:tc>
          <w:tcPr>
            <w:tcW w:w="1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95,369</w:t>
            </w:r>
          </w:p>
        </w:tc>
        <w:tc>
          <w:tcPr>
            <w:tcW w:w="0" w:type="dxa"/>
            <w:vAlign w:val="bottom"/>
          </w:tcPr>
          <w:p>
            <w:pPr>
              <w:spacing w:after="0"/>
              <w:rPr>
                <w:sz w:val="1"/>
                <w:szCs w:val="1"/>
                <w:color w:val="auto"/>
              </w:rPr>
            </w:pPr>
          </w:p>
        </w:tc>
      </w:tr>
      <w:tr>
        <w:trPr>
          <w:trHeight w:val="24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0" w:type="dxa"/>
            <w:vAlign w:val="bottom"/>
          </w:tcPr>
          <w:p>
            <w:pPr>
              <w:spacing w:after="0"/>
              <w:rPr>
                <w:sz w:val="1"/>
                <w:szCs w:val="1"/>
                <w:color w:val="auto"/>
              </w:rPr>
            </w:pPr>
          </w:p>
        </w:tc>
      </w:tr>
      <w:tr>
        <w:trPr>
          <w:trHeight w:val="24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estimates recorded to consolidated statement of operations</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0" w:type="dxa"/>
            <w:vAlign w:val="bottom"/>
          </w:tcPr>
          <w:p>
            <w:pPr>
              <w:spacing w:after="0"/>
              <w:rPr>
                <w:sz w:val="1"/>
                <w:szCs w:val="1"/>
                <w:color w:val="auto"/>
              </w:rPr>
            </w:pPr>
          </w:p>
        </w:tc>
      </w:tr>
      <w:tr>
        <w:trPr>
          <w:trHeight w:val="24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Expenditures</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(7,416)</w:t>
            </w:r>
          </w:p>
        </w:tc>
        <w:tc>
          <w:tcPr>
            <w:tcW w:w="0" w:type="dxa"/>
            <w:vAlign w:val="bottom"/>
          </w:tcPr>
          <w:p>
            <w:pPr>
              <w:spacing w:after="0"/>
              <w:rPr>
                <w:sz w:val="1"/>
                <w:szCs w:val="1"/>
                <w:color w:val="auto"/>
              </w:rPr>
            </w:pPr>
          </w:p>
        </w:tc>
      </w:tr>
      <w:tr>
        <w:trPr>
          <w:trHeight w:val="24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and other</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237"/>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53,058</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36,805</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91,844</w:t>
            </w:r>
          </w:p>
        </w:tc>
        <w:tc>
          <w:tcPr>
            <w:tcW w:w="0" w:type="dxa"/>
            <w:vAlign w:val="bottom"/>
          </w:tcPr>
          <w:p>
            <w:pPr>
              <w:spacing w:after="0"/>
              <w:rPr>
                <w:sz w:val="1"/>
                <w:szCs w:val="1"/>
                <w:color w:val="auto"/>
              </w:rPr>
            </w:pPr>
          </w:p>
        </w:tc>
      </w:tr>
      <w:tr>
        <w:trPr>
          <w:trHeight w:val="21"/>
        </w:trPr>
        <w:tc>
          <w:tcPr>
            <w:tcW w:w="5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right="8260" w:firstLine="8"/>
        <w:spacing w:after="0" w:line="417" w:lineRule="auto"/>
        <w:tabs>
          <w:tab w:leader="none" w:pos="33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FINANCING ARRANGEMENTS Long-term Debt</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is a summary of the Company’s long-term debt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40" w:type="dxa"/>
            <w:vAlign w:val="bottom"/>
          </w:tcPr>
          <w:p>
            <w:pPr>
              <w:spacing w:after="0"/>
              <w:rPr>
                <w:sz w:val="18"/>
                <w:szCs w:val="18"/>
                <w:color w:val="auto"/>
              </w:rPr>
            </w:pPr>
          </w:p>
        </w:tc>
        <w:tc>
          <w:tcPr>
            <w:tcW w:w="150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06"/>
        </w:trPr>
        <w:tc>
          <w:tcPr>
            <w:tcW w:w="20" w:type="dxa"/>
            <w:vAlign w:val="bottom"/>
            <w:tcBorders>
              <w:top w:val="single" w:sz="8" w:color="CCEEFF"/>
            </w:tcBorders>
            <w:shd w:val="clear" w:color="auto" w:fill="CCEEFF"/>
          </w:tcPr>
          <w:p>
            <w:pPr>
              <w:spacing w:after="0"/>
              <w:rPr>
                <w:sz w:val="17"/>
                <w:szCs w:val="17"/>
                <w:color w:val="auto"/>
              </w:rPr>
            </w:pPr>
          </w:p>
        </w:tc>
        <w:tc>
          <w:tcPr>
            <w:tcW w:w="7760" w:type="dxa"/>
            <w:vAlign w:val="bottom"/>
            <w:tcBorders>
              <w:top w:val="single" w:sz="8" w:color="CCEEFF"/>
            </w:tcBorders>
            <w:gridSpan w:val="3"/>
            <w:shd w:val="clear" w:color="auto" w:fill="CCEEFF"/>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Current Portion of Long-Term Debt:</w:t>
            </w:r>
          </w:p>
        </w:tc>
        <w:tc>
          <w:tcPr>
            <w:tcW w:w="14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28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Secured senior term loans</w:t>
            </w:r>
          </w:p>
        </w:tc>
        <w:tc>
          <w:tcPr>
            <w:tcW w:w="4920" w:type="dxa"/>
            <w:vAlign w:val="bottom"/>
            <w:tcBorders>
              <w:top w:val="single" w:sz="8" w:color="CCEEFF"/>
            </w:tcBorders>
          </w:tcPr>
          <w:p>
            <w:pPr>
              <w:spacing w:after="0"/>
              <w:rPr>
                <w:sz w:val="21"/>
                <w:szCs w:val="21"/>
                <w:color w:val="auto"/>
              </w:rPr>
            </w:pPr>
          </w:p>
        </w:tc>
        <w:tc>
          <w:tcPr>
            <w:tcW w:w="14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12,600</w:t>
            </w: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4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776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Long-Term Debt:</w:t>
            </w: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Secured senior term loans due October 9, 2032 (“2032 Term Loans”)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1,237,950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1,247,400</w:t>
            </w:r>
          </w:p>
        </w:tc>
      </w:tr>
      <w:tr>
        <w:trPr>
          <w:trHeight w:val="243"/>
        </w:trPr>
        <w:tc>
          <w:tcPr>
            <w:tcW w:w="20" w:type="dxa"/>
            <w:vAlign w:val="bottom"/>
          </w:tcPr>
          <w:p>
            <w:pPr>
              <w:spacing w:after="0"/>
              <w:rPr>
                <w:sz w:val="21"/>
                <w:szCs w:val="21"/>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Unsecured senior notes, at 5.125%, due July 15, 2029 (“2029 Notes”)</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43"/>
        </w:trPr>
        <w:tc>
          <w:tcPr>
            <w:tcW w:w="20" w:type="dxa"/>
            <w:vAlign w:val="bottom"/>
            <w:shd w:val="clear" w:color="auto" w:fill="CCEEFF"/>
          </w:tcPr>
          <w:p>
            <w:pPr>
              <w:spacing w:after="0"/>
              <w:rPr>
                <w:sz w:val="21"/>
                <w:szCs w:val="21"/>
                <w:color w:val="auto"/>
              </w:rPr>
            </w:pPr>
          </w:p>
        </w:tc>
        <w:tc>
          <w:tcPr>
            <w:tcW w:w="7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Unsecured senior notes, at 6.375%, due February 1, 2031 (“2031 Notes”)</w:t>
            </w:r>
          </w:p>
        </w:tc>
        <w:tc>
          <w:tcPr>
            <w:tcW w:w="14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43"/>
        </w:trPr>
        <w:tc>
          <w:tcPr>
            <w:tcW w:w="20" w:type="dxa"/>
            <w:vAlign w:val="bottom"/>
          </w:tcPr>
          <w:p>
            <w:pPr>
              <w:spacing w:after="0"/>
              <w:rPr>
                <w:sz w:val="21"/>
                <w:szCs w:val="21"/>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Unsecured senior notes, at 5.750%, due October 15, 2033 (“2033 Notes”)</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745,000</w:t>
            </w:r>
          </w:p>
        </w:tc>
      </w:tr>
      <w:tr>
        <w:trPr>
          <w:trHeight w:val="243"/>
        </w:trPr>
        <w:tc>
          <w:tcPr>
            <w:tcW w:w="20" w:type="dxa"/>
            <w:vAlign w:val="bottom"/>
            <w:shd w:val="clear" w:color="auto" w:fill="CCEEFF"/>
          </w:tcPr>
          <w:p>
            <w:pPr>
              <w:spacing w:after="0"/>
              <w:rPr>
                <w:sz w:val="21"/>
                <w:szCs w:val="21"/>
                <w:color w:val="auto"/>
              </w:rPr>
            </w:pPr>
          </w:p>
        </w:tc>
        <w:tc>
          <w:tcPr>
            <w:tcW w:w="7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20" w:type="dxa"/>
            <w:vAlign w:val="bottom"/>
          </w:tcPr>
          <w:p>
            <w:pPr>
              <w:spacing w:after="0"/>
              <w:rPr>
                <w:sz w:val="20"/>
                <w:szCs w:val="20"/>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 at par</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2,902,950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2,792,400</w:t>
            </w:r>
          </w:p>
        </w:tc>
      </w:tr>
      <w:tr>
        <w:trPr>
          <w:trHeight w:val="243"/>
        </w:trPr>
        <w:tc>
          <w:tcPr>
            <w:tcW w:w="20" w:type="dxa"/>
            <w:vAlign w:val="bottom"/>
            <w:shd w:val="clear" w:color="auto" w:fill="CCEEFF"/>
          </w:tcPr>
          <w:p>
            <w:pPr>
              <w:spacing w:after="0"/>
              <w:rPr>
                <w:sz w:val="21"/>
                <w:szCs w:val="21"/>
                <w:color w:val="auto"/>
              </w:rPr>
            </w:pPr>
          </w:p>
        </w:tc>
        <w:tc>
          <w:tcPr>
            <w:tcW w:w="7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debt issuance costs and discount, net</w:t>
            </w:r>
          </w:p>
        </w:tc>
        <w:tc>
          <w:tcPr>
            <w:tcW w:w="1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(25,652)</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(28,837)</w:t>
            </w:r>
          </w:p>
        </w:tc>
      </w:tr>
      <w:tr>
        <w:trPr>
          <w:trHeight w:val="237"/>
        </w:trPr>
        <w:tc>
          <w:tcPr>
            <w:tcW w:w="20" w:type="dxa"/>
            <w:vAlign w:val="bottom"/>
          </w:tcPr>
          <w:p>
            <w:pPr>
              <w:spacing w:after="0"/>
              <w:rPr>
                <w:sz w:val="20"/>
                <w:szCs w:val="20"/>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 at carrying value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2,877,298</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2,763,563</w:t>
            </w: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62"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Company’s significant financing arrangements are described in Note 11, “Financing Arrangements,” in the Company’s Annual Report on Form 10-K for the year ended December 31, 2025. There have been no material changes to the arrangements described therein as of September 30, 2026. See section “Issuance of 6.250% Unsecured Senior Notes due 2034” below for changes occurring after the balance sheet date.</w:t>
      </w:r>
    </w:p>
    <w:p>
      <w:pPr>
        <w:spacing w:after="0" w:line="9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of September 30, 2026 and December 31, 2025, the estimated fair value of the Company's outstanding long-term debt, including the current portion, was $2.9 billion and $2.8 billion as of September 30, 2026 and December 31, 2025, respectively. The Company's estimates of fair value of its long-term debt, including the current portion, are based on quoted market prices or other available market data that are considered Level 2 measures according to the fair value hierarchy. Level 2 utilizes quoted market prices in markets that are not active broker or dealer quotations, or alternative pricing sources with reasonable levels of price transparency for similar assets and liabilities.</w:t>
      </w:r>
    </w:p>
    <w:p>
      <w:pPr>
        <w:spacing w:after="0" w:line="11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maintains a $600.0 million revolving credit facility. On September 16, 2026, the Company borrowed $120.0 million under its revolving credit facility to partially fund the acquisition of ES&amp;H, with the remainder of the purchase price funded from cash on hand. As of September 30, 2026 and after accounting for the $120.0 million borrowing which remained outstanding, the Company had $335.5 million available to borrow under the revolving credit facility, and outstanding letters of credit were $144.5 million. The Company repaid the outstanding borrowing on October 16, 2026. At December 31, 2025, the revolving credit facility had no outstanding loan balance.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6.250% Unsecured Senior Notes due 2034</w:t>
      </w:r>
    </w:p>
    <w:p>
      <w:pPr>
        <w:spacing w:after="0" w:line="162"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On October 1, 2026, the Company issued $600.0 million aggregate principal amount of unsecured senior notes due 2034 (the “2034 Notes”). The 2034 Notes will mature on September 30, 2034. Interest payments on the 2034 Notes will be paid semiannually in arrears, on March 31 and September 30 of each year, commencing on March 31, 2027, at a rate of 6.250% per annum.</w:t>
      </w:r>
    </w:p>
    <w:p>
      <w:pPr>
        <w:spacing w:after="0" w:line="95"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2034 Notes were issued under an Indenture, dated October 1, 2026 (the “Indenture”) with terms substantially consistent with the Company’s other unsecured senior notes. The Indenture contains various customary non-financial covenants, and the 2034 Notes are guaranteed by substantially all of the Company’s current and future domestic subsidiaries. If a change of control triggering event (as defined in the Indenture) occurs, the Company may be required to offer the holders of the 2034 Notes an opportunity to sell all or part of their 2034 Notes at a purchase price of 101% of the principal amount of the 2034 Notes, plus accrued and unpaid interest, if any, to, but excluding, the date of repurchase. In addition, if the Company sells assets under certain circumstances, the Company may be required to make an offer to purchase a portion of the 2034 Notes.</w:t>
      </w:r>
    </w:p>
    <w:p>
      <w:pPr>
        <w:spacing w:after="0" w:line="12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At any time prior to September 30, 2029, the Company may on one or more occasions redeem the 2034 Notes, in whole or in part, at a price equal to 100% of the principal amount of the 2034 Notes redeemed, plus a “make-whole” premium, as set forth in the Indenture, plus accrued and unpaid interest, if any, to, but excluding, the redemption date. On or after September 30, 2029, the Company may on one or more occasions redeem the 2034 Notes, in whole or in part, at the applicable redemption prices set forth in the Indenture, plus accrued and unpaid interest, if any, to, but excluding, the redemption date. In addition, at any time prior to September 30, 2029, the Company may on one or more occasions redeem up to 40% of the aggregate principal amount of the 2034 Notes with an amount equal to or less than the net cash proceeds received by the Company from certain equity offerings at a redemption price equal to 106.250% of the principal amount thereof, plus accrued and unpaid interest, if any, to, but excluding, the redemption date.</w:t>
      </w:r>
    </w:p>
    <w:p>
      <w:pPr>
        <w:spacing w:after="0" w:line="12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Indenture provides for customary events of default, which include (subject in certain cases to customary grace and cure periods) nonpayment of principal or interest; breach of other agreements in the Indenture; defaults in failure to pay certain other indebtedness; certain events of bankruptcy or insolvency; the failure to pay final judgments in excess of certain amounts of money against the Company and its significant subsidiaries; and the failure of certain guarantees to be enforceable (other than in accordance with the terms of the Indenture).</w:t>
      </w:r>
    </w:p>
    <w:p>
      <w:pPr>
        <w:spacing w:after="0" w:line="99"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Company utilized approximately $470 million of the net proceeds from the offering of the 2034 Notes to finance the purchase price of the Company’s acquisition of EnviroServe and the remainder of the net proceeds were used to repay the $120.0 million borrowing from the revolving credit facility noted above.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strategy to hedge against fluctuations in variable interest rates involves entering into interest rate derivative agreements.</w:t>
      </w:r>
    </w:p>
    <w:p>
      <w:pPr>
        <w:spacing w:after="0" w:line="15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2022, the Company entered into interest rate swap agreements with a notional amount of $600.0 million (the “2022 Swaps”) to effectively fix the interest rate on $600.0 million principal of variable debt (initially term loans due in 2028 and now the 2032 Term Loans, both of which had SOFR based variable interest payments). Under the terms of the 2022 Swaps, the Company receives interest based upon the variable rates and pays a fixed amount of interest. The 2022 Swaps expire on September 30, 2027. As of September 30, 2026, the effective annual interest rate of the fixed portion of the Term Loan Agreement for the 2032 Term Loans as a result of the 2022 Swaps was 3.46%.</w:t>
      </w:r>
    </w:p>
    <w:p>
      <w:pPr>
        <w:spacing w:after="0" w:line="116"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Company designated the 2022 Swaps as a cash flow hedge at the inception of the agreements. As of September 30, 2026 and December 31, 2025, the Company has recorded a derivative asset with a fair value of $14.8 million and $13.6 million, respectively.</w:t>
      </w:r>
    </w:p>
    <w:p>
      <w:pPr>
        <w:spacing w:after="0" w:line="81"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No ineffectiveness has been identified on the 2022 Swaps, and therefore, the change in fair value is recorded in stockholders’ equity as a component of accumulated other comprehensive loss. Amounts are reclassified from accumulated other comprehensive loss into interest expense on the unaudited consolidated statement of operations in the same period or periods during which the hedged transactions affect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EARNINGS PER SHARE</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computation of basic earnings per share (“EPS”) is based on the weighted average number of the Company’s common shares outstanding. The computation of diluted EPS is based on the weighted average number of the Company’s common shares outstanding and potential dilutive common shares during the period as determined by using the treasury stock method.</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are computations of basic and diluted earnings per share (in thousands, except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2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40" w:type="dxa"/>
            <w:vAlign w:val="bottom"/>
          </w:tcPr>
          <w:p>
            <w:pPr>
              <w:spacing w:after="0"/>
              <w:rPr>
                <w:sz w:val="18"/>
                <w:szCs w:val="18"/>
                <w:color w:val="auto"/>
              </w:rPr>
            </w:pPr>
          </w:p>
        </w:tc>
        <w:tc>
          <w:tcPr>
            <w:tcW w:w="2900" w:type="dxa"/>
            <w:vAlign w:val="bottom"/>
            <w:gridSpan w:val="4"/>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3"/>
        </w:trPr>
        <w:tc>
          <w:tcPr>
            <w:tcW w:w="48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6"/>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earnings per share:</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43"/>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208,100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118,799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441,765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304,384</w:t>
            </w:r>
          </w:p>
        </w:tc>
      </w:tr>
      <w:tr>
        <w:trPr>
          <w:trHeight w:val="24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43"/>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shares outstanding, basic</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53,659</w:t>
            </w:r>
          </w:p>
        </w:tc>
      </w:tr>
      <w:tr>
        <w:trPr>
          <w:trHeight w:val="243"/>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Dilutive impact of equity awards</w:t>
            </w: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37"/>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shares outstanding, diluted</w:t>
            </w: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52,897</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53,713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52,969</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53,871</w:t>
            </w: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3"/>
        </w:trPr>
        <w:tc>
          <w:tcPr>
            <w:tcW w:w="4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16"/>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62"/>
        </w:trPr>
        <w:tc>
          <w:tcPr>
            <w:tcW w:w="48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In the table above, potentially dilutive shares include the dilutive effect of unvested restricted stock awards and employee stock purchase plan (“ESPP”) rights (collectively referred to as “equity awards”). Potentially dilutive shares whose effect would have been antidilutive are excluded from the computation of diluted earnings per share. The Company included all outstanding performance awards, restricted stock awards and ESPP rights in the calculation of diluted earnings per share except as shown in the table below (in thousands):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2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120" w:type="dxa"/>
            <w:vAlign w:val="bottom"/>
            <w:tcBorders>
              <w:bottom w:val="single" w:sz="8" w:color="auto"/>
            </w:tcBorders>
            <w:gridSpan w:val="3"/>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3"/>
        </w:trPr>
        <w:tc>
          <w:tcPr>
            <w:tcW w:w="49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40"/>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Antidilutive restricted stock awards</w:t>
            </w:r>
          </w:p>
        </w:tc>
        <w:tc>
          <w:tcPr>
            <w:tcW w:w="1800" w:type="dxa"/>
            <w:vAlign w:val="bottom"/>
            <w:gridSpan w:val="3"/>
            <w:shd w:val="clear" w:color="auto" w:fill="CCEEFF"/>
          </w:tcPr>
          <w:p>
            <w:pPr>
              <w:jc w:val="right"/>
              <w:ind w:right="131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198"/>
        </w:trPr>
        <w:tc>
          <w:tcPr>
            <w:tcW w:w="594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Performance stock awards for which performance criteria were not</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34"/>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attained at reporting date</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95</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ACCUMULATED OTHER COMPREHENSIVE LOSS</w:t>
      </w:r>
    </w:p>
    <w:p>
      <w:pPr>
        <w:spacing w:after="0" w:line="148" w:lineRule="exact"/>
        <w:rPr>
          <w:sz w:val="20"/>
          <w:szCs w:val="20"/>
          <w:color w:val="auto"/>
        </w:rPr>
      </w:pPr>
    </w:p>
    <w:p>
      <w:pPr>
        <w:jc w:val="both"/>
        <w:ind w:right="80" w:firstLine="648"/>
        <w:spacing w:after="0" w:line="282" w:lineRule="auto"/>
        <w:rPr>
          <w:sz w:val="20"/>
          <w:szCs w:val="20"/>
          <w:color w:val="auto"/>
        </w:rPr>
      </w:pPr>
      <w:r>
        <w:rPr>
          <w:rFonts w:ascii="Times New Roman" w:cs="Times New Roman" w:eastAsia="Times New Roman" w:hAnsi="Times New Roman"/>
          <w:sz w:val="18"/>
          <w:szCs w:val="18"/>
          <w:color w:val="auto"/>
        </w:rPr>
        <w:t>The changes in accumulated other comprehensive loss by component and related tax impacts for the nine months ended September 30, 2026 were as follows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Foreign</w:t>
            </w: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Unrealized Gain</w:t>
            </w: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Unrealized Gain</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120" w:type="dxa"/>
            <w:vAlign w:val="bottom"/>
          </w:tcPr>
          <w:p>
            <w:pPr>
              <w:spacing w:after="0"/>
              <w:rPr>
                <w:sz w:val="14"/>
                <w:szCs w:val="14"/>
                <w:color w:val="auto"/>
              </w:rPr>
            </w:pPr>
          </w:p>
        </w:tc>
        <w:tc>
          <w:tcPr>
            <w:tcW w:w="124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8"/>
              </w:rPr>
              <w:t>(Loss) on</w:t>
            </w:r>
          </w:p>
        </w:tc>
        <w:tc>
          <w:tcPr>
            <w:tcW w:w="134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on Fair Value of</w:t>
            </w:r>
          </w:p>
        </w:tc>
        <w:tc>
          <w:tcPr>
            <w:tcW w:w="13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Unrealized Loss</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120" w:type="dxa"/>
            <w:vAlign w:val="bottom"/>
          </w:tcPr>
          <w:p>
            <w:pPr>
              <w:spacing w:after="0"/>
              <w:rPr>
                <w:sz w:val="14"/>
                <w:szCs w:val="14"/>
                <w:color w:val="auto"/>
              </w:rPr>
            </w:pPr>
          </w:p>
        </w:tc>
        <w:tc>
          <w:tcPr>
            <w:tcW w:w="12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Available-For-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Interest Rate</w:t>
            </w:r>
          </w:p>
        </w:tc>
        <w:tc>
          <w:tcPr>
            <w:tcW w:w="136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Sale Securities</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Hedges</w:t>
            </w: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on Pension</w:t>
            </w: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2026</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(214,514)</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9,933</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(204,616)</w:t>
            </w:r>
          </w:p>
        </w:tc>
        <w:tc>
          <w:tcPr>
            <w:tcW w:w="0" w:type="dxa"/>
            <w:vAlign w:val="bottom"/>
          </w:tcPr>
          <w:p>
            <w:pPr>
              <w:spacing w:after="0"/>
              <w:rPr>
                <w:sz w:val="1"/>
                <w:szCs w:val="1"/>
                <w:color w:val="auto"/>
              </w:rPr>
            </w:pPr>
          </w:p>
        </w:tc>
      </w:tr>
      <w:tr>
        <w:trPr>
          <w:trHeight w:val="24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(11,440)</w:t>
            </w:r>
          </w:p>
        </w:tc>
        <w:tc>
          <w:tcPr>
            <w:tcW w:w="0" w:type="dxa"/>
            <w:vAlign w:val="bottom"/>
          </w:tcPr>
          <w:p>
            <w:pPr>
              <w:spacing w:after="0"/>
              <w:rPr>
                <w:sz w:val="1"/>
                <w:szCs w:val="1"/>
                <w:color w:val="auto"/>
              </w:rPr>
            </w:pPr>
          </w:p>
        </w:tc>
      </w:tr>
      <w:tr>
        <w:trPr>
          <w:trHeight w:val="189"/>
        </w:trPr>
        <w:tc>
          <w:tcPr>
            <w:tcW w:w="46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Amounts reclassified out of accumulated other comprehensive</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(7,730)</w:t>
            </w:r>
          </w:p>
        </w:tc>
        <w:tc>
          <w:tcPr>
            <w:tcW w:w="0" w:type="dxa"/>
            <w:vAlign w:val="bottom"/>
          </w:tcPr>
          <w:p>
            <w:pPr>
              <w:spacing w:after="0"/>
              <w:rPr>
                <w:sz w:val="1"/>
                <w:szCs w:val="1"/>
                <w:color w:val="auto"/>
              </w:rPr>
            </w:pPr>
          </w:p>
        </w:tc>
      </w:tr>
      <w:tr>
        <w:trPr>
          <w:trHeight w:val="24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benefit (provision)</w:t>
            </w:r>
          </w:p>
        </w:tc>
        <w:tc>
          <w:tcPr>
            <w:tcW w:w="140" w:type="dxa"/>
            <w:vAlign w:val="bottom"/>
          </w:tcPr>
          <w:p>
            <w:pPr>
              <w:spacing w:after="0"/>
              <w:rPr>
                <w:sz w:val="21"/>
                <w:szCs w:val="21"/>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36"/>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(19,698)</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(19,351)</w:t>
            </w:r>
          </w:p>
        </w:tc>
        <w:tc>
          <w:tcPr>
            <w:tcW w:w="0" w:type="dxa"/>
            <w:vAlign w:val="bottom"/>
          </w:tcPr>
          <w:p>
            <w:pPr>
              <w:spacing w:after="0"/>
              <w:rPr>
                <w:sz w:val="1"/>
                <w:szCs w:val="1"/>
                <w:color w:val="auto"/>
              </w:rPr>
            </w:pPr>
          </w:p>
        </w:tc>
      </w:tr>
      <w:tr>
        <w:trPr>
          <w:trHeight w:val="237"/>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(234,212)</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10,807</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(223,967)</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amount realized in the unaudited consolidated statement of operations during the three and nine months ended September 30, 2026, which was reclassified out of accumulated other comprehensive loss, was as follows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Component of Accumulated Other Comprehensive</w:t>
            </w:r>
          </w:p>
        </w:tc>
        <w:tc>
          <w:tcPr>
            <w:tcW w:w="140" w:type="dxa"/>
            <w:vAlign w:val="bottom"/>
          </w:tcPr>
          <w:p>
            <w:pPr>
              <w:spacing w:after="0"/>
              <w:rPr>
                <w:sz w:val="16"/>
                <w:szCs w:val="16"/>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6"/>
                <w:szCs w:val="16"/>
                <w:color w:val="auto"/>
              </w:rPr>
            </w:pPr>
          </w:p>
        </w:tc>
        <w:tc>
          <w:tcPr>
            <w:tcW w:w="17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3500" w:type="dxa"/>
            <w:vAlign w:val="bottom"/>
            <w:vMerge w:val="restart"/>
          </w:tcPr>
          <w:p>
            <w:pPr>
              <w:ind w:left="144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0" w:type="dxa"/>
            <w:vAlign w:val="bottom"/>
          </w:tcPr>
          <w:p>
            <w:pPr>
              <w:spacing w:after="0"/>
              <w:rPr>
                <w:sz w:val="1"/>
                <w:szCs w:val="1"/>
                <w:color w:val="auto"/>
              </w:rPr>
            </w:pPr>
          </w:p>
        </w:tc>
      </w:tr>
      <w:tr>
        <w:trPr>
          <w:trHeight w:val="214"/>
        </w:trPr>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Loss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00" w:type="dxa"/>
            <w:vAlign w:val="bottom"/>
            <w:tcBorders>
              <w:bottom w:val="single" w:sz="8" w:color="CCEEFF"/>
            </w:tcBorders>
          </w:tcPr>
          <w:p>
            <w:pPr>
              <w:spacing w:after="0"/>
              <w:rPr>
                <w:sz w:val="18"/>
                <w:szCs w:val="18"/>
                <w:color w:val="auto"/>
              </w:rPr>
            </w:pPr>
          </w:p>
        </w:tc>
        <w:tc>
          <w:tcPr>
            <w:tcW w:w="35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8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Unrealized Gain on Fair Value of Interest Rate</w:t>
            </w:r>
          </w:p>
        </w:tc>
        <w:tc>
          <w:tcPr>
            <w:tcW w:w="1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Hedges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80" w:type="dxa"/>
            <w:vAlign w:val="bottom"/>
            <w:gridSpan w:val="3"/>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7,730  Interest expense, net of interest income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STOCK-BASED COMPENSATION</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Total stock-based compensation cost recognized for the three and nine months ended September 30, 2026 was $11.7 million and $36.1 million, respectively. Total stock-based compensation cost recognized for the three and nine months ended September 30, 2025 was $8.9 million and $22.6 million, respectively. The total income tax benefit recognized in the unaudited consolidated statements of operations from stock-based compensation expense for the three and nine months ended September 30, 2026 was $1.8 million and $5.6 million, respectively. The total income tax benefit recognized in the unaudited consolidated statements of operations from stock-based compensation expense for the three and nine months ended September 30, 2025 was $1.5 million and $3.8 million, respectively.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information about restricted stock awards for the nine months ended September 30, 2026:</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Restricted Stock</w:t>
            </w:r>
          </w:p>
        </w:tc>
        <w:tc>
          <w:tcPr>
            <w:tcW w:w="1500" w:type="dxa"/>
            <w:vAlign w:val="bottom"/>
            <w:vMerge w:val="restart"/>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13"/>
              <w:spacing w:after="0" w:line="162" w:lineRule="exact"/>
              <w:rPr>
                <w:sz w:val="20"/>
                <w:szCs w:val="20"/>
                <w:color w:val="auto"/>
              </w:rPr>
            </w:pPr>
            <w:r>
              <w:rPr>
                <w:rFonts w:ascii="Times New Roman" w:cs="Times New Roman" w:eastAsia="Times New Roman" w:hAnsi="Times New Roman"/>
                <w:sz w:val="16"/>
                <w:szCs w:val="16"/>
                <w:b w:val="1"/>
                <w:bCs w:val="1"/>
                <w:color w:val="auto"/>
              </w:rPr>
              <w:t>Grant-Date</w:t>
            </w:r>
          </w:p>
        </w:tc>
        <w:tc>
          <w:tcPr>
            <w:tcW w:w="0" w:type="dxa"/>
            <w:vAlign w:val="bottom"/>
          </w:tcPr>
          <w:p>
            <w:pPr>
              <w:spacing w:after="0"/>
              <w:rPr>
                <w:sz w:val="1"/>
                <w:szCs w:val="1"/>
                <w:color w:val="auto"/>
              </w:rPr>
            </w:pPr>
          </w:p>
        </w:tc>
      </w:tr>
      <w:tr>
        <w:trPr>
          <w:trHeight w:val="214"/>
        </w:trPr>
        <w:tc>
          <w:tcPr>
            <w:tcW w:w="8140" w:type="dxa"/>
            <w:vAlign w:val="bottom"/>
            <w:tcBorders>
              <w:bottom w:val="single" w:sz="8" w:color="CCEEFF"/>
            </w:tcBorders>
            <w:vMerge w:val="continue"/>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38"/>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2026</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313,820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176.06</w:t>
            </w:r>
          </w:p>
        </w:tc>
        <w:tc>
          <w:tcPr>
            <w:tcW w:w="0" w:type="dxa"/>
            <w:vAlign w:val="bottom"/>
          </w:tcPr>
          <w:p>
            <w:pPr>
              <w:spacing w:after="0"/>
              <w:rPr>
                <w:sz w:val="1"/>
                <w:szCs w:val="1"/>
                <w:color w:val="auto"/>
              </w:rPr>
            </w:pPr>
          </w:p>
        </w:tc>
      </w:tr>
      <w:tr>
        <w:trPr>
          <w:trHeight w:val="24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273.83</w:t>
            </w:r>
          </w:p>
        </w:tc>
        <w:tc>
          <w:tcPr>
            <w:tcW w:w="0" w:type="dxa"/>
            <w:vAlign w:val="bottom"/>
          </w:tcPr>
          <w:p>
            <w:pPr>
              <w:spacing w:after="0"/>
              <w:rPr>
                <w:sz w:val="1"/>
                <w:szCs w:val="1"/>
                <w:color w:val="auto"/>
              </w:rPr>
            </w:pPr>
          </w:p>
        </w:tc>
      </w:tr>
      <w:tr>
        <w:trPr>
          <w:trHeight w:val="24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(123,840)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166.41</w:t>
            </w:r>
          </w:p>
        </w:tc>
        <w:tc>
          <w:tcPr>
            <w:tcW w:w="0" w:type="dxa"/>
            <w:vAlign w:val="bottom"/>
          </w:tcPr>
          <w:p>
            <w:pPr>
              <w:spacing w:after="0"/>
              <w:rPr>
                <w:sz w:val="1"/>
                <w:szCs w:val="1"/>
                <w:color w:val="auto"/>
              </w:rPr>
            </w:pPr>
          </w:p>
        </w:tc>
      </w:tr>
      <w:tr>
        <w:trPr>
          <w:trHeight w:val="243"/>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(13,932)</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189.14</w:t>
            </w:r>
          </w:p>
        </w:tc>
        <w:tc>
          <w:tcPr>
            <w:tcW w:w="0" w:type="dxa"/>
            <w:vAlign w:val="bottom"/>
          </w:tcPr>
          <w:p>
            <w:pPr>
              <w:spacing w:after="0"/>
              <w:rPr>
                <w:sz w:val="1"/>
                <w:szCs w:val="1"/>
                <w:color w:val="auto"/>
              </w:rPr>
            </w:pPr>
          </w:p>
        </w:tc>
      </w:tr>
      <w:tr>
        <w:trPr>
          <w:trHeight w:val="262"/>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262,652</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212.15</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2026, there was $40.4 million of total unrecognized compensation cost arising from restricted stock awards. This cost is expected to be recognized over a weighted average period of 2.4 years. The total fair value of restricted stock vested during the nine months ended September 30, 2026 and September 30, 2025 was $34.0 million and $29.1 million,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Awards</w:t>
      </w:r>
    </w:p>
    <w:p>
      <w:pPr>
        <w:spacing w:after="0" w:line="148"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Performance stock awards are subject to performance criteria established by the Compensation and Human Capital Committee of the Company’s Board of Directors prior to or at the date of grant. The performance stock awards are earned based on achieving certain Adjusted EBITDA and Adjusted EBITDA Margin targets set forth in the applicable award agreements. Performance stock granted in 2025 and 2026 can yield 0% to 200% achievement. The activity in the table below is shown at the target performance of 100% achievement for all awards. Performance stock awards include continued service conditions through the vesting date.</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information about performance stock awards for the nine months ended September 30, 2026:</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Performance Stock</w:t>
            </w:r>
          </w:p>
        </w:tc>
        <w:tc>
          <w:tcPr>
            <w:tcW w:w="1500" w:type="dxa"/>
            <w:vAlign w:val="bottom"/>
            <w:vMerge w:val="restart"/>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13"/>
              <w:spacing w:after="0" w:line="162" w:lineRule="exact"/>
              <w:rPr>
                <w:sz w:val="20"/>
                <w:szCs w:val="20"/>
                <w:color w:val="auto"/>
              </w:rPr>
            </w:pPr>
            <w:r>
              <w:rPr>
                <w:rFonts w:ascii="Times New Roman" w:cs="Times New Roman" w:eastAsia="Times New Roman" w:hAnsi="Times New Roman"/>
                <w:sz w:val="16"/>
                <w:szCs w:val="16"/>
                <w:b w:val="1"/>
                <w:bCs w:val="1"/>
                <w:color w:val="auto"/>
              </w:rPr>
              <w:t>Grant-Date</w:t>
            </w:r>
          </w:p>
        </w:tc>
        <w:tc>
          <w:tcPr>
            <w:tcW w:w="0" w:type="dxa"/>
            <w:vAlign w:val="bottom"/>
          </w:tcPr>
          <w:p>
            <w:pPr>
              <w:spacing w:after="0"/>
              <w:rPr>
                <w:sz w:val="1"/>
                <w:szCs w:val="1"/>
                <w:color w:val="auto"/>
              </w:rPr>
            </w:pPr>
          </w:p>
        </w:tc>
      </w:tr>
      <w:tr>
        <w:trPr>
          <w:trHeight w:val="214"/>
        </w:trPr>
        <w:tc>
          <w:tcPr>
            <w:tcW w:w="8140" w:type="dxa"/>
            <w:vAlign w:val="bottom"/>
            <w:tcBorders>
              <w:bottom w:val="single" w:sz="8" w:color="CCEEFF"/>
            </w:tcBorders>
            <w:vMerge w:val="continue"/>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38"/>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2026</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147,404</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182.63</w:t>
            </w:r>
          </w:p>
        </w:tc>
        <w:tc>
          <w:tcPr>
            <w:tcW w:w="0" w:type="dxa"/>
            <w:vAlign w:val="bottom"/>
          </w:tcPr>
          <w:p>
            <w:pPr>
              <w:spacing w:after="0"/>
              <w:rPr>
                <w:sz w:val="1"/>
                <w:szCs w:val="1"/>
                <w:color w:val="auto"/>
              </w:rPr>
            </w:pPr>
          </w:p>
        </w:tc>
      </w:tr>
      <w:tr>
        <w:trPr>
          <w:trHeight w:val="24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260.39</w:t>
            </w:r>
          </w:p>
        </w:tc>
        <w:tc>
          <w:tcPr>
            <w:tcW w:w="0" w:type="dxa"/>
            <w:vAlign w:val="bottom"/>
          </w:tcPr>
          <w:p>
            <w:pPr>
              <w:spacing w:after="0"/>
              <w:rPr>
                <w:sz w:val="1"/>
                <w:szCs w:val="1"/>
                <w:color w:val="auto"/>
              </w:rPr>
            </w:pPr>
          </w:p>
        </w:tc>
      </w:tr>
      <w:tr>
        <w:trPr>
          <w:trHeight w:val="24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106.60</w:t>
            </w:r>
          </w:p>
        </w:tc>
        <w:tc>
          <w:tcPr>
            <w:tcW w:w="0" w:type="dxa"/>
            <w:vAlign w:val="bottom"/>
          </w:tcPr>
          <w:p>
            <w:pPr>
              <w:spacing w:after="0"/>
              <w:rPr>
                <w:sz w:val="1"/>
                <w:szCs w:val="1"/>
                <w:color w:val="auto"/>
              </w:rPr>
            </w:pPr>
          </w:p>
        </w:tc>
      </w:tr>
      <w:tr>
        <w:trPr>
          <w:trHeight w:val="243"/>
        </w:trPr>
        <w:tc>
          <w:tcPr>
            <w:tcW w:w="8140" w:type="dxa"/>
            <w:vAlign w:val="bottom"/>
            <w:tcBorders>
              <w:bottom w:val="single" w:sz="8" w:color="CCEEFF"/>
            </w:tcBorders>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Forfeited </w:t>
            </w:r>
            <w:r>
              <w:rPr>
                <w:rFonts w:ascii="Times New Roman" w:cs="Times New Roman" w:eastAsia="Times New Roman" w:hAnsi="Times New Roman"/>
                <w:sz w:val="23"/>
                <w:szCs w:val="23"/>
                <w:color w:val="auto"/>
                <w:vertAlign w:val="superscript"/>
              </w:rPr>
              <w:t>(1)</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(45,079)</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189.70</w:t>
            </w:r>
          </w:p>
        </w:tc>
        <w:tc>
          <w:tcPr>
            <w:tcW w:w="0" w:type="dxa"/>
            <w:vAlign w:val="bottom"/>
          </w:tcPr>
          <w:p>
            <w:pPr>
              <w:spacing w:after="0"/>
              <w:rPr>
                <w:sz w:val="1"/>
                <w:szCs w:val="1"/>
                <w:color w:val="auto"/>
              </w:rPr>
            </w:pPr>
          </w:p>
        </w:tc>
      </w:tr>
      <w:tr>
        <w:trPr>
          <w:trHeight w:val="262"/>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158,970</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234.72</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w:t>
      </w:r>
    </w:p>
    <w:p>
      <w:pPr>
        <w:spacing w:after="0" w:line="14" w:lineRule="exact"/>
        <w:rPr>
          <w:sz w:val="20"/>
          <w:szCs w:val="20"/>
          <w:color w:val="auto"/>
        </w:rPr>
      </w:pPr>
    </w:p>
    <w:p>
      <w:pPr>
        <w:ind w:left="660" w:right="140" w:hanging="328"/>
        <w:spacing w:after="0" w:line="270" w:lineRule="auto"/>
        <w:tabs>
          <w:tab w:leader="none" w:pos="72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forfeiture on March 13, 2026 of 32,918 shares related to the 2024 performance share awards that were not achieved at the threshold level of achievement.</w:t>
      </w:r>
    </w:p>
    <w:p>
      <w:pPr>
        <w:spacing w:after="0" w:line="91"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2026, there was $25.5 million of total unrecognized compensation cost arising from performance stock awards achieved or deemed probable of vesting. This cost is expected to be recognized over a weighted average period of 2.1 years. The total fair value of performance awards vested during the nine months ended September 30, 2026 and September 30, 2025 was $8.0 million and $8.7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162"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The Company and its subsidiaries are subject to legal proceedings and claims arising in the ordinary course of business. Actions filed against the Company arise from commercial and employment-related claims including alleged class actions related to sales practices and wage and hour claims. The plaintiffs in these actions may be seeking damages or injunctive relief or both. These actions are in various jurisdictions and stages of proceedings, and some are covered in part by insurance. In addition, the Company’s waste management services operations are regulated by federal, state, provincial and local laws enacted to regulate discharge of materials into the environment and remediation of contaminated soil and groundwater or otherwise protect the environment. This ongoing regulation results in the Company frequently becoming a party to legal or administrative proceedings involving all levels of government authorities and other interested parties. The issues involved in such proceedings generally relate to alleged violations of existing permits and licenses or alleged responsibility under federal or state Superfund laws to remediate contamination at properties owned either by the Company or by other parties (“third-party sites”) to which either the Company or the prior owners of certain of the Company’s facilities shipped waste.</w:t>
      </w:r>
    </w:p>
    <w:p>
      <w:pPr>
        <w:spacing w:after="0" w:line="10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At September 30, 2026 and December 31, 2025, the Company had recorded reserves of $24.6 million and $16.2 million, respectively, for actual or probable liabilities related to the legal and administrative proceedings in which the Company was then involved, the principal of which are described below. As of September 30, 2026 and December 31, 2025, the $24.6 million and $16.2 million, respectively, of reserves consisted of (i) $10.4 million and $11.4 million, respectively, related to pending legal or administrative proceedings, including Superfund liabilities, which were included in remedial liabilities on the consolidated balance sheets, and (ii) $14.2 million and $4.8 million, respectively, primarily related to federal, state and provincial enforcement actions, which were included in accrued expenses on the consolidated balance sheets.</w:t>
      </w:r>
    </w:p>
    <w:p>
      <w:pPr>
        <w:spacing w:after="0" w:line="12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management’s opinion, it is not reasonably possible that the potential liability beyond what has been recorded, if any, that may result from these actions, either individually or collectively, will have a material effect on the Company’s financial position, results of operations or cash flows. The Company periodically adjusts the aggregate amount of these reserves when actual or probable liabilities are paid or otherwise discharged, new claims arise, or additional relevant information about existing or probable claims becomes available.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or Administrative Proceedings</w:t>
      </w:r>
    </w:p>
    <w:p>
      <w:pPr>
        <w:spacing w:after="0" w:line="148"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2026, the principal legal and administrative proceedings in which the Company was involved, or which had been terminated during 2026, relate to Safety-Kleen, Inc. (“Safety-Kleen”) product liability cases and Superfund proceedings.</w:t>
      </w:r>
    </w:p>
    <w:p>
      <w:pPr>
        <w:spacing w:after="0" w:line="92"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Safety-Kleen Product Liability Cases: </w:t>
      </w:r>
      <w:r>
        <w:rPr>
          <w:rFonts w:ascii="Times New Roman" w:cs="Times New Roman" w:eastAsia="Times New Roman" w:hAnsi="Times New Roman"/>
          <w:sz w:val="18"/>
          <w:szCs w:val="18"/>
          <w:color w:val="auto"/>
        </w:rPr>
        <w:t>Safety-Kleen, which is a legal entity acquired by the Company in 2012, has been named as a defendant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product liability cases that are currently pending in various courts and jurisdictions throughout the United States. As of September 30, 2026, there were approximately 90 proceedings (excluding cases that have been settled but not formally dismissed) wherein persons claim personal injury resulting from the use of Safety-Kleen’s parts cleaning equipment or cleaning products. These proceedings typically involve allegations that the solvent used in Safety-Kleen’s parts cleaning equipment contains contaminants and/or that Safety-Kleen’s recycling process does not effectively remove the contaminants that become entrained in the solvent during their use. In addition, certain claimants assert that Safety-Kleen failed to warn adequately the product user of potential risks, including a historic failure to warn that solvent contains trace amounts of toxic or hazardous substances such as benzene.</w:t>
      </w:r>
    </w:p>
    <w:p>
      <w:pPr>
        <w:spacing w:after="0" w:line="11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maintains insurance that it believes will provide coverage for these product liability claims (over amounts accrued for self-insured retentions and deductibles in certain limited cases), except for punitive damages to the extent not insurable under state law or excluded from insurance coverage. The Company historically has vigorously defended, and intends to continue to vigorously defend, itself and the safety of its products against all of these claims. Such matters are subject to many uncertainties, and outcomes are not predictable with assurance. Consequently, the Company is unable to ascertain the ultimate aggregate amount of monetary liability or financial impact with respect to these matters as of September 30, 2026. From January 1, 2026 to September 30, 2026, 22 product liability claims were settled or dismissed. Due to the nature of these claims and the related insurance, the Company did not incur any expense as insurance provided coverage in full for all such claims. Safety-Kleen may be named in similar, additional lawsuits in the future, including claims for which insurance coverage may not be available.</w:t>
      </w:r>
    </w:p>
    <w:p>
      <w:pPr>
        <w:spacing w:after="0" w:line="10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Superfund Proceedings: </w:t>
      </w:r>
      <w:r>
        <w:rPr>
          <w:rFonts w:ascii="Times New Roman" w:cs="Times New Roman" w:eastAsia="Times New Roman" w:hAnsi="Times New Roman"/>
          <w:sz w:val="18"/>
          <w:szCs w:val="18"/>
          <w:color w:val="auto"/>
        </w:rPr>
        <w:t>The Company has been notified that either the Company or the prior owners of certain facilities the Company has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acquired have been identified as potentially responsible parties (“PRPs”) or potential PRPs, of indemnification obligations in connection with 133 sites that are subject to or are proposed to become subject to proceedings under federal or state Superfund laws. Of the 133 Superfund-related sites, six involve facilities that are now owned or leased by the Company and 127 involve third-party sites that received waste potentially shipped by the Company or the prior owners of certain facilities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has since acquired. Of the 127 third-party sites, 30 are now settled, 12 are currently requiring Company expenditures for remediation and 85 are not currently requiring Company expenditures for remediation.</w:t>
      </w:r>
    </w:p>
    <w:p>
      <w:pPr>
        <w:spacing w:after="0" w:line="8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each site, the Company has estimated the extent, if any, to which it may be subject, either directly or as a result of any indemnification obligations, for cleanup and remediation costs, and related legal and consulting costs associated with PRP investigations, settlements and related legal and administrative proceedings. The amount of such actual and potential liability is inherently difficult to estimate because of, among other relevant factors, uncertainties as to the legal liability (if any) of the Company or the prior owners of certain of the Company’s facilities to contribute a portion of the cleanup costs, the assumptions that must be made in calculating the estimated cost and timing of remediation, the identification of other PRPs and their respective capability and obligation to contribute to remediation efforts and the existence and legal standing of indemnification agreements (if any) with prior owners, which may either benefit the Company or subject the Company to potential indemnification obligations. The Company believes its potential monetary liability could exceed $1.0 million at three of the 133 Superfund-related sites.</w:t>
      </w:r>
    </w:p>
    <w:p>
      <w:pPr>
        <w:spacing w:after="0" w:line="124"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Of the 127 third-party sites at which the Company has been notified it is a PRP or potential PRP or may have indemnification obligations, the Company has indemnification agreements at a total of 18 sites. These agreements indemnify the Company with respect to any liability at the 18 sites for waste disposed prior to the Company’s acquisition of the former subsidiaries of Waste Management, Inc. and McKesson Corporation, which had shipped waste to those sites. Accordingly, the indemnifying parties are paying all costs of defending those subsidiaries in those 18 cases, including legal fees and settlement costs. However, there can be no guarantee that the Company’s ultimate liabilities for those sites will not exceed the amount recorded or that indemnities applicable to any of these sites will be available to pay all or a portion of related costs. Except for these indemnification agreements described above, the Company does not have an indemnity agreement with respect to any of the 127 third-party sites.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State and Provincial Enforcement Actions</w:t>
      </w:r>
    </w:p>
    <w:p>
      <w:pPr>
        <w:spacing w:after="0" w:line="148"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From time to time, the Company pays fines or penalties in regulatory proceedings relating primarily to waste treatment, storage or disposal facilities. As of September 30, 2026, there were two proceedings for which the Company believed it was possible that the fines or penalties could equal or exceed $1.0 million. As of the date of these financial statements, the Company believes that the fines or other penalties in these or any of the other regulatory proceedings will, individually or in the aggregate, not have a material effect on its financial condition, results of operations or cash flows.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 REPORTING</w:t>
      </w:r>
    </w:p>
    <w:p>
      <w:pPr>
        <w:spacing w:after="0" w:line="162"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Segment reporting is prepared on the same basis that the Company’s chief operating decision maker (the “CODM”), which is a committee composed of the Company’s Co-Chief Executive Officers, manages the business, makes operating decisions and assesses performance. The Company is managed and reports as two operating segments: (i) the Environmental Services segment and (ii) the SKSS segment.</w:t>
      </w:r>
    </w:p>
    <w:p>
      <w:pPr>
        <w:spacing w:after="0" w:line="9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Third-party revenues are revenues billed to outside customers by a particular segment. Direct revenues are revenues allocated to the segment providing the product or service. Intersegment revenues represent the sharing of third-party revenues among the segments based on products and services provided by each segment as if the products and services were sold directly to the third-party. The intersegment revenues are shown net. The operations not managed through the Company’s operating segments described above are recorded as “Corporate.” Although such transactions are excluded from the business segment results, they are included in reported consolidated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reconcile third-party revenues to direct revenues by reportable segment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60" w:type="dxa"/>
            <w:vAlign w:val="bottom"/>
            <w:tcBorders>
              <w:bottom w:val="single" w:sz="8" w:color="auto"/>
            </w:tcBorders>
            <w:gridSpan w:val="8"/>
          </w:tcPr>
          <w:p>
            <w:pPr>
              <w:ind w:left="18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 2026</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Environmental</w:t>
            </w:r>
          </w:p>
        </w:tc>
        <w:tc>
          <w:tcPr>
            <w:tcW w:w="140" w:type="dxa"/>
            <w:vAlign w:val="bottom"/>
          </w:tcPr>
          <w:p>
            <w:pPr>
              <w:spacing w:after="0"/>
              <w:rPr>
                <w:sz w:val="14"/>
                <w:szCs w:val="14"/>
                <w:color w:val="auto"/>
              </w:rPr>
            </w:pPr>
          </w:p>
        </w:tc>
        <w:tc>
          <w:tcPr>
            <w:tcW w:w="1240" w:type="dxa"/>
            <w:vAlign w:val="bottom"/>
            <w:gridSpan w:val="2"/>
          </w:tcPr>
          <w:p>
            <w:pPr>
              <w:jc w:val="center"/>
              <w:ind w:right="220"/>
              <w:spacing w:after="0" w:line="172" w:lineRule="exact"/>
              <w:rPr>
                <w:sz w:val="20"/>
                <w:szCs w:val="20"/>
                <w:color w:val="auto"/>
              </w:rPr>
            </w:pPr>
            <w:r>
              <w:rPr>
                <w:rFonts w:ascii="Times New Roman" w:cs="Times New Roman" w:eastAsia="Times New Roman" w:hAnsi="Times New Roman"/>
                <w:sz w:val="16"/>
                <w:szCs w:val="16"/>
                <w:b w:val="1"/>
                <w:bCs w:val="1"/>
                <w:color w:val="auto"/>
              </w:rPr>
              <w:t>Safety-Kleen</w:t>
            </w:r>
          </w:p>
        </w:tc>
        <w:tc>
          <w:tcPr>
            <w:tcW w:w="220" w:type="dxa"/>
            <w:vAlign w:val="bottom"/>
          </w:tcPr>
          <w:p>
            <w:pPr>
              <w:spacing w:after="0"/>
              <w:rPr>
                <w:sz w:val="14"/>
                <w:szCs w:val="14"/>
                <w:color w:val="auto"/>
              </w:rPr>
            </w:pPr>
          </w:p>
        </w:tc>
        <w:tc>
          <w:tcPr>
            <w:tcW w:w="1180" w:type="dxa"/>
            <w:vAlign w:val="bottom"/>
            <w:gridSpan w:val="2"/>
          </w:tcPr>
          <w:p>
            <w:pPr>
              <w:jc w:val="center"/>
              <w:ind w:right="300"/>
              <w:spacing w:after="0" w:line="172"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75"/>
              <w:spacing w:after="0" w:line="172"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Sustainability</w:t>
            </w:r>
          </w:p>
        </w:tc>
        <w:tc>
          <w:tcPr>
            <w:tcW w:w="220" w:type="dxa"/>
            <w:vAlign w:val="bottom"/>
          </w:tcPr>
          <w:p>
            <w:pPr>
              <w:spacing w:after="0"/>
              <w:rPr>
                <w:sz w:val="14"/>
                <w:szCs w:val="14"/>
                <w:color w:val="auto"/>
              </w:rPr>
            </w:pPr>
          </w:p>
        </w:tc>
        <w:tc>
          <w:tcPr>
            <w:tcW w:w="118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Segment</w:t>
            </w:r>
          </w:p>
        </w:tc>
        <w:tc>
          <w:tcPr>
            <w:tcW w:w="200" w:type="dxa"/>
            <w:vAlign w:val="bottom"/>
          </w:tcPr>
          <w:p>
            <w:pPr>
              <w:spacing w:after="0"/>
              <w:rPr>
                <w:sz w:val="14"/>
                <w:szCs w:val="14"/>
                <w:color w:val="auto"/>
              </w:rPr>
            </w:pPr>
          </w:p>
        </w:tc>
        <w:tc>
          <w:tcPr>
            <w:tcW w:w="1100" w:type="dxa"/>
            <w:vAlign w:val="bottom"/>
            <w:vMerge w:val="restart"/>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4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9"/>
              </w:rPr>
              <w:t>Services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0" w:type="dxa"/>
            <w:vAlign w:val="bottom"/>
          </w:tcPr>
          <w:p>
            <w:pPr>
              <w:spacing w:after="0"/>
              <w:rPr>
                <w:sz w:val="1"/>
                <w:szCs w:val="1"/>
                <w:color w:val="auto"/>
              </w:rPr>
            </w:pPr>
          </w:p>
        </w:tc>
      </w:tr>
      <w:tr>
        <w:trPr>
          <w:trHeight w:val="238"/>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Third-party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1,538,438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331,011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1,869,449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1,869,449</w:t>
            </w:r>
          </w:p>
        </w:tc>
        <w:tc>
          <w:tcPr>
            <w:tcW w:w="0" w:type="dxa"/>
            <w:vAlign w:val="bottom"/>
          </w:tcPr>
          <w:p>
            <w:pPr>
              <w:spacing w:after="0"/>
              <w:rPr>
                <w:sz w:val="1"/>
                <w:szCs w:val="1"/>
                <w:color w:val="auto"/>
              </w:rPr>
            </w:pPr>
          </w:p>
        </w:tc>
      </w:tr>
      <w:tr>
        <w:trPr>
          <w:trHeight w:val="243"/>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Intersegment revenues (expense), net</w:t>
            </w: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12,683</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(12,683)</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1,551,121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318,328</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1,869,449</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1,869,449</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4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8"/>
          </w:tcPr>
          <w:p>
            <w:pPr>
              <w:ind w:left="18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 2025</w:t>
            </w: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Environmental</w:t>
            </w:r>
          </w:p>
        </w:tc>
        <w:tc>
          <w:tcPr>
            <w:tcW w:w="140" w:type="dxa"/>
            <w:vAlign w:val="bottom"/>
          </w:tcPr>
          <w:p>
            <w:pPr>
              <w:spacing w:after="0"/>
              <w:rPr>
                <w:sz w:val="14"/>
                <w:szCs w:val="14"/>
                <w:color w:val="auto"/>
              </w:rPr>
            </w:pPr>
          </w:p>
        </w:tc>
        <w:tc>
          <w:tcPr>
            <w:tcW w:w="1240" w:type="dxa"/>
            <w:vAlign w:val="bottom"/>
            <w:gridSpan w:val="2"/>
          </w:tcPr>
          <w:p>
            <w:pPr>
              <w:jc w:val="center"/>
              <w:ind w:right="220"/>
              <w:spacing w:after="0" w:line="172" w:lineRule="exact"/>
              <w:rPr>
                <w:sz w:val="20"/>
                <w:szCs w:val="20"/>
                <w:color w:val="auto"/>
              </w:rPr>
            </w:pPr>
            <w:r>
              <w:rPr>
                <w:rFonts w:ascii="Times New Roman" w:cs="Times New Roman" w:eastAsia="Times New Roman" w:hAnsi="Times New Roman"/>
                <w:sz w:val="16"/>
                <w:szCs w:val="16"/>
                <w:b w:val="1"/>
                <w:bCs w:val="1"/>
                <w:color w:val="auto"/>
              </w:rPr>
              <w:t>Safety-Kleen</w:t>
            </w:r>
          </w:p>
        </w:tc>
        <w:tc>
          <w:tcPr>
            <w:tcW w:w="220" w:type="dxa"/>
            <w:vAlign w:val="bottom"/>
          </w:tcPr>
          <w:p>
            <w:pPr>
              <w:spacing w:after="0"/>
              <w:rPr>
                <w:sz w:val="14"/>
                <w:szCs w:val="14"/>
                <w:color w:val="auto"/>
              </w:rPr>
            </w:pPr>
          </w:p>
        </w:tc>
        <w:tc>
          <w:tcPr>
            <w:tcW w:w="1180" w:type="dxa"/>
            <w:vAlign w:val="bottom"/>
            <w:gridSpan w:val="2"/>
          </w:tcPr>
          <w:p>
            <w:pPr>
              <w:jc w:val="center"/>
              <w:ind w:right="300"/>
              <w:spacing w:after="0" w:line="172"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75"/>
              <w:spacing w:after="0" w:line="172"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Sustainability</w:t>
            </w:r>
          </w:p>
        </w:tc>
        <w:tc>
          <w:tcPr>
            <w:tcW w:w="220" w:type="dxa"/>
            <w:vAlign w:val="bottom"/>
          </w:tcPr>
          <w:p>
            <w:pPr>
              <w:spacing w:after="0"/>
              <w:rPr>
                <w:sz w:val="14"/>
                <w:szCs w:val="14"/>
                <w:color w:val="auto"/>
              </w:rPr>
            </w:pPr>
          </w:p>
        </w:tc>
        <w:tc>
          <w:tcPr>
            <w:tcW w:w="118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Segment</w:t>
            </w:r>
          </w:p>
        </w:tc>
        <w:tc>
          <w:tcPr>
            <w:tcW w:w="200" w:type="dxa"/>
            <w:vAlign w:val="bottom"/>
          </w:tcPr>
          <w:p>
            <w:pPr>
              <w:spacing w:after="0"/>
              <w:rPr>
                <w:sz w:val="14"/>
                <w:szCs w:val="14"/>
                <w:color w:val="auto"/>
              </w:rPr>
            </w:pPr>
          </w:p>
        </w:tc>
        <w:tc>
          <w:tcPr>
            <w:tcW w:w="1100" w:type="dxa"/>
            <w:vAlign w:val="bottom"/>
            <w:vMerge w:val="restart"/>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4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9"/>
              </w:rPr>
              <w:t>Services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0" w:type="dxa"/>
            <w:vAlign w:val="bottom"/>
          </w:tcPr>
          <w:p>
            <w:pPr>
              <w:spacing w:after="0"/>
              <w:rPr>
                <w:sz w:val="1"/>
                <w:szCs w:val="1"/>
                <w:color w:val="auto"/>
              </w:rPr>
            </w:pPr>
          </w:p>
        </w:tc>
      </w:tr>
      <w:tr>
        <w:trPr>
          <w:trHeight w:val="238"/>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Third-party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1,318,580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230,757</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1,549,337</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1,549,337</w:t>
            </w:r>
          </w:p>
        </w:tc>
        <w:tc>
          <w:tcPr>
            <w:tcW w:w="0" w:type="dxa"/>
            <w:vAlign w:val="bottom"/>
          </w:tcPr>
          <w:p>
            <w:pPr>
              <w:spacing w:after="0"/>
              <w:rPr>
                <w:sz w:val="1"/>
                <w:szCs w:val="1"/>
                <w:color w:val="auto"/>
              </w:rPr>
            </w:pPr>
          </w:p>
        </w:tc>
      </w:tr>
      <w:tr>
        <w:trPr>
          <w:trHeight w:val="243"/>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Intersegment revenues (expense), net</w:t>
            </w: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12,720</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(12,720)</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1,331,300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218,037</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1,549,337</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1,549,337</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4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8"/>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 2026</w:t>
            </w: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Environmental</w:t>
            </w:r>
          </w:p>
        </w:tc>
        <w:tc>
          <w:tcPr>
            <w:tcW w:w="140" w:type="dxa"/>
            <w:vAlign w:val="bottom"/>
          </w:tcPr>
          <w:p>
            <w:pPr>
              <w:spacing w:after="0"/>
              <w:rPr>
                <w:sz w:val="14"/>
                <w:szCs w:val="14"/>
                <w:color w:val="auto"/>
              </w:rPr>
            </w:pPr>
          </w:p>
        </w:tc>
        <w:tc>
          <w:tcPr>
            <w:tcW w:w="1240" w:type="dxa"/>
            <w:vAlign w:val="bottom"/>
            <w:gridSpan w:val="2"/>
          </w:tcPr>
          <w:p>
            <w:pPr>
              <w:jc w:val="center"/>
              <w:ind w:right="220"/>
              <w:spacing w:after="0" w:line="172" w:lineRule="exact"/>
              <w:rPr>
                <w:sz w:val="20"/>
                <w:szCs w:val="20"/>
                <w:color w:val="auto"/>
              </w:rPr>
            </w:pPr>
            <w:r>
              <w:rPr>
                <w:rFonts w:ascii="Times New Roman" w:cs="Times New Roman" w:eastAsia="Times New Roman" w:hAnsi="Times New Roman"/>
                <w:sz w:val="16"/>
                <w:szCs w:val="16"/>
                <w:b w:val="1"/>
                <w:bCs w:val="1"/>
                <w:color w:val="auto"/>
              </w:rPr>
              <w:t>Safety-Kleen</w:t>
            </w:r>
          </w:p>
        </w:tc>
        <w:tc>
          <w:tcPr>
            <w:tcW w:w="220" w:type="dxa"/>
            <w:vAlign w:val="bottom"/>
          </w:tcPr>
          <w:p>
            <w:pPr>
              <w:spacing w:after="0"/>
              <w:rPr>
                <w:sz w:val="14"/>
                <w:szCs w:val="14"/>
                <w:color w:val="auto"/>
              </w:rPr>
            </w:pPr>
          </w:p>
        </w:tc>
        <w:tc>
          <w:tcPr>
            <w:tcW w:w="1180" w:type="dxa"/>
            <w:vAlign w:val="bottom"/>
            <w:gridSpan w:val="2"/>
          </w:tcPr>
          <w:p>
            <w:pPr>
              <w:jc w:val="center"/>
              <w:ind w:right="300"/>
              <w:spacing w:after="0" w:line="172"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75"/>
              <w:spacing w:after="0" w:line="172"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Sustainability</w:t>
            </w:r>
          </w:p>
        </w:tc>
        <w:tc>
          <w:tcPr>
            <w:tcW w:w="220" w:type="dxa"/>
            <w:vAlign w:val="bottom"/>
          </w:tcPr>
          <w:p>
            <w:pPr>
              <w:spacing w:after="0"/>
              <w:rPr>
                <w:sz w:val="14"/>
                <w:szCs w:val="14"/>
                <w:color w:val="auto"/>
              </w:rPr>
            </w:pPr>
          </w:p>
        </w:tc>
        <w:tc>
          <w:tcPr>
            <w:tcW w:w="118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Segment</w:t>
            </w:r>
          </w:p>
        </w:tc>
        <w:tc>
          <w:tcPr>
            <w:tcW w:w="200" w:type="dxa"/>
            <w:vAlign w:val="bottom"/>
          </w:tcPr>
          <w:p>
            <w:pPr>
              <w:spacing w:after="0"/>
              <w:rPr>
                <w:sz w:val="14"/>
                <w:szCs w:val="14"/>
                <w:color w:val="auto"/>
              </w:rPr>
            </w:pPr>
          </w:p>
        </w:tc>
        <w:tc>
          <w:tcPr>
            <w:tcW w:w="1100" w:type="dxa"/>
            <w:vAlign w:val="bottom"/>
            <w:vMerge w:val="restart"/>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4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9"/>
              </w:rPr>
              <w:t>Services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0" w:type="dxa"/>
            <w:vAlign w:val="bottom"/>
          </w:tcPr>
          <w:p>
            <w:pPr>
              <w:spacing w:after="0"/>
              <w:rPr>
                <w:sz w:val="1"/>
                <w:szCs w:val="1"/>
                <w:color w:val="auto"/>
              </w:rPr>
            </w:pPr>
          </w:p>
        </w:tc>
      </w:tr>
      <w:tr>
        <w:trPr>
          <w:trHeight w:val="238"/>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Third-party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4,225,418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838,573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5,063,991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5,063,991</w:t>
            </w:r>
          </w:p>
        </w:tc>
        <w:tc>
          <w:tcPr>
            <w:tcW w:w="0" w:type="dxa"/>
            <w:vAlign w:val="bottom"/>
          </w:tcPr>
          <w:p>
            <w:pPr>
              <w:spacing w:after="0"/>
              <w:rPr>
                <w:sz w:val="1"/>
                <w:szCs w:val="1"/>
                <w:color w:val="auto"/>
              </w:rPr>
            </w:pPr>
          </w:p>
        </w:tc>
      </w:tr>
      <w:tr>
        <w:trPr>
          <w:trHeight w:val="243"/>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Intersegment revenues (expense), net</w:t>
            </w: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34,792</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(34,792)</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4,260,210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803,781</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5,063,991</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5,063,991</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4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8"/>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 2025</w:t>
            </w: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Environmental</w:t>
            </w:r>
          </w:p>
        </w:tc>
        <w:tc>
          <w:tcPr>
            <w:tcW w:w="140" w:type="dxa"/>
            <w:vAlign w:val="bottom"/>
          </w:tcPr>
          <w:p>
            <w:pPr>
              <w:spacing w:after="0"/>
              <w:rPr>
                <w:sz w:val="14"/>
                <w:szCs w:val="14"/>
                <w:color w:val="auto"/>
              </w:rPr>
            </w:pPr>
          </w:p>
        </w:tc>
        <w:tc>
          <w:tcPr>
            <w:tcW w:w="1240" w:type="dxa"/>
            <w:vAlign w:val="bottom"/>
            <w:gridSpan w:val="2"/>
          </w:tcPr>
          <w:p>
            <w:pPr>
              <w:jc w:val="center"/>
              <w:ind w:right="220"/>
              <w:spacing w:after="0" w:line="172" w:lineRule="exact"/>
              <w:rPr>
                <w:sz w:val="20"/>
                <w:szCs w:val="20"/>
                <w:color w:val="auto"/>
              </w:rPr>
            </w:pPr>
            <w:r>
              <w:rPr>
                <w:rFonts w:ascii="Times New Roman" w:cs="Times New Roman" w:eastAsia="Times New Roman" w:hAnsi="Times New Roman"/>
                <w:sz w:val="16"/>
                <w:szCs w:val="16"/>
                <w:b w:val="1"/>
                <w:bCs w:val="1"/>
                <w:color w:val="auto"/>
              </w:rPr>
              <w:t>Safety-Kleen</w:t>
            </w:r>
          </w:p>
        </w:tc>
        <w:tc>
          <w:tcPr>
            <w:tcW w:w="220" w:type="dxa"/>
            <w:vAlign w:val="bottom"/>
          </w:tcPr>
          <w:p>
            <w:pPr>
              <w:spacing w:after="0"/>
              <w:rPr>
                <w:sz w:val="14"/>
                <w:szCs w:val="14"/>
                <w:color w:val="auto"/>
              </w:rPr>
            </w:pPr>
          </w:p>
        </w:tc>
        <w:tc>
          <w:tcPr>
            <w:tcW w:w="1180" w:type="dxa"/>
            <w:vAlign w:val="bottom"/>
            <w:gridSpan w:val="2"/>
          </w:tcPr>
          <w:p>
            <w:pPr>
              <w:jc w:val="center"/>
              <w:ind w:right="300"/>
              <w:spacing w:after="0" w:line="172"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75"/>
              <w:spacing w:after="0" w:line="172"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Sustainability</w:t>
            </w:r>
          </w:p>
        </w:tc>
        <w:tc>
          <w:tcPr>
            <w:tcW w:w="220" w:type="dxa"/>
            <w:vAlign w:val="bottom"/>
          </w:tcPr>
          <w:p>
            <w:pPr>
              <w:spacing w:after="0"/>
              <w:rPr>
                <w:sz w:val="14"/>
                <w:szCs w:val="14"/>
                <w:color w:val="auto"/>
              </w:rPr>
            </w:pPr>
          </w:p>
        </w:tc>
        <w:tc>
          <w:tcPr>
            <w:tcW w:w="118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Segment</w:t>
            </w:r>
          </w:p>
        </w:tc>
        <w:tc>
          <w:tcPr>
            <w:tcW w:w="200" w:type="dxa"/>
            <w:vAlign w:val="bottom"/>
          </w:tcPr>
          <w:p>
            <w:pPr>
              <w:spacing w:after="0"/>
              <w:rPr>
                <w:sz w:val="14"/>
                <w:szCs w:val="14"/>
                <w:color w:val="auto"/>
              </w:rPr>
            </w:pPr>
          </w:p>
        </w:tc>
        <w:tc>
          <w:tcPr>
            <w:tcW w:w="12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40" w:type="dxa"/>
            <w:vAlign w:val="bottom"/>
          </w:tcPr>
          <w:p>
            <w:pPr>
              <w:spacing w:after="0"/>
              <w:rPr>
                <w:sz w:val="14"/>
                <w:szCs w:val="14"/>
                <w:color w:val="auto"/>
              </w:rPr>
            </w:pPr>
          </w:p>
        </w:tc>
        <w:tc>
          <w:tcPr>
            <w:tcW w:w="116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4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Services</w:t>
            </w: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22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0" w:type="dxa"/>
            <w:vAlign w:val="bottom"/>
          </w:tcPr>
          <w:p>
            <w:pPr>
              <w:spacing w:after="0"/>
              <w:rPr>
                <w:sz w:val="1"/>
                <w:szCs w:val="1"/>
                <w:color w:val="auto"/>
              </w:rPr>
            </w:pPr>
          </w:p>
        </w:tc>
      </w:tr>
      <w:tr>
        <w:trPr>
          <w:trHeight w:val="238"/>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Third-party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3,855,677</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675,278</w:t>
            </w: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4,530,955</w:t>
            </w: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4,531,141</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revenues (expense), net</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(36,771)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1"/>
        </w:trPr>
        <w:tc>
          <w:tcPr>
            <w:tcW w:w="4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3,892,448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638,507</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4,530,955</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4,531,141</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primary financial measure by which the CODM evaluates the performance of its segments is Adjusted EBITDA, which consists of net income plus accretion of environmental liabilities, stock-based compensation, depreciation and amortization, net interest expense and provision for income taxes and excludes other transactions not deemed representative of fundamental segment results and other income, net. Transactions between the segments are accounted for at the Company’s best estimate based on similar transactions with outside customers.</w:t>
      </w:r>
    </w:p>
    <w:p>
      <w:pPr>
        <w:spacing w:after="0" w:line="112"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CODM uses Adjusted EBITDA to enhance their understanding of segment operating performance, which represents the Company’s performance in the ordinary, ongoing and customary course of operations. The reportable segment operating performance measure, Adjusted EBITDA, is used by the CODM to make key operating decisions such as the allocation of resources. Total assets by segment are not used by the CODM to assess the performance of, or allocate resources to, the Company’s segments. Therefore total assets by segment are not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tables below present total Reportable Segment Adjusted EBITDA and the relevant significant segment expenses provided to the CODM by reportable segment (in thousands):</w:t>
      </w:r>
    </w:p>
    <w:p>
      <w:pPr>
        <w:spacing w:after="0" w:line="151"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21590</wp:posOffset>
            </wp:positionV>
            <wp:extent cx="28803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80360" cy="8890"/>
                    </a:xfrm>
                    <a:prstGeom prst="rect">
                      <a:avLst/>
                    </a:prstGeom>
                    <a:noFill/>
                  </pic:spPr>
                </pic:pic>
              </a:graphicData>
            </a:graphic>
          </wp:anchor>
        </w:drawing>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Environmental</w:t>
            </w:r>
          </w:p>
        </w:tc>
        <w:tc>
          <w:tcPr>
            <w:tcW w:w="200" w:type="dxa"/>
            <w:vAlign w:val="bottom"/>
          </w:tcPr>
          <w:p>
            <w:pPr>
              <w:spacing w:after="0"/>
              <w:rPr>
                <w:sz w:val="13"/>
                <w:szCs w:val="13"/>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Safety-Kleen</w:t>
            </w:r>
          </w:p>
        </w:tc>
        <w:tc>
          <w:tcPr>
            <w:tcW w:w="160" w:type="dxa"/>
            <w:vAlign w:val="bottom"/>
          </w:tcPr>
          <w:p>
            <w:pPr>
              <w:spacing w:after="0"/>
              <w:rPr>
                <w:sz w:val="13"/>
                <w:szCs w:val="13"/>
                <w:color w:val="auto"/>
              </w:rPr>
            </w:pPr>
          </w:p>
        </w:tc>
        <w:tc>
          <w:tcPr>
            <w:tcW w:w="1300" w:type="dxa"/>
            <w:vAlign w:val="bottom"/>
            <w:vMerge w:val="restart"/>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Total Reportable</w:t>
            </w:r>
          </w:p>
        </w:tc>
        <w:tc>
          <w:tcPr>
            <w:tcW w:w="0" w:type="dxa"/>
            <w:vAlign w:val="bottom"/>
          </w:tcPr>
          <w:p>
            <w:pPr>
              <w:spacing w:after="0"/>
              <w:rPr>
                <w:sz w:val="1"/>
                <w:szCs w:val="1"/>
                <w:color w:val="auto"/>
              </w:rPr>
            </w:pPr>
          </w:p>
        </w:tc>
      </w:tr>
      <w:tr>
        <w:trPr>
          <w:trHeight w:val="148"/>
        </w:trPr>
        <w:tc>
          <w:tcPr>
            <w:tcW w:w="6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Sustainability</w:t>
            </w:r>
          </w:p>
        </w:tc>
        <w:tc>
          <w:tcPr>
            <w:tcW w:w="1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60" w:type="dxa"/>
            <w:vAlign w:val="bottom"/>
          </w:tcPr>
          <w:p>
            <w:pPr>
              <w:spacing w:after="0"/>
              <w:rPr>
                <w:sz w:val="17"/>
                <w:szCs w:val="17"/>
                <w:color w:val="auto"/>
              </w:rPr>
            </w:pPr>
          </w:p>
        </w:tc>
        <w:tc>
          <w:tcPr>
            <w:tcW w:w="130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43"/>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1,551,121</w:t>
            </w: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318,328</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1,869,449</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1,014,061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173,343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1,187,404</w:t>
            </w:r>
          </w:p>
        </w:tc>
        <w:tc>
          <w:tcPr>
            <w:tcW w:w="0" w:type="dxa"/>
            <w:vAlign w:val="bottom"/>
          </w:tcPr>
          <w:p>
            <w:pPr>
              <w:spacing w:after="0"/>
              <w:rPr>
                <w:sz w:val="1"/>
                <w:szCs w:val="1"/>
                <w:color w:val="auto"/>
              </w:rPr>
            </w:pPr>
          </w:p>
        </w:tc>
      </w:tr>
      <w:tr>
        <w:trPr>
          <w:trHeight w:val="24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111,668</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18,503</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130,171</w:t>
            </w:r>
          </w:p>
        </w:tc>
        <w:tc>
          <w:tcPr>
            <w:tcW w:w="0" w:type="dxa"/>
            <w:vAlign w:val="bottom"/>
          </w:tcPr>
          <w:p>
            <w:pPr>
              <w:spacing w:after="0"/>
              <w:rPr>
                <w:sz w:val="1"/>
                <w:szCs w:val="1"/>
                <w:color w:val="auto"/>
              </w:rPr>
            </w:pPr>
          </w:p>
        </w:tc>
      </w:tr>
      <w:tr>
        <w:trPr>
          <w:trHeight w:val="237"/>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Reportable Segment Adjusted EBITDA</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425,392</w:t>
            </w:r>
          </w:p>
        </w:tc>
        <w:tc>
          <w:tcPr>
            <w:tcW w:w="8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126,482</w:t>
            </w:r>
          </w:p>
        </w:tc>
        <w:tc>
          <w:tcPr>
            <w:tcW w:w="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551,874</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7"/>
        </w:trPr>
        <w:tc>
          <w:tcPr>
            <w:tcW w:w="67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gridSpan w:val="7"/>
          </w:tcPr>
          <w:p>
            <w:pPr>
              <w:jc w:val="center"/>
              <w:ind w:right="116"/>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 2025</w:t>
            </w:r>
          </w:p>
        </w:tc>
        <w:tc>
          <w:tcPr>
            <w:tcW w:w="0" w:type="dxa"/>
            <w:vAlign w:val="bottom"/>
          </w:tcPr>
          <w:p>
            <w:pPr>
              <w:spacing w:after="0"/>
              <w:rPr>
                <w:sz w:val="1"/>
                <w:szCs w:val="1"/>
                <w:color w:val="auto"/>
              </w:rPr>
            </w:pPr>
          </w:p>
        </w:tc>
      </w:tr>
      <w:tr>
        <w:trPr>
          <w:trHeight w:val="147"/>
        </w:trPr>
        <w:tc>
          <w:tcPr>
            <w:tcW w:w="6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Environmental</w:t>
            </w:r>
          </w:p>
        </w:tc>
        <w:tc>
          <w:tcPr>
            <w:tcW w:w="200" w:type="dxa"/>
            <w:vAlign w:val="bottom"/>
          </w:tcPr>
          <w:p>
            <w:pPr>
              <w:spacing w:after="0"/>
              <w:rPr>
                <w:sz w:val="12"/>
                <w:szCs w:val="12"/>
                <w:color w:val="auto"/>
              </w:rPr>
            </w:pPr>
          </w:p>
        </w:tc>
        <w:tc>
          <w:tcPr>
            <w:tcW w:w="134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Safety-Kleen</w:t>
            </w:r>
          </w:p>
        </w:tc>
        <w:tc>
          <w:tcPr>
            <w:tcW w:w="160" w:type="dxa"/>
            <w:vAlign w:val="bottom"/>
          </w:tcPr>
          <w:p>
            <w:pPr>
              <w:spacing w:after="0"/>
              <w:rPr>
                <w:sz w:val="12"/>
                <w:szCs w:val="12"/>
                <w:color w:val="auto"/>
              </w:rPr>
            </w:pPr>
          </w:p>
        </w:tc>
        <w:tc>
          <w:tcPr>
            <w:tcW w:w="1300" w:type="dxa"/>
            <w:vAlign w:val="bottom"/>
            <w:vMerge w:val="restart"/>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Total Reportable</w:t>
            </w:r>
          </w:p>
        </w:tc>
        <w:tc>
          <w:tcPr>
            <w:tcW w:w="0" w:type="dxa"/>
            <w:vAlign w:val="bottom"/>
          </w:tcPr>
          <w:p>
            <w:pPr>
              <w:spacing w:after="0"/>
              <w:rPr>
                <w:sz w:val="1"/>
                <w:szCs w:val="1"/>
                <w:color w:val="auto"/>
              </w:rPr>
            </w:pPr>
          </w:p>
        </w:tc>
      </w:tr>
      <w:tr>
        <w:trPr>
          <w:trHeight w:val="146"/>
        </w:trPr>
        <w:tc>
          <w:tcPr>
            <w:tcW w:w="6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Sustainability</w:t>
            </w:r>
          </w:p>
        </w:tc>
        <w:tc>
          <w:tcPr>
            <w:tcW w:w="1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6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60" w:type="dxa"/>
            <w:vAlign w:val="bottom"/>
          </w:tcPr>
          <w:p>
            <w:pPr>
              <w:spacing w:after="0"/>
              <w:rPr>
                <w:sz w:val="17"/>
                <w:szCs w:val="17"/>
                <w:color w:val="auto"/>
              </w:rPr>
            </w:pPr>
          </w:p>
        </w:tc>
        <w:tc>
          <w:tcPr>
            <w:tcW w:w="130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42"/>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1,331,300</w:t>
            </w: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218,037</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1,549,337</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871,487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158,545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1,030,032</w:t>
            </w:r>
          </w:p>
        </w:tc>
        <w:tc>
          <w:tcPr>
            <w:tcW w:w="0" w:type="dxa"/>
            <w:vAlign w:val="bottom"/>
          </w:tcPr>
          <w:p>
            <w:pPr>
              <w:spacing w:after="0"/>
              <w:rPr>
                <w:sz w:val="1"/>
                <w:szCs w:val="1"/>
                <w:color w:val="auto"/>
              </w:rPr>
            </w:pPr>
          </w:p>
        </w:tc>
      </w:tr>
      <w:tr>
        <w:trPr>
          <w:trHeight w:val="24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102,584</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18,555</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121,139</w:t>
            </w:r>
          </w:p>
        </w:tc>
        <w:tc>
          <w:tcPr>
            <w:tcW w:w="0" w:type="dxa"/>
            <w:vAlign w:val="bottom"/>
          </w:tcPr>
          <w:p>
            <w:pPr>
              <w:spacing w:after="0"/>
              <w:rPr>
                <w:sz w:val="1"/>
                <w:szCs w:val="1"/>
                <w:color w:val="auto"/>
              </w:rPr>
            </w:pPr>
          </w:p>
        </w:tc>
      </w:tr>
      <w:tr>
        <w:trPr>
          <w:trHeight w:val="237"/>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Reportable Segment Adjusted EBITDA</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357,229</w:t>
            </w:r>
          </w:p>
        </w:tc>
        <w:tc>
          <w:tcPr>
            <w:tcW w:w="8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40,937</w:t>
            </w:r>
          </w:p>
        </w:tc>
        <w:tc>
          <w:tcPr>
            <w:tcW w:w="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398,166</w:t>
            </w:r>
          </w:p>
        </w:tc>
        <w:tc>
          <w:tcPr>
            <w:tcW w:w="0" w:type="dxa"/>
            <w:vAlign w:val="bottom"/>
          </w:tcPr>
          <w:p>
            <w:pPr>
              <w:spacing w:after="0"/>
              <w:rPr>
                <w:sz w:val="1"/>
                <w:szCs w:val="1"/>
                <w:color w:val="auto"/>
              </w:rPr>
            </w:pPr>
          </w:p>
        </w:tc>
      </w:tr>
      <w:tr>
        <w:trPr>
          <w:trHeight w:val="21"/>
        </w:trPr>
        <w:tc>
          <w:tcPr>
            <w:tcW w:w="6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6"/>
        </w:trPr>
        <w:tc>
          <w:tcPr>
            <w:tcW w:w="67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gridSpan w:val="7"/>
          </w:tcPr>
          <w:p>
            <w:pPr>
              <w:jc w:val="center"/>
              <w:ind w:right="116"/>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 2026</w:t>
            </w:r>
          </w:p>
        </w:tc>
        <w:tc>
          <w:tcPr>
            <w:tcW w:w="0" w:type="dxa"/>
            <w:vAlign w:val="bottom"/>
          </w:tcPr>
          <w:p>
            <w:pPr>
              <w:spacing w:after="0"/>
              <w:rPr>
                <w:sz w:val="1"/>
                <w:szCs w:val="1"/>
                <w:color w:val="auto"/>
              </w:rPr>
            </w:pPr>
          </w:p>
        </w:tc>
      </w:tr>
      <w:tr>
        <w:trPr>
          <w:trHeight w:val="147"/>
        </w:trPr>
        <w:tc>
          <w:tcPr>
            <w:tcW w:w="6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Environmental</w:t>
            </w:r>
          </w:p>
        </w:tc>
        <w:tc>
          <w:tcPr>
            <w:tcW w:w="200" w:type="dxa"/>
            <w:vAlign w:val="bottom"/>
          </w:tcPr>
          <w:p>
            <w:pPr>
              <w:spacing w:after="0"/>
              <w:rPr>
                <w:sz w:val="12"/>
                <w:szCs w:val="12"/>
                <w:color w:val="auto"/>
              </w:rPr>
            </w:pPr>
          </w:p>
        </w:tc>
        <w:tc>
          <w:tcPr>
            <w:tcW w:w="134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Safety-Kleen</w:t>
            </w:r>
          </w:p>
        </w:tc>
        <w:tc>
          <w:tcPr>
            <w:tcW w:w="160" w:type="dxa"/>
            <w:vAlign w:val="bottom"/>
          </w:tcPr>
          <w:p>
            <w:pPr>
              <w:spacing w:after="0"/>
              <w:rPr>
                <w:sz w:val="12"/>
                <w:szCs w:val="12"/>
                <w:color w:val="auto"/>
              </w:rPr>
            </w:pPr>
          </w:p>
        </w:tc>
        <w:tc>
          <w:tcPr>
            <w:tcW w:w="1300" w:type="dxa"/>
            <w:vAlign w:val="bottom"/>
            <w:vMerge w:val="restart"/>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Total Reportable</w:t>
            </w:r>
          </w:p>
        </w:tc>
        <w:tc>
          <w:tcPr>
            <w:tcW w:w="0" w:type="dxa"/>
            <w:vAlign w:val="bottom"/>
          </w:tcPr>
          <w:p>
            <w:pPr>
              <w:spacing w:after="0"/>
              <w:rPr>
                <w:sz w:val="1"/>
                <w:szCs w:val="1"/>
                <w:color w:val="auto"/>
              </w:rPr>
            </w:pPr>
          </w:p>
        </w:tc>
      </w:tr>
      <w:tr>
        <w:trPr>
          <w:trHeight w:val="148"/>
        </w:trPr>
        <w:tc>
          <w:tcPr>
            <w:tcW w:w="6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Sustainability</w:t>
            </w:r>
          </w:p>
        </w:tc>
        <w:tc>
          <w:tcPr>
            <w:tcW w:w="1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60" w:type="dxa"/>
            <w:vAlign w:val="bottom"/>
          </w:tcPr>
          <w:p>
            <w:pPr>
              <w:spacing w:after="0"/>
              <w:rPr>
                <w:sz w:val="16"/>
                <w:szCs w:val="16"/>
                <w:color w:val="auto"/>
              </w:rPr>
            </w:pPr>
          </w:p>
        </w:tc>
        <w:tc>
          <w:tcPr>
            <w:tcW w:w="130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41"/>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4,260,210</w:t>
            </w: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803,781</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5,063,991</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2,810,171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490,618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3,300,789</w:t>
            </w:r>
          </w:p>
        </w:tc>
        <w:tc>
          <w:tcPr>
            <w:tcW w:w="0" w:type="dxa"/>
            <w:vAlign w:val="bottom"/>
          </w:tcPr>
          <w:p>
            <w:pPr>
              <w:spacing w:after="0"/>
              <w:rPr>
                <w:sz w:val="1"/>
                <w:szCs w:val="1"/>
                <w:color w:val="auto"/>
              </w:rPr>
            </w:pPr>
          </w:p>
        </w:tc>
      </w:tr>
      <w:tr>
        <w:trPr>
          <w:trHeight w:val="24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328,142</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60,707</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388,849</w:t>
            </w:r>
          </w:p>
        </w:tc>
        <w:tc>
          <w:tcPr>
            <w:tcW w:w="0" w:type="dxa"/>
            <w:vAlign w:val="bottom"/>
          </w:tcPr>
          <w:p>
            <w:pPr>
              <w:spacing w:after="0"/>
              <w:rPr>
                <w:sz w:val="1"/>
                <w:szCs w:val="1"/>
                <w:color w:val="auto"/>
              </w:rPr>
            </w:pPr>
          </w:p>
        </w:tc>
      </w:tr>
      <w:tr>
        <w:trPr>
          <w:trHeight w:val="23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Reportable Segment Adjusted EBITDA</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1,121,897</w:t>
            </w:r>
          </w:p>
        </w:tc>
        <w:tc>
          <w:tcPr>
            <w:tcW w:w="8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252,456</w:t>
            </w:r>
          </w:p>
        </w:tc>
        <w:tc>
          <w:tcPr>
            <w:tcW w:w="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1,374,353</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0"/>
        </w:trPr>
        <w:tc>
          <w:tcPr>
            <w:tcW w:w="67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gridSpan w:val="7"/>
          </w:tcPr>
          <w:p>
            <w:pPr>
              <w:jc w:val="center"/>
              <w:ind w:right="116"/>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 2025</w:t>
            </w:r>
          </w:p>
        </w:tc>
        <w:tc>
          <w:tcPr>
            <w:tcW w:w="0" w:type="dxa"/>
            <w:vAlign w:val="bottom"/>
          </w:tcPr>
          <w:p>
            <w:pPr>
              <w:spacing w:after="0"/>
              <w:rPr>
                <w:sz w:val="1"/>
                <w:szCs w:val="1"/>
                <w:color w:val="auto"/>
              </w:rPr>
            </w:pPr>
          </w:p>
        </w:tc>
      </w:tr>
      <w:tr>
        <w:trPr>
          <w:trHeight w:val="145"/>
        </w:trPr>
        <w:tc>
          <w:tcPr>
            <w:tcW w:w="6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Environmental</w:t>
            </w:r>
          </w:p>
        </w:tc>
        <w:tc>
          <w:tcPr>
            <w:tcW w:w="200" w:type="dxa"/>
            <w:vAlign w:val="bottom"/>
          </w:tcPr>
          <w:p>
            <w:pPr>
              <w:spacing w:after="0"/>
              <w:rPr>
                <w:sz w:val="12"/>
                <w:szCs w:val="12"/>
                <w:color w:val="auto"/>
              </w:rPr>
            </w:pPr>
          </w:p>
        </w:tc>
        <w:tc>
          <w:tcPr>
            <w:tcW w:w="134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Safety-Kleen</w:t>
            </w:r>
          </w:p>
        </w:tc>
        <w:tc>
          <w:tcPr>
            <w:tcW w:w="160" w:type="dxa"/>
            <w:vAlign w:val="bottom"/>
          </w:tcPr>
          <w:p>
            <w:pPr>
              <w:spacing w:after="0"/>
              <w:rPr>
                <w:sz w:val="12"/>
                <w:szCs w:val="12"/>
                <w:color w:val="auto"/>
              </w:rPr>
            </w:pPr>
          </w:p>
        </w:tc>
        <w:tc>
          <w:tcPr>
            <w:tcW w:w="1300" w:type="dxa"/>
            <w:vAlign w:val="bottom"/>
            <w:vMerge w:val="restart"/>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Total Reportable</w:t>
            </w:r>
          </w:p>
        </w:tc>
        <w:tc>
          <w:tcPr>
            <w:tcW w:w="0" w:type="dxa"/>
            <w:vAlign w:val="bottom"/>
          </w:tcPr>
          <w:p>
            <w:pPr>
              <w:spacing w:after="0"/>
              <w:rPr>
                <w:sz w:val="1"/>
                <w:szCs w:val="1"/>
                <w:color w:val="auto"/>
              </w:rPr>
            </w:pPr>
          </w:p>
        </w:tc>
      </w:tr>
      <w:tr>
        <w:trPr>
          <w:trHeight w:val="149"/>
        </w:trPr>
        <w:tc>
          <w:tcPr>
            <w:tcW w:w="6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Sustainability</w:t>
            </w:r>
          </w:p>
        </w:tc>
        <w:tc>
          <w:tcPr>
            <w:tcW w:w="1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60" w:type="dxa"/>
            <w:vAlign w:val="bottom"/>
          </w:tcPr>
          <w:p>
            <w:pPr>
              <w:spacing w:after="0"/>
              <w:rPr>
                <w:sz w:val="17"/>
                <w:szCs w:val="17"/>
                <w:color w:val="auto"/>
              </w:rPr>
            </w:pPr>
          </w:p>
        </w:tc>
        <w:tc>
          <w:tcPr>
            <w:tcW w:w="130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43"/>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3,892,448</w:t>
            </w: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638,507</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4,530,955</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2,592,300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476,550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3,068,850</w:t>
            </w:r>
          </w:p>
        </w:tc>
        <w:tc>
          <w:tcPr>
            <w:tcW w:w="0" w:type="dxa"/>
            <w:vAlign w:val="bottom"/>
          </w:tcPr>
          <w:p>
            <w:pPr>
              <w:spacing w:after="0"/>
              <w:rPr>
                <w:sz w:val="1"/>
                <w:szCs w:val="1"/>
                <w:color w:val="auto"/>
              </w:rPr>
            </w:pPr>
          </w:p>
        </w:tc>
      </w:tr>
      <w:tr>
        <w:trPr>
          <w:trHeight w:val="24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292,134</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54,455</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346,589</w:t>
            </w:r>
          </w:p>
        </w:tc>
        <w:tc>
          <w:tcPr>
            <w:tcW w:w="0" w:type="dxa"/>
            <w:vAlign w:val="bottom"/>
          </w:tcPr>
          <w:p>
            <w:pPr>
              <w:spacing w:after="0"/>
              <w:rPr>
                <w:sz w:val="1"/>
                <w:szCs w:val="1"/>
                <w:color w:val="auto"/>
              </w:rPr>
            </w:pPr>
          </w:p>
        </w:tc>
      </w:tr>
      <w:tr>
        <w:trPr>
          <w:trHeight w:val="23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Reportable Segment Adjusted EBITDA</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1,008,014</w:t>
            </w:r>
          </w:p>
        </w:tc>
        <w:tc>
          <w:tcPr>
            <w:tcW w:w="8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107,502</w:t>
            </w:r>
          </w:p>
        </w:tc>
        <w:tc>
          <w:tcPr>
            <w:tcW w:w="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1,115,516</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Total Reportable Segment Adjusted EBITDA reconciled to income from operations before provision for income taxes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8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2480" w:type="dxa"/>
            <w:vAlign w:val="bottom"/>
            <w:gridSpan w:val="4"/>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32"/>
        </w:trPr>
        <w:tc>
          <w:tcPr>
            <w:tcW w:w="55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20"/>
                <w:szCs w:val="20"/>
                <w:color w:val="auto"/>
              </w:rPr>
            </w:pPr>
          </w:p>
        </w:tc>
      </w:tr>
      <w:tr>
        <w:trPr>
          <w:trHeight w:val="223"/>
        </w:trPr>
        <w:tc>
          <w:tcPr>
            <w:tcW w:w="55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43"/>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Environmental Services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425,392</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357,229</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1,121,897</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1,008,014</w:t>
            </w:r>
          </w:p>
        </w:tc>
      </w:tr>
      <w:tr>
        <w:trPr>
          <w:trHeight w:val="243"/>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Safety-Kleen Sustainability Solutions</w:t>
            </w: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126,482</w:t>
            </w:r>
          </w:p>
        </w:tc>
        <w:tc>
          <w:tcPr>
            <w:tcW w:w="12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40,937</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252,456</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107,502</w:t>
            </w:r>
          </w:p>
        </w:tc>
      </w:tr>
      <w:tr>
        <w:trPr>
          <w:trHeight w:val="237"/>
        </w:trPr>
        <w:tc>
          <w:tcPr>
            <w:tcW w:w="5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Reportable Segment Adjusted EBITDA</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551,874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398,166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1,374,353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1,115,516</w:t>
            </w:r>
          </w:p>
        </w:tc>
      </w:tr>
      <w:tr>
        <w:trPr>
          <w:trHeight w:val="24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to Consolidated Statements of Operations:</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43"/>
        </w:trPr>
        <w:tc>
          <w:tcPr>
            <w:tcW w:w="5560" w:type="dxa"/>
            <w:vAlign w:val="bottom"/>
          </w:tcPr>
          <w:p>
            <w:pPr>
              <w:ind w:left="140"/>
              <w:spacing w:after="0" w:line="243" w:lineRule="exact"/>
              <w:rPr>
                <w:sz w:val="20"/>
                <w:szCs w:val="20"/>
                <w:color w:val="auto"/>
              </w:rPr>
            </w:pPr>
            <w:r>
              <w:rPr>
                <w:rFonts w:ascii="Times New Roman" w:cs="Times New Roman" w:eastAsia="Times New Roman" w:hAnsi="Times New Roman"/>
                <w:sz w:val="18"/>
                <w:szCs w:val="18"/>
                <w:color w:val="auto"/>
              </w:rPr>
              <w:t>Corporate Costs</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95,786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261,387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224,266</w:t>
            </w:r>
          </w:p>
        </w:tc>
      </w:tr>
      <w:tr>
        <w:trPr>
          <w:trHeight w:val="243"/>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Accretion of environmental liabilities</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10,575</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10,710</w:t>
            </w:r>
          </w:p>
        </w:tc>
      </w:tr>
      <w:tr>
        <w:trPr>
          <w:trHeight w:val="243"/>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36,141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22,620</w:t>
            </w:r>
          </w:p>
        </w:tc>
      </w:tr>
      <w:tr>
        <w:trPr>
          <w:trHeight w:val="243"/>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122,703</w:t>
            </w:r>
          </w:p>
        </w:tc>
        <w:tc>
          <w:tcPr>
            <w:tcW w:w="12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114,729</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360,309</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342,994</w:t>
            </w:r>
          </w:p>
        </w:tc>
      </w:tr>
      <w:tr>
        <w:trPr>
          <w:trHeight w:val="236"/>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318,109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193,009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705,941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514,926</w:t>
            </w:r>
          </w:p>
        </w:tc>
      </w:tr>
      <w:tr>
        <w:trPr>
          <w:trHeight w:val="243"/>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w:t>
            </w:r>
          </w:p>
        </w:tc>
      </w:tr>
      <w:tr>
        <w:trPr>
          <w:trHeight w:val="243"/>
        </w:trPr>
        <w:tc>
          <w:tcPr>
            <w:tcW w:w="5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37,438</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35,700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108,500</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108,883</w:t>
            </w:r>
          </w:p>
        </w:tc>
      </w:tr>
      <w:tr>
        <w:trPr>
          <w:trHeight w:val="261"/>
        </w:trPr>
        <w:tc>
          <w:tcPr>
            <w:tcW w:w="5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from operations before provision for income taxes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282,195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160,826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598,664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408,025</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w:t>
      </w:r>
    </w:p>
    <w:p>
      <w:pPr>
        <w:spacing w:after="0" w:line="10" w:lineRule="exact"/>
        <w:rPr>
          <w:sz w:val="20"/>
          <w:szCs w:val="20"/>
          <w:color w:val="auto"/>
        </w:rPr>
      </w:pPr>
    </w:p>
    <w:p>
      <w:pPr>
        <w:ind w:left="660" w:right="80" w:hanging="328"/>
        <w:spacing w:after="0" w:line="254" w:lineRule="auto"/>
        <w:tabs>
          <w:tab w:leader="none" w:pos="72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Costs include certain revenues, cost of revenues and selling, general and administrative expenses not managed through the Company’s operating segments. These costs are not captured within the Company’s Reportable Segment Adjusted EBITDA, but are included in the Company’s total Adjusted EBITDA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100"/>
        <w:spacing w:after="0" w:line="417"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b w:val="1"/>
          <w:bCs w:val="1"/>
          <w:i w:val="1"/>
          <w:iCs w:val="1"/>
          <w:color w:val="auto"/>
        </w:rPr>
        <w:t>Forward-Looking Statements</w:t>
      </w:r>
    </w:p>
    <w:p>
      <w:pPr>
        <w:ind w:firstLine="648"/>
        <w:spacing w:after="0" w:line="251" w:lineRule="auto"/>
        <w:rPr>
          <w:sz w:val="20"/>
          <w:szCs w:val="20"/>
          <w:color w:val="auto"/>
        </w:rPr>
      </w:pPr>
      <w:r>
        <w:rPr>
          <w:rFonts w:ascii="Times New Roman" w:cs="Times New Roman" w:eastAsia="Times New Roman" w:hAnsi="Times New Roman"/>
          <w:sz w:val="18"/>
          <w:szCs w:val="18"/>
          <w:color w:val="auto"/>
        </w:rPr>
        <w:t>In addition to historical information, this Quarterly Report on Form 10-Q contains forward-looking statements, which are generally identifiable by use of the words “believes,” “expects,” “intends,” “anticipates,” “plans to,” “aims,” “will,” “seeks,” “should,” “estimates,” “projects,” “may,” “likely,” “potential” or similar expressions. Such statements may include, but are not limited to, statements about our future financial and operating results, plans, strategy, objectives and goals, strategic initiatives, cost management initiatives, pricing and productivity initiatives, contingent liabilities, interest expense, liquidity, business, economic and market conditions, trends, customer demand, expectations regarding new customer contracts, impacts of tariffs and new legislation, acquisitions, capital spending, growth opportunities and investments, expectations, challenges and other statements that are not historical facts. Such statements are based upon the beliefs and expectations of our management as of the date of this report only and are subject to certain risks and uncertainties that could cause actual results, performance or achievements to differ materially, including, without limitation: operational and safety risks; risks relating to the failure of new or existing technologies; risks associated with the use of artificial intelligence; cybersecurity risks; the occurrence of natural disasters or other catastrophic events, as well as their residual macroeconomic effects; risks associated with retaining and hiring key personnel; environmental liability and product liability risks relating to hazardous waste management and other components of our business; negative economic, industry or other developments, including market volatility or economic downturns; risks associated with our assumptions relating to expansion of our landfills; reductions in the demand for emergency response services at industrial facilities or on roadways, railways or waterways, and other remedial projects and regulatory developments; reductions in the demand for oil products and automotive services and volatility in oil prices in the markets we serve; changes in statutory and regulatory requirements and risks relating to extensive environmental laws and regulations; risks associated with existing and potential litigation; risks associated with our identification and execution of strategic capital expenditures, acquisitions and divestitures and their related liabilities; risks relating to the availability and sufficiency of our insurance coverage, self-insurance, surety bonds, letters of credit and other forms of financial assurance; impact of new tax legislation or changes in tax regulations and interpretations; the imposition of trade sanctions or tariffs; fluctuations in interest rates and foreign currency exchange rates; risks relating to our indebtedness and covenants in our debt agreements; risks associated with certain anti-takeover provisions under the Massachusetts Business Corporation Act and our By-Laws; and those items discussed elsewhere in this report or identified as “Risk Factors” in our Annual Report on Form 10-K filed with the Securities and Exchange Commission, or SEC, on February 18, 2026, and in other documents we file from time to time with the SEC. Therefore, readers are cautioned not to place undue reliance on these forward-looking statements, which reflect management’s opinions only as of the date hereof. Our actual results and financial condition may differ materially from those indicated in the forward-looking statements. We undertake no obligation to revise or publicly release the results of any revision to these forward-looking statements.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62" w:lineRule="exact"/>
        <w:rPr>
          <w:sz w:val="20"/>
          <w:szCs w:val="20"/>
          <w:color w:val="auto"/>
        </w:rPr>
      </w:pPr>
    </w:p>
    <w:p>
      <w:pPr>
        <w:ind w:right="220" w:firstLine="648"/>
        <w:spacing w:after="0" w:line="254" w:lineRule="auto"/>
        <w:rPr>
          <w:sz w:val="20"/>
          <w:szCs w:val="20"/>
          <w:color w:val="auto"/>
        </w:rPr>
      </w:pPr>
      <w:r>
        <w:rPr>
          <w:rFonts w:ascii="Times New Roman" w:cs="Times New Roman" w:eastAsia="Times New Roman" w:hAnsi="Times New Roman"/>
          <w:sz w:val="18"/>
          <w:szCs w:val="18"/>
          <w:color w:val="auto"/>
        </w:rPr>
        <w:t>We are North America’s leading provider of environmental and industrial services supporting our customers in finding environmentally responsible solutions to further their sustainability goals in today’s world. Everywhere industry meets the environment, we strive to provide sustainable services and products that protect and restore North America’s natural environment. We believe we operate, in the aggregate, the largest number of hazardous waste incinerators, landfills and treatment, storage and disposal facilities, or TSDFs, in North America. We serve over 350,000 customers, including the majority of Fortune 500 companies, across various markets, including chemical and manufacturing, as well as numerous government agencies. These customers rely on us to safely deliver a broad range of services including but not limited to end-to-end hazardous waste management, emergency response, industrial cleaning and maintenance, and recycling services. We are also a leading provider of parts cleaning and related environmental services to general manufacturing, automotive and commercial customers in North America and the largest re-refiner and recycler of used oil in North America.</w:t>
      </w:r>
    </w:p>
    <w:p>
      <w:pPr>
        <w:spacing w:after="0" w:line="121"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Performance of our segments is evaluated on several factors, of which the primary financial measure is adjusted earnings before interest, taxes, depreciation, and amortization, or Adjusted EBITDA, a non-GAAP measure that is reconciled to our GAAP net income and described more fully below. The following is a discussion of how management evaluates our segments in regards to other factors including key performance indicators that management uses to assess the segments’ results, as well as certain macroeconomic trends and influences that impact each reportable segment:</w:t>
      </w:r>
    </w:p>
    <w:p>
      <w:pPr>
        <w:spacing w:after="0" w:line="95" w:lineRule="exact"/>
        <w:rPr>
          <w:sz w:val="20"/>
          <w:szCs w:val="20"/>
          <w:color w:val="auto"/>
        </w:rPr>
      </w:pPr>
    </w:p>
    <w:p>
      <w:pPr>
        <w:ind w:left="980" w:right="60" w:hanging="324"/>
        <w:spacing w:after="0" w:line="26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Environmental Services - </w:t>
      </w:r>
      <w:r>
        <w:rPr>
          <w:rFonts w:ascii="Times New Roman" w:cs="Times New Roman" w:eastAsia="Times New Roman" w:hAnsi="Times New Roman"/>
          <w:sz w:val="18"/>
          <w:szCs w:val="18"/>
          <w:color w:val="auto"/>
        </w:rPr>
        <w:t>The Environmental Services segment results are driven by customer demand for our wide variety of services: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volume, pricing and mix of waste managed; and project work requiring responsible waste handling and disposal. Environmental Services results are also impacted by the demand for planned and unplanned industrial related cleaning and maintenance services at customer sites and environmental cleanup services on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980" w:right="20"/>
        <w:spacing w:after="0" w:line="253" w:lineRule="auto"/>
        <w:rPr>
          <w:sz w:val="20"/>
          <w:szCs w:val="20"/>
          <w:color w:val="auto"/>
        </w:rPr>
      </w:pPr>
      <w:r>
        <w:rPr>
          <w:rFonts w:ascii="Times New Roman" w:cs="Times New Roman" w:eastAsia="Times New Roman" w:hAnsi="Times New Roman"/>
          <w:sz w:val="18"/>
          <w:szCs w:val="18"/>
          <w:color w:val="auto"/>
        </w:rPr>
        <w:t>scheduled or emergency basis, including response to large-scale events such as major chemical spills, natural disasters, or other instances where immediate and specialized services are required. The Environmental Services segment results include the Safety-Kleen branches’ core environmental service offerings of containerized waste disposal, parts washer and vacuum services. These results are driven by the volumes of waste collected from these customers, the overall number of parts washers placed at customer sites, and the demand for and frequency of other offered services. In managing the business and evaluating performance, management tracks the volumes and mix of waste handled and disposed of or recycled, generally through our incinerators, TSDFs and landfills; the utilization rates of our incinerators, equipment and workforce, including billable hours and the number of parts washer services performed; and pricing realized by our business and peer companies as well as other key metrics. Levels of activity and ultimate performance associated with this segment can be impacted by several factors including overall North American GDP; U.S. industrial production; economic conditions in the general manufacturing, chemical and automotive markets; efforts and economic incentives to increase domestic operations; available capacity at waste disposal outlets; demand for industrial cleaning and related industrial services; weather conditions; efficiency of our operations; technology, including the increased use of artificial intelligence; changing regulations; competition; market pricing of our services; costs incurred to deliver our services; and the management of our related operating costs.</w:t>
      </w:r>
    </w:p>
    <w:p>
      <w:pPr>
        <w:spacing w:after="0" w:line="116" w:lineRule="exact"/>
        <w:rPr>
          <w:sz w:val="20"/>
          <w:szCs w:val="20"/>
          <w:color w:val="auto"/>
        </w:rPr>
      </w:pPr>
    </w:p>
    <w:p>
      <w:pPr>
        <w:ind w:left="980" w:hanging="324"/>
        <w:spacing w:after="0" w:line="252" w:lineRule="auto"/>
        <w:tabs>
          <w:tab w:leader="none" w:pos="975"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 xml:space="preserve">Safety-Kleen Sustainability Solutions - </w:t>
      </w:r>
      <w:r>
        <w:rPr>
          <w:rFonts w:ascii="Times New Roman" w:cs="Times New Roman" w:eastAsia="Times New Roman" w:hAnsi="Times New Roman"/>
          <w:sz w:val="18"/>
          <w:szCs w:val="18"/>
          <w:color w:val="auto"/>
        </w:rPr>
        <w:t>The Safety-Kleen Sustainability Solutions, or SKSS, segment results are impacted by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customers’ demand for high-quality, environmentally responsible recycled oil products and their demand for our related service and product offerings. SKSS provides collection services for used oil, used oil filters and other automotive related fluids, which allows customers to manage these wastes in a responsible and compliant way while also converting these waste streams into high-quality products for re-use. SKSS offers high-quality recycled base and blended oil products and other automotive and industrial lubricants to end users, including fleet customers, distributors, manufacturers of oil products and industrial plants. Segment results are impacted by market pricing, overall demand and the mix of our oil products sales. Segment results are also predicated on the demand for other SKSS product and service offerings, including collection services for used oil, used oil filters and other automotive fluids. The used oil collected is used as feedstock in our oil re-refining process to produce our base and blended oil products and other hydraulic oils, lubricants and recycled fuel oil or are integrated into our recycling and disposal network. In operating the business and evaluating performance, management tracks the volumes of used oil and other waste streams collected and relative percentages of base and blended oil sales. Management also monitors various pricing metrics associated with the commodity driven margin between product pricing and the overall revenue generation along with related costs. Levels of activity and ultimate performance associated with this segment can be impacted by economic conditions in the manufacturing and automotive services markets; efficiency of our operations; technology, including the increased use of artificial intelligence; weather conditions; changing regulations; competition; and the management of our related operating costs. Overall product pricing as well as revenues generated and/or costs incurred in connection with the collection of used oil and other raw materials associated with the segment’s oil-related products can also be volatile and can be impacted by global events and their relative impact on commodity products and pricing. The overall market price of oil, and regulations that change the possible usage of used oil or burning of used oil as a fuel, impact the premium the segment can charge for used oil collections.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Highlights</w:t>
      </w:r>
    </w:p>
    <w:p>
      <w:pPr>
        <w:spacing w:after="0" w:line="162"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Total direct revenues for the three and nine months ended September 30, 2026 were $1,869.4 million and $5,064.0 million, compared with $1,549.3 million and $4,531.1 million for the three and nine months ended September 30, 2025, respectively. For the three and nine months ended September 30, 2026, our Environmental Services segment direct revenues increased $219.8 million, or 16.5%, and $367.8 million, or 9.4%, respectively, from the comparable periods in 2025, driven by growth in Field and Emergency Response Services, which benefitted from a large scale emergency response event during these periods, as well as strong contributions from Technical Services and Safety-Kleen branch core services. For the three and nine months ended September 30, 2026, our SKSS segment direct revenues increased $100.3 million or 46.0% and $165.3 million or 25.9%, respectively, from the comparable periods in 2025, driven primarily by higher pricing of base and blended oil products and specialty refinery products.</w:t>
      </w:r>
    </w:p>
    <w:p>
      <w:pPr>
        <w:spacing w:after="0" w:line="121"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Income from operations for the three and nine months ended September 30, 2026 was $318.1 million and $705.9 million, as compared with income from operations of $193.0 million and $514.9 million in the three and nine months ended September 30, 2025, respectively. Net income for the three and nine months ended September 30, 2026 was $208.1 million and $441.8 million, increases of 75.2% and 45.1% as compared with net income of $118.8 million and $304.4 million in the three and nine months ended September 30, 2025, respectively.</w:t>
      </w:r>
    </w:p>
    <w:p>
      <w:pPr>
        <w:spacing w:after="0" w:line="9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Adjusted EBITDA, which is the primary financial measure by which we evaluate the operating performance of our segments was $456.1 million for the three months ended September 30, 2026. This result represents a $135.9 million, or 42.5% increase,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the $320.2 million of Adjusted EBITDA generated in the three months ended September 30, 2025. Growth in Adjusted EBITDA versus the comparable period in 2025 was driven by an $85.5 million increase in SKSS segment Adjusted EBITDA and a $68.2 million increase in Environmental Services segment Adjusted EBITDA. For the nine months ended September 30, 2026, Adjusted EBITDA increased $221.7 million, or 24.9%, from $891.3 million for the nine months ended September 30, 2025 to $1,113.0 million for the nine months ended September 30, 2026, led by a $145.0 million increase in SKSS segment Adjusted EBITDA and a $113.9 million increase in Environmental Services segment Adjusted EBITDA. Continued margin expansion in both of our operating segments led to a 370 basis point and 230 basis point increase in Adjusted EBITDA Margin (calculated as a percentage of direct revenues) for the three and nine months ended September 30, 2026, respectively as compared to the prior year periods. Additional information regarding Adjusted EBITDA and Adjusted EBITDA Margin, which are non-GAAP measures, including a reconciliation of net income to Adjusted EBITDA, appears below under </w:t>
      </w:r>
      <w:r>
        <w:rPr>
          <w:rFonts w:ascii="Times New Roman" w:cs="Times New Roman" w:eastAsia="Times New Roman" w:hAnsi="Times New Roman"/>
          <w:sz w:val="18"/>
          <w:szCs w:val="18"/>
          <w:i w:val="1"/>
          <w:iCs w:val="1"/>
          <w:color w:val="auto"/>
        </w:rPr>
        <w:t>“Adjusted EBITDA.”</w:t>
      </w:r>
    </w:p>
    <w:p>
      <w:pPr>
        <w:spacing w:after="0" w:line="121"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Net cash from operating activities for the nine months ended September 30, 2026 increased $153.0 million from $511.6 million in 2025 to $664.7 million in 2026, primarily due to higher operating income, partially offset by higher working capital impacts in 2026 as compared to the prior year period. Adjusted free cash flow, which management uses to measure our financial strength and ability to generate cash, was $383.0 million in the nine months ended September 30, 2026, compared to $248.1 million in the same period in 2025, an improvement of $134.9 million, primarily driven by higher cash flows from operating activities. Additional information regarding adjusted free cash flow, which is a non-GAAP measure, including a reconciliation of net cash from operating activities to adjusted free cash flow, appears below under </w:t>
      </w:r>
      <w:r>
        <w:rPr>
          <w:rFonts w:ascii="Times New Roman" w:cs="Times New Roman" w:eastAsia="Times New Roman" w:hAnsi="Times New Roman"/>
          <w:sz w:val="18"/>
          <w:szCs w:val="18"/>
          <w:i w:val="1"/>
          <w:iCs w:val="1"/>
          <w:color w:val="auto"/>
        </w:rPr>
        <w:t>“Adjusted Free Cash Flow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Performance</w:t>
      </w:r>
    </w:p>
    <w:p>
      <w:pPr>
        <w:spacing w:after="0" w:line="16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primary financial measure by which we evaluate the performance of our segments is Adjusted EBITDA. The following table sets forth certain financial information associated with our results of operations (in thousands, except percentages):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Summary of Operations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2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00" w:type="dxa"/>
            <w:vAlign w:val="bottom"/>
          </w:tcPr>
          <w:p>
            <w:pPr>
              <w:spacing w:after="0"/>
              <w:rPr>
                <w:sz w:val="24"/>
                <w:szCs w:val="24"/>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80" w:type="dxa"/>
            <w:vAlign w:val="bottom"/>
          </w:tcPr>
          <w:p>
            <w:pPr>
              <w:spacing w:after="0"/>
              <w:rPr>
                <w:sz w:val="24"/>
                <w:szCs w:val="24"/>
                <w:color w:val="auto"/>
              </w:rPr>
            </w:pPr>
          </w:p>
        </w:tc>
        <w:tc>
          <w:tcPr>
            <w:tcW w:w="9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c>
          <w:tcPr>
            <w:tcW w:w="0" w:type="dxa"/>
            <w:vAlign w:val="bottom"/>
          </w:tcPr>
          <w:p>
            <w:pPr>
              <w:spacing w:after="0"/>
              <w:rPr>
                <w:sz w:val="1"/>
                <w:szCs w:val="1"/>
                <w:color w:val="auto"/>
              </w:rPr>
            </w:pPr>
          </w:p>
        </w:tc>
      </w:tr>
      <w:tr>
        <w:trPr>
          <w:trHeight w:val="213"/>
        </w:trPr>
        <w:tc>
          <w:tcPr>
            <w:tcW w:w="2000" w:type="dxa"/>
            <w:vAlign w:val="bottom"/>
            <w:tcBorders>
              <w:top w:val="single" w:sz="8" w:color="CCEEFF"/>
            </w:tcBorders>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Direct Revenues </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6"/>
                <w:szCs w:val="16"/>
                <w:b w:val="1"/>
                <w:bCs w:val="1"/>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Environmental Services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1,551,121</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1,331,300</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219,821</w:t>
            </w:r>
          </w:p>
        </w:tc>
        <w:tc>
          <w:tcPr>
            <w:tcW w:w="96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4,260,210</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3,892,448</w:t>
            </w:r>
          </w:p>
        </w:tc>
        <w:tc>
          <w:tcPr>
            <w:tcW w:w="8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367,762</w:t>
            </w:r>
          </w:p>
        </w:tc>
        <w:tc>
          <w:tcPr>
            <w:tcW w:w="98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178"/>
        </w:trPr>
        <w:tc>
          <w:tcPr>
            <w:tcW w:w="2000" w:type="dxa"/>
            <w:vAlign w:val="bottom"/>
            <w:shd w:val="clear" w:color="auto" w:fill="CCEEFF"/>
          </w:tcPr>
          <w:p>
            <w:pPr>
              <w:ind w:left="140"/>
              <w:spacing w:after="0" w:line="178" w:lineRule="exact"/>
              <w:rPr>
                <w:sz w:val="20"/>
                <w:szCs w:val="20"/>
                <w:color w:val="auto"/>
              </w:rPr>
            </w:pPr>
            <w:r>
              <w:rPr>
                <w:rFonts w:ascii="Times New Roman" w:cs="Times New Roman" w:eastAsia="Times New Roman" w:hAnsi="Times New Roman"/>
                <w:sz w:val="16"/>
                <w:szCs w:val="16"/>
                <w:color w:val="auto"/>
              </w:rPr>
              <w:t>Safety-Kleen Sustainability</w:t>
            </w: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318,328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218,037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100,291</w:t>
            </w:r>
          </w:p>
        </w:tc>
        <w:tc>
          <w:tcPr>
            <w:tcW w:w="960" w:type="dxa"/>
            <w:vAlign w:val="bottom"/>
            <w:gridSpan w:val="2"/>
            <w:vMerge w:val="restart"/>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46.0</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803,781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638,507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165,274</w:t>
            </w:r>
          </w:p>
        </w:tc>
        <w:tc>
          <w:tcPr>
            <w:tcW w:w="980" w:type="dxa"/>
            <w:vAlign w:val="bottom"/>
            <w:gridSpan w:val="2"/>
            <w:vMerge w:val="restart"/>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25.9</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2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Corporate</w:t>
            </w: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N/M</w:t>
            </w:r>
          </w:p>
        </w:tc>
        <w:tc>
          <w:tcPr>
            <w:tcW w:w="28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26"/>
        </w:trPr>
        <w:tc>
          <w:tcPr>
            <w:tcW w:w="20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1,869,449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1,549,337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320,112</w:t>
            </w:r>
          </w:p>
        </w:tc>
        <w:tc>
          <w:tcPr>
            <w:tcW w:w="960" w:type="dxa"/>
            <w:vAlign w:val="bottom"/>
            <w:tcBorders>
              <w:top w:val="single" w:sz="8" w:color="CCEEFF"/>
            </w:tcBorders>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9"/>
              </w:rPr>
              <w:t>20.7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5,063,991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4,531,141</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532,850</w:t>
            </w:r>
          </w:p>
        </w:tc>
        <w:tc>
          <w:tcPr>
            <w:tcW w:w="980" w:type="dxa"/>
            <w:vAlign w:val="bottom"/>
            <w:tcBorders>
              <w:top w:val="single" w:sz="8" w:color="CCEEFF"/>
            </w:tcBorders>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11.8</w:t>
            </w:r>
          </w:p>
        </w:tc>
        <w:tc>
          <w:tcPr>
            <w:tcW w:w="0" w:type="dxa"/>
            <w:vAlign w:val="bottom"/>
          </w:tcPr>
          <w:p>
            <w:pPr>
              <w:spacing w:after="0"/>
              <w:rPr>
                <w:sz w:val="1"/>
                <w:szCs w:val="1"/>
                <w:color w:val="auto"/>
              </w:rPr>
            </w:pPr>
          </w:p>
        </w:tc>
      </w:tr>
      <w:tr>
        <w:trPr>
          <w:trHeight w:val="210"/>
        </w:trPr>
        <w:tc>
          <w:tcPr>
            <w:tcW w:w="200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b w:val="1"/>
                <w:bCs w:val="1"/>
                <w:color w:val="auto"/>
              </w:rPr>
              <w:t xml:space="preserve">Cost of Revenues </w:t>
            </w:r>
            <w:r>
              <w:rPr>
                <w:rFonts w:ascii="Times New Roman" w:cs="Times New Roman" w:eastAsia="Times New Roman" w:hAnsi="Times New Roman"/>
                <w:sz w:val="21"/>
                <w:szCs w:val="21"/>
                <w:b w:val="1"/>
                <w:bCs w:val="1"/>
                <w:color w:val="auto"/>
                <w:vertAlign w:val="superscript"/>
              </w:rPr>
              <w:t>(2)</w:t>
            </w: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Environmental Services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1,014,061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871,487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142,574</w:t>
            </w:r>
          </w:p>
        </w:tc>
        <w:tc>
          <w:tcPr>
            <w:tcW w:w="96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16.4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2,810,171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2,592,300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217,871</w:t>
            </w:r>
          </w:p>
        </w:tc>
        <w:tc>
          <w:tcPr>
            <w:tcW w:w="9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8.4</w:t>
            </w:r>
          </w:p>
        </w:tc>
        <w:tc>
          <w:tcPr>
            <w:tcW w:w="0" w:type="dxa"/>
            <w:vAlign w:val="bottom"/>
          </w:tcPr>
          <w:p>
            <w:pPr>
              <w:spacing w:after="0"/>
              <w:rPr>
                <w:sz w:val="1"/>
                <w:szCs w:val="1"/>
                <w:color w:val="auto"/>
              </w:rPr>
            </w:pPr>
          </w:p>
        </w:tc>
      </w:tr>
      <w:tr>
        <w:trPr>
          <w:trHeight w:val="176"/>
        </w:trPr>
        <w:tc>
          <w:tcPr>
            <w:tcW w:w="2000" w:type="dxa"/>
            <w:vAlign w:val="bottom"/>
          </w:tcPr>
          <w:p>
            <w:pPr>
              <w:ind w:left="140"/>
              <w:spacing w:after="0" w:line="175" w:lineRule="exact"/>
              <w:rPr>
                <w:sz w:val="20"/>
                <w:szCs w:val="20"/>
                <w:color w:val="auto"/>
              </w:rPr>
            </w:pPr>
            <w:r>
              <w:rPr>
                <w:rFonts w:ascii="Times New Roman" w:cs="Times New Roman" w:eastAsia="Times New Roman" w:hAnsi="Times New Roman"/>
                <w:sz w:val="16"/>
                <w:szCs w:val="16"/>
                <w:color w:val="auto"/>
              </w:rPr>
              <w:t>Safety-Kleen Sustainability</w:t>
            </w:r>
          </w:p>
        </w:tc>
        <w:tc>
          <w:tcPr>
            <w:tcW w:w="220" w:type="dxa"/>
            <w:vAlign w:val="bottom"/>
          </w:tcPr>
          <w:p>
            <w:pPr>
              <w:spacing w:after="0"/>
              <w:rPr>
                <w:sz w:val="15"/>
                <w:szCs w:val="15"/>
                <w:color w:val="auto"/>
              </w:rPr>
            </w:pPr>
          </w:p>
        </w:tc>
        <w:tc>
          <w:tcPr>
            <w:tcW w:w="9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173,343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158,545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14,798</w:t>
            </w:r>
          </w:p>
        </w:tc>
        <w:tc>
          <w:tcPr>
            <w:tcW w:w="960" w:type="dxa"/>
            <w:vAlign w:val="bottom"/>
            <w:gridSpan w:val="2"/>
            <w:vMerge w:val="restart"/>
          </w:tcPr>
          <w:p>
            <w:pPr>
              <w:jc w:val="center"/>
              <w:ind w:left="39"/>
              <w:spacing w:after="0"/>
              <w:rPr>
                <w:sz w:val="20"/>
                <w:szCs w:val="20"/>
                <w:color w:val="auto"/>
              </w:rPr>
            </w:pPr>
            <w:r>
              <w:rPr>
                <w:rFonts w:ascii="Times New Roman" w:cs="Times New Roman" w:eastAsia="Times New Roman" w:hAnsi="Times New Roman"/>
                <w:sz w:val="16"/>
                <w:szCs w:val="16"/>
                <w:color w:val="auto"/>
                <w:w w:val="99"/>
              </w:rPr>
              <w:t>9.3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490,618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476,550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14,068</w:t>
            </w:r>
          </w:p>
        </w:tc>
        <w:tc>
          <w:tcPr>
            <w:tcW w:w="980" w:type="dxa"/>
            <w:vAlign w:val="bottom"/>
            <w:gridSpan w:val="2"/>
            <w:vMerge w:val="restart"/>
          </w:tcPr>
          <w:p>
            <w:pPr>
              <w:jc w:val="center"/>
              <w:ind w:left="19"/>
              <w:spacing w:after="0"/>
              <w:rPr>
                <w:sz w:val="20"/>
                <w:szCs w:val="20"/>
                <w:color w:val="auto"/>
              </w:rPr>
            </w:pPr>
            <w:r>
              <w:rPr>
                <w:rFonts w:ascii="Times New Roman" w:cs="Times New Roman" w:eastAsia="Times New Roman" w:hAnsi="Times New Roman"/>
                <w:sz w:val="16"/>
                <w:szCs w:val="16"/>
                <w:color w:val="auto"/>
                <w:w w:val="99"/>
              </w:rPr>
              <w:t>3.0</w:t>
            </w:r>
          </w:p>
        </w:tc>
        <w:tc>
          <w:tcPr>
            <w:tcW w:w="0" w:type="dxa"/>
            <w:vAlign w:val="bottom"/>
          </w:tcPr>
          <w:p>
            <w:pPr>
              <w:spacing w:after="0"/>
              <w:rPr>
                <w:sz w:val="1"/>
                <w:szCs w:val="1"/>
                <w:color w:val="auto"/>
              </w:rPr>
            </w:pPr>
          </w:p>
        </w:tc>
      </w:tr>
      <w:tr>
        <w:trPr>
          <w:trHeight w:val="213"/>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20,610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18,458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2,152</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N/M</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47,570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35,021</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12,549</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23"/>
        </w:trPr>
        <w:tc>
          <w:tcPr>
            <w:tcW w:w="2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1,208,014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1,048,490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159,524</w:t>
            </w:r>
          </w:p>
        </w:tc>
        <w:tc>
          <w:tcPr>
            <w:tcW w:w="960" w:type="dxa"/>
            <w:vAlign w:val="bottom"/>
            <w:tcBorders>
              <w:bottom w:val="single" w:sz="8" w:color="CCEEFF"/>
            </w:tcBorders>
            <w:gridSpan w:val="2"/>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9"/>
              </w:rPr>
              <w:t>15.2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3,348,359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3,103,871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244,488</w:t>
            </w:r>
          </w:p>
        </w:tc>
        <w:tc>
          <w:tcPr>
            <w:tcW w:w="980" w:type="dxa"/>
            <w:vAlign w:val="bottom"/>
            <w:tcBorders>
              <w:bottom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7.9</w:t>
            </w:r>
          </w:p>
        </w:tc>
        <w:tc>
          <w:tcPr>
            <w:tcW w:w="0" w:type="dxa"/>
            <w:vAlign w:val="bottom"/>
          </w:tcPr>
          <w:p>
            <w:pPr>
              <w:spacing w:after="0"/>
              <w:rPr>
                <w:sz w:val="1"/>
                <w:szCs w:val="1"/>
                <w:color w:val="auto"/>
              </w:rPr>
            </w:pPr>
          </w:p>
        </w:tc>
      </w:tr>
      <w:tr>
        <w:trPr>
          <w:trHeight w:val="158"/>
        </w:trPr>
        <w:tc>
          <w:tcPr>
            <w:tcW w:w="200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Selling, General &amp;</w:t>
            </w: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Administrative Expenses </w:t>
            </w:r>
            <w:r>
              <w:rPr>
                <w:rFonts w:ascii="Times New Roman" w:cs="Times New Roman" w:eastAsia="Times New Roman" w:hAnsi="Times New Roman"/>
                <w:sz w:val="21"/>
                <w:szCs w:val="21"/>
                <w:b w:val="1"/>
                <w:bCs w:val="1"/>
                <w:color w:val="auto"/>
                <w:vertAlign w:val="superscript"/>
              </w:rPr>
              <w:t>(3)</w:t>
            </w:r>
            <w:r>
              <w:rPr>
                <w:rFonts w:ascii="Times New Roman" w:cs="Times New Roman" w:eastAsia="Times New Roman" w:hAnsi="Times New Roman"/>
                <w:sz w:val="16"/>
                <w:szCs w:val="16"/>
                <w:b w:val="1"/>
                <w:bCs w:val="1"/>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Environmental Services</w:t>
            </w:r>
          </w:p>
        </w:tc>
        <w:tc>
          <w:tcPr>
            <w:tcW w:w="22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111,668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102,584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9,084</w:t>
            </w:r>
          </w:p>
        </w:tc>
        <w:tc>
          <w:tcPr>
            <w:tcW w:w="96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8.9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328,142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292,134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36,008</w:t>
            </w:r>
          </w:p>
        </w:tc>
        <w:tc>
          <w:tcPr>
            <w:tcW w:w="9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12.3</w:t>
            </w:r>
          </w:p>
        </w:tc>
        <w:tc>
          <w:tcPr>
            <w:tcW w:w="0" w:type="dxa"/>
            <w:vAlign w:val="bottom"/>
          </w:tcPr>
          <w:p>
            <w:pPr>
              <w:spacing w:after="0"/>
              <w:rPr>
                <w:sz w:val="1"/>
                <w:szCs w:val="1"/>
                <w:color w:val="auto"/>
              </w:rPr>
            </w:pPr>
          </w:p>
        </w:tc>
      </w:tr>
      <w:tr>
        <w:trPr>
          <w:trHeight w:val="179"/>
        </w:trPr>
        <w:tc>
          <w:tcPr>
            <w:tcW w:w="2000" w:type="dxa"/>
            <w:vAlign w:val="bottom"/>
            <w:shd w:val="clear" w:color="auto" w:fill="CCEEFF"/>
          </w:tcPr>
          <w:p>
            <w:pPr>
              <w:ind w:left="140"/>
              <w:spacing w:after="0" w:line="178" w:lineRule="exact"/>
              <w:rPr>
                <w:sz w:val="20"/>
                <w:szCs w:val="20"/>
                <w:color w:val="auto"/>
              </w:rPr>
            </w:pPr>
            <w:r>
              <w:rPr>
                <w:rFonts w:ascii="Times New Roman" w:cs="Times New Roman" w:eastAsia="Times New Roman" w:hAnsi="Times New Roman"/>
                <w:sz w:val="16"/>
                <w:szCs w:val="16"/>
                <w:color w:val="auto"/>
              </w:rPr>
              <w:t>Safety-Kleen Sustainability</w:t>
            </w: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18,503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18,555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w:t>
            </w:r>
          </w:p>
        </w:tc>
        <w:tc>
          <w:tcPr>
            <w:tcW w:w="960" w:type="dxa"/>
            <w:vAlign w:val="bottom"/>
            <w:gridSpan w:val="2"/>
            <w:vMerge w:val="restart"/>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60,707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54,455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6,252</w:t>
            </w:r>
          </w:p>
        </w:tc>
        <w:tc>
          <w:tcPr>
            <w:tcW w:w="980" w:type="dxa"/>
            <w:vAlign w:val="bottom"/>
            <w:gridSpan w:val="2"/>
            <w:vMerge w:val="restart"/>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11.5</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2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Corporate</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75,176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59,549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15,627</w:t>
            </w:r>
          </w:p>
        </w:tc>
        <w:tc>
          <w:tcPr>
            <w:tcW w:w="960" w:type="dxa"/>
            <w:vAlign w:val="bottom"/>
            <w:tcBorders>
              <w:bottom w:val="single" w:sz="8" w:color="CCEEFF"/>
            </w:tcBorders>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26.2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213,817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189,431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24,386</w:t>
            </w:r>
          </w:p>
        </w:tc>
        <w:tc>
          <w:tcPr>
            <w:tcW w:w="980" w:type="dxa"/>
            <w:vAlign w:val="bottom"/>
            <w:tcBorders>
              <w:bottom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12.9</w:t>
            </w:r>
          </w:p>
        </w:tc>
        <w:tc>
          <w:tcPr>
            <w:tcW w:w="0" w:type="dxa"/>
            <w:vAlign w:val="bottom"/>
          </w:tcPr>
          <w:p>
            <w:pPr>
              <w:spacing w:after="0"/>
              <w:rPr>
                <w:sz w:val="1"/>
                <w:szCs w:val="1"/>
                <w:color w:val="auto"/>
              </w:rPr>
            </w:pPr>
          </w:p>
        </w:tc>
      </w:tr>
      <w:tr>
        <w:trPr>
          <w:trHeight w:val="226"/>
        </w:trPr>
        <w:tc>
          <w:tcPr>
            <w:tcW w:w="2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205,347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180,688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24,659</w:t>
            </w:r>
          </w:p>
        </w:tc>
        <w:tc>
          <w:tcPr>
            <w:tcW w:w="96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9"/>
              </w:rPr>
              <w:t>13.6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602,666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536,020</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66,646</w:t>
            </w:r>
          </w:p>
        </w:tc>
        <w:tc>
          <w:tcPr>
            <w:tcW w:w="9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12.4</w:t>
            </w:r>
          </w:p>
        </w:tc>
        <w:tc>
          <w:tcPr>
            <w:tcW w:w="0" w:type="dxa"/>
            <w:vAlign w:val="bottom"/>
          </w:tcPr>
          <w:p>
            <w:pPr>
              <w:spacing w:after="0"/>
              <w:rPr>
                <w:sz w:val="1"/>
                <w:szCs w:val="1"/>
                <w:color w:val="auto"/>
              </w:rPr>
            </w:pPr>
          </w:p>
        </w:tc>
      </w:tr>
      <w:tr>
        <w:trPr>
          <w:trHeight w:val="206"/>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Environmental Services</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425,392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357,229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68,163</w:t>
            </w:r>
          </w:p>
        </w:tc>
        <w:tc>
          <w:tcPr>
            <w:tcW w:w="96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19.1</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1,121,897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1,008,014</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113,883</w:t>
            </w:r>
          </w:p>
        </w:tc>
        <w:tc>
          <w:tcPr>
            <w:tcW w:w="9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11.3</w:t>
            </w:r>
          </w:p>
        </w:tc>
        <w:tc>
          <w:tcPr>
            <w:tcW w:w="0" w:type="dxa"/>
            <w:vAlign w:val="bottom"/>
          </w:tcPr>
          <w:p>
            <w:pPr>
              <w:spacing w:after="0"/>
              <w:rPr>
                <w:sz w:val="1"/>
                <w:szCs w:val="1"/>
                <w:color w:val="auto"/>
              </w:rPr>
            </w:pPr>
          </w:p>
        </w:tc>
      </w:tr>
      <w:tr>
        <w:trPr>
          <w:trHeight w:val="175"/>
        </w:trPr>
        <w:tc>
          <w:tcPr>
            <w:tcW w:w="2000" w:type="dxa"/>
            <w:vAlign w:val="bottom"/>
          </w:tcPr>
          <w:p>
            <w:pPr>
              <w:ind w:left="140"/>
              <w:spacing w:after="0" w:line="175" w:lineRule="exact"/>
              <w:rPr>
                <w:sz w:val="20"/>
                <w:szCs w:val="20"/>
                <w:color w:val="auto"/>
              </w:rPr>
            </w:pPr>
            <w:r>
              <w:rPr>
                <w:rFonts w:ascii="Times New Roman" w:cs="Times New Roman" w:eastAsia="Times New Roman" w:hAnsi="Times New Roman"/>
                <w:sz w:val="16"/>
                <w:szCs w:val="16"/>
                <w:color w:val="auto"/>
              </w:rPr>
              <w:t>Safety-Kleen Sustainability</w:t>
            </w:r>
          </w:p>
        </w:tc>
        <w:tc>
          <w:tcPr>
            <w:tcW w:w="220" w:type="dxa"/>
            <w:vAlign w:val="bottom"/>
          </w:tcPr>
          <w:p>
            <w:pPr>
              <w:spacing w:after="0"/>
              <w:rPr>
                <w:sz w:val="15"/>
                <w:szCs w:val="15"/>
                <w:color w:val="auto"/>
              </w:rPr>
            </w:pPr>
          </w:p>
        </w:tc>
        <w:tc>
          <w:tcPr>
            <w:tcW w:w="9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126,482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40,937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85,545</w:t>
            </w:r>
          </w:p>
        </w:tc>
        <w:tc>
          <w:tcPr>
            <w:tcW w:w="960" w:type="dxa"/>
            <w:vAlign w:val="bottom"/>
            <w:gridSpan w:val="2"/>
            <w:vMerge w:val="restart"/>
          </w:tcPr>
          <w:p>
            <w:pPr>
              <w:jc w:val="center"/>
              <w:ind w:left="39"/>
              <w:spacing w:after="0"/>
              <w:rPr>
                <w:sz w:val="20"/>
                <w:szCs w:val="20"/>
                <w:color w:val="auto"/>
              </w:rPr>
            </w:pPr>
            <w:r>
              <w:rPr>
                <w:rFonts w:ascii="Times New Roman" w:cs="Times New Roman" w:eastAsia="Times New Roman" w:hAnsi="Times New Roman"/>
                <w:sz w:val="16"/>
                <w:szCs w:val="16"/>
                <w:color w:val="auto"/>
                <w:w w:val="99"/>
              </w:rPr>
              <w:t>209.0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252,456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107,502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144,954</w:t>
            </w:r>
          </w:p>
        </w:tc>
        <w:tc>
          <w:tcPr>
            <w:tcW w:w="980" w:type="dxa"/>
            <w:vAlign w:val="bottom"/>
            <w:gridSpan w:val="2"/>
            <w:vMerge w:val="restart"/>
          </w:tcPr>
          <w:p>
            <w:pPr>
              <w:jc w:val="center"/>
              <w:ind w:left="19"/>
              <w:spacing w:after="0"/>
              <w:rPr>
                <w:sz w:val="20"/>
                <w:szCs w:val="20"/>
                <w:color w:val="auto"/>
              </w:rPr>
            </w:pPr>
            <w:r>
              <w:rPr>
                <w:rFonts w:ascii="Times New Roman" w:cs="Times New Roman" w:eastAsia="Times New Roman" w:hAnsi="Times New Roman"/>
                <w:sz w:val="16"/>
                <w:szCs w:val="16"/>
                <w:color w:val="auto"/>
                <w:w w:val="99"/>
              </w:rPr>
              <w:t>134.8</w:t>
            </w:r>
          </w:p>
        </w:tc>
        <w:tc>
          <w:tcPr>
            <w:tcW w:w="0" w:type="dxa"/>
            <w:vAlign w:val="bottom"/>
          </w:tcPr>
          <w:p>
            <w:pPr>
              <w:spacing w:after="0"/>
              <w:rPr>
                <w:sz w:val="1"/>
                <w:szCs w:val="1"/>
                <w:color w:val="auto"/>
              </w:rPr>
            </w:pPr>
          </w:p>
        </w:tc>
      </w:tr>
      <w:tr>
        <w:trPr>
          <w:trHeight w:val="213"/>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(95,786)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(78,007)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(17,779)</w:t>
            </w:r>
          </w:p>
        </w:tc>
        <w:tc>
          <w:tcPr>
            <w:tcW w:w="96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(22.8)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(261,387)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(224,266)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(37,121)</w:t>
            </w:r>
          </w:p>
        </w:tc>
        <w:tc>
          <w:tcPr>
            <w:tcW w:w="9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(16.6)</w:t>
            </w:r>
          </w:p>
        </w:tc>
        <w:tc>
          <w:tcPr>
            <w:tcW w:w="0" w:type="dxa"/>
            <w:vAlign w:val="bottom"/>
          </w:tcPr>
          <w:p>
            <w:pPr>
              <w:spacing w:after="0"/>
              <w:rPr>
                <w:sz w:val="1"/>
                <w:szCs w:val="1"/>
                <w:color w:val="auto"/>
              </w:rPr>
            </w:pPr>
          </w:p>
        </w:tc>
      </w:tr>
      <w:tr>
        <w:trPr>
          <w:trHeight w:val="223"/>
        </w:trPr>
        <w:tc>
          <w:tcPr>
            <w:tcW w:w="2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456,088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320,159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135,929</w:t>
            </w:r>
          </w:p>
        </w:tc>
        <w:tc>
          <w:tcPr>
            <w:tcW w:w="960" w:type="dxa"/>
            <w:vAlign w:val="bottom"/>
            <w:tcBorders>
              <w:bottom w:val="single" w:sz="8" w:color="CCEEFF"/>
            </w:tcBorders>
            <w:gridSpan w:val="2"/>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9"/>
              </w:rPr>
              <w:t>42.5%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1,112,966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891,250</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221,716</w:t>
            </w:r>
          </w:p>
        </w:tc>
        <w:tc>
          <w:tcPr>
            <w:tcW w:w="980" w:type="dxa"/>
            <w:vAlign w:val="bottom"/>
            <w:tcBorders>
              <w:bottom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24.9%</w:t>
            </w:r>
          </w:p>
        </w:tc>
        <w:tc>
          <w:tcPr>
            <w:tcW w:w="0" w:type="dxa"/>
            <w:vAlign w:val="bottom"/>
          </w:tcPr>
          <w:p>
            <w:pPr>
              <w:spacing w:after="0"/>
              <w:rPr>
                <w:sz w:val="1"/>
                <w:szCs w:val="1"/>
                <w:color w:val="auto"/>
              </w:rPr>
            </w:pPr>
          </w:p>
        </w:tc>
      </w:tr>
      <w:tr>
        <w:trPr>
          <w:trHeight w:val="159"/>
        </w:trPr>
        <w:tc>
          <w:tcPr>
            <w:tcW w:w="200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Adjusted EBITDA as a %</w:t>
            </w: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of Direct Revenues: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00" w:type="dxa"/>
            <w:vAlign w:val="bottom"/>
          </w:tcPr>
          <w:p>
            <w:pPr>
              <w:ind w:left="140"/>
              <w:spacing w:after="0" w:line="230" w:lineRule="exact"/>
              <w:rPr>
                <w:sz w:val="20"/>
                <w:szCs w:val="20"/>
                <w:color w:val="auto"/>
              </w:rPr>
            </w:pPr>
            <w:r>
              <w:rPr>
                <w:rFonts w:ascii="Times New Roman" w:cs="Times New Roman" w:eastAsia="Times New Roman" w:hAnsi="Times New Roman"/>
                <w:sz w:val="16"/>
                <w:szCs w:val="16"/>
                <w:color w:val="auto"/>
              </w:rPr>
              <w:t xml:space="preserve">Environmental Services </w:t>
            </w:r>
            <w:r>
              <w:rPr>
                <w:rFonts w:ascii="Times New Roman" w:cs="Times New Roman" w:eastAsia="Times New Roman" w:hAnsi="Times New Roman"/>
                <w:sz w:val="21"/>
                <w:szCs w:val="21"/>
                <w:color w:val="auto"/>
                <w:vertAlign w:val="superscript"/>
              </w:rPr>
              <w:t>(4)</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00" w:type="dxa"/>
            <w:vAlign w:val="bottom"/>
            <w:shd w:val="clear" w:color="auto" w:fill="CCEEFF"/>
          </w:tcPr>
          <w:p>
            <w:pPr>
              <w:ind w:left="140"/>
              <w:spacing w:after="0" w:line="175" w:lineRule="exact"/>
              <w:rPr>
                <w:sz w:val="20"/>
                <w:szCs w:val="20"/>
                <w:color w:val="auto"/>
              </w:rPr>
            </w:pPr>
            <w:r>
              <w:rPr>
                <w:rFonts w:ascii="Times New Roman" w:cs="Times New Roman" w:eastAsia="Times New Roman" w:hAnsi="Times New Roman"/>
                <w:sz w:val="16"/>
                <w:szCs w:val="16"/>
                <w:color w:val="auto"/>
              </w:rPr>
              <w:t>Safety-Kleen Sustainability</w:t>
            </w: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18.8 %</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20.9 %</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16.8 %</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14.6 %</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Solutions </w:t>
            </w:r>
            <w:r>
              <w:rPr>
                <w:rFonts w:ascii="Times New Roman" w:cs="Times New Roman" w:eastAsia="Times New Roman" w:hAnsi="Times New Roman"/>
                <w:sz w:val="21"/>
                <w:szCs w:val="21"/>
                <w:color w:val="auto"/>
                <w:vertAlign w:val="superscript"/>
              </w:rPr>
              <w:t>(4)</w:t>
            </w:r>
          </w:p>
        </w:tc>
        <w:tc>
          <w:tcPr>
            <w:tcW w:w="2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tcPr>
          <w:p>
            <w:pPr>
              <w:ind w:left="140"/>
              <w:spacing w:after="0" w:line="230" w:lineRule="exact"/>
              <w:rPr>
                <w:sz w:val="20"/>
                <w:szCs w:val="20"/>
                <w:color w:val="auto"/>
              </w:rPr>
            </w:pPr>
            <w:r>
              <w:rPr>
                <w:rFonts w:ascii="Times New Roman" w:cs="Times New Roman" w:eastAsia="Times New Roman" w:hAnsi="Times New Roman"/>
                <w:sz w:val="16"/>
                <w:szCs w:val="16"/>
                <w:color w:val="auto"/>
              </w:rPr>
              <w:t xml:space="preserve">Corporate </w:t>
            </w:r>
            <w:r>
              <w:rPr>
                <w:rFonts w:ascii="Times New Roman" w:cs="Times New Roman" w:eastAsia="Times New Roman" w:hAnsi="Times New Roman"/>
                <w:sz w:val="21"/>
                <w:szCs w:val="21"/>
                <w:color w:val="auto"/>
                <w:vertAlign w:val="superscript"/>
              </w:rPr>
              <w:t>(5)</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3.7 %</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19.7 %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2.3 %</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18" w:lineRule="exact"/>
        <w:rPr>
          <w:sz w:val="20"/>
          <w:szCs w:val="20"/>
          <w:color w:val="auto"/>
        </w:rPr>
      </w:pPr>
    </w:p>
    <w:p>
      <w:pPr>
        <w:ind w:left="640" w:hanging="308"/>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revenues are revenues allocated to the segment performing the provided service or selling the product.</w:t>
      </w:r>
    </w:p>
    <w:p>
      <w:pPr>
        <w:spacing w:after="0" w:line="9" w:lineRule="exact"/>
        <w:rPr>
          <w:rFonts w:ascii="Times New Roman" w:cs="Times New Roman" w:eastAsia="Times New Roman" w:hAnsi="Times New Roman"/>
          <w:sz w:val="18"/>
          <w:szCs w:val="18"/>
          <w:color w:val="auto"/>
        </w:rPr>
      </w:pPr>
    </w:p>
    <w:p>
      <w:pPr>
        <w:ind w:left="660" w:right="620" w:hanging="328"/>
        <w:spacing w:after="0" w:line="250" w:lineRule="auto"/>
        <w:tabs>
          <w:tab w:leader="none" w:pos="6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revenues is shown exclusive of (i) accretion of environmental liabilities and (ii) depreciation and amortization which are presented separately on the Consolidated Statements of Operations.</w:t>
      </w:r>
    </w:p>
    <w:p>
      <w:pPr>
        <w:ind w:left="660" w:right="160" w:hanging="328"/>
        <w:spacing w:after="0" w:line="250" w:lineRule="auto"/>
        <w:tabs>
          <w:tab w:leader="none" w:pos="6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Selling, general and administrative or SG&amp;A expenses are shown exclusive of stock-based compensation, which is presented in SG&amp;A expenses on our Consolidated Statements of Operations, but are not included in our measurement of Adjusted EBITDA. See </w:t>
      </w:r>
      <w:r>
        <w:rPr>
          <w:rFonts w:ascii="Times New Roman" w:cs="Times New Roman" w:eastAsia="Times New Roman" w:hAnsi="Times New Roman"/>
          <w:sz w:val="18"/>
          <w:szCs w:val="18"/>
          <w:b w:val="1"/>
          <w:bCs w:val="1"/>
          <w:i w:val="1"/>
          <w:iCs w:val="1"/>
          <w:color w:val="auto"/>
        </w:rPr>
        <w:t>Adjusted EBITDA</w:t>
      </w:r>
      <w:r>
        <w:rPr>
          <w:rFonts w:ascii="Times New Roman" w:cs="Times New Roman" w:eastAsia="Times New Roman" w:hAnsi="Times New Roman"/>
          <w:sz w:val="18"/>
          <w:szCs w:val="18"/>
          <w:color w:val="auto"/>
        </w:rPr>
        <w:t xml:space="preserve"> section below for a reconciliation of net income to Adjusted EBITDA.</w:t>
      </w:r>
    </w:p>
    <w:p>
      <w:pPr>
        <w:spacing w:after="0" w:line="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a percentage of individual segment direct revenues.</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a percentage of our total direct revenues.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Revenues</w:t>
      </w:r>
    </w:p>
    <w:p>
      <w:pPr>
        <w:spacing w:after="0" w:line="16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There are many factors that can impact our revenues including, but not limited to, macroeconomic conditions; overall levels of industrial activity and economic growth in North America; competitive industry pricing; commodity pricing; overall market incineration capacity, including captive incineration closures; changes in the regulatory environment, including those related to per- and polyfluoroalkyl substances, or PFAS; impacts of acquisitions and divestitures; the level of emergency response services; government infrastructure investment; reshoring of domestic manufacturing; existence or non-existence of large-scale environmental waste and remediation projects and the related project pipeline; weather-related events; the number of parts washers placed at customer sites; miles driven and related lubricant demand; base and blended oil pricing; market supply for base oil products; market changes relative to the collection of used oil; and foreign currency fluctuations. In addition, customer efforts to minimize hazardous waste and changes in regulations can impact our revenues.</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Environmental Services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4"/>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4"/>
          </w:tcPr>
          <w:p>
            <w:pPr>
              <w:ind w:left="26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4"/>
          </w:tcPr>
          <w:p>
            <w:pPr>
              <w:ind w:left="5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0" w:type="dxa"/>
            <w:vAlign w:val="bottom"/>
            <w:gridSpan w:val="4"/>
          </w:tcPr>
          <w:p>
            <w:pPr>
              <w:ind w:left="440"/>
              <w:spacing w:after="0"/>
              <w:rPr>
                <w:sz w:val="20"/>
                <w:szCs w:val="20"/>
                <w:color w:val="auto"/>
              </w:rPr>
            </w:pPr>
            <w:r>
              <w:rPr>
                <w:rFonts w:ascii="Times New Roman" w:cs="Times New Roman" w:eastAsia="Times New Roman" w:hAnsi="Times New Roman"/>
                <w:sz w:val="16"/>
                <w:szCs w:val="16"/>
                <w:b w:val="1"/>
                <w:bCs w:val="1"/>
                <w:color w:val="auto"/>
              </w:rPr>
              <w:t>2026 over 2025</w:t>
            </w:r>
          </w:p>
        </w:tc>
        <w:tc>
          <w:tcPr>
            <w:tcW w:w="2300" w:type="dxa"/>
            <w:vAlign w:val="bottom"/>
            <w:gridSpan w:val="4"/>
          </w:tcPr>
          <w:p>
            <w:pPr>
              <w:ind w:left="6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920" w:type="dxa"/>
            <w:vAlign w:val="bottom"/>
            <w:gridSpan w:val="3"/>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2026 over 2025</w:t>
            </w:r>
          </w:p>
        </w:tc>
        <w:tc>
          <w:tcPr>
            <w:tcW w:w="0" w:type="dxa"/>
            <w:vAlign w:val="bottom"/>
          </w:tcPr>
          <w:p>
            <w:pPr>
              <w:spacing w:after="0"/>
              <w:rPr>
                <w:sz w:val="1"/>
                <w:szCs w:val="1"/>
                <w:color w:val="auto"/>
              </w:rPr>
            </w:pPr>
          </w:p>
        </w:tc>
      </w:tr>
      <w:tr>
        <w:trPr>
          <w:trHeight w:val="172"/>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120" w:type="dxa"/>
            <w:vAlign w:val="bottom"/>
            <w:vMerge w:val="restart"/>
          </w:tcPr>
          <w:p>
            <w:pPr>
              <w:spacing w:after="0"/>
              <w:rPr>
                <w:sz w:val="14"/>
                <w:szCs w:val="14"/>
                <w:color w:val="auto"/>
              </w:rPr>
            </w:pPr>
          </w:p>
        </w:tc>
        <w:tc>
          <w:tcPr>
            <w:tcW w:w="1020" w:type="dxa"/>
            <w:vAlign w:val="bottom"/>
            <w:tcBorders>
              <w:top w:val="single" w:sz="8" w:color="auto"/>
            </w:tcBorders>
            <w:vMerge w:val="restart"/>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vMerge w:val="restart"/>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4"/>
                <w:szCs w:val="14"/>
                <w:color w:val="auto"/>
              </w:rPr>
            </w:pPr>
          </w:p>
        </w:tc>
        <w:tc>
          <w:tcPr>
            <w:tcW w:w="920" w:type="dxa"/>
            <w:vAlign w:val="bottom"/>
            <w:tcBorders>
              <w:top w:val="single" w:sz="8" w:color="auto"/>
            </w:tcBorders>
            <w:vMerge w:val="restart"/>
          </w:tcPr>
          <w:p>
            <w:pPr>
              <w:jc w:val="right"/>
              <w:ind w:right="116"/>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top w:val="single" w:sz="8" w:color="auto"/>
            </w:tcBorders>
            <w:vMerge w:val="restart"/>
          </w:tcPr>
          <w:p>
            <w:pPr>
              <w:spacing w:after="0"/>
              <w:rPr>
                <w:sz w:val="14"/>
                <w:szCs w:val="14"/>
                <w:color w:val="auto"/>
              </w:rPr>
            </w:pPr>
          </w:p>
        </w:tc>
        <w:tc>
          <w:tcPr>
            <w:tcW w:w="880" w:type="dxa"/>
            <w:vAlign w:val="bottom"/>
            <w:tcBorders>
              <w:top w:val="single" w:sz="8" w:color="auto"/>
            </w:tcBorders>
          </w:tcPr>
          <w:p>
            <w:pPr>
              <w:ind w:left="340"/>
              <w:spacing w:after="0" w:line="172"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4"/>
                <w:szCs w:val="14"/>
                <w:color w:val="auto"/>
              </w:rPr>
            </w:pPr>
          </w:p>
        </w:tc>
        <w:tc>
          <w:tcPr>
            <w:tcW w:w="1040" w:type="dxa"/>
            <w:vAlign w:val="bottom"/>
            <w:tcBorders>
              <w:top w:val="single" w:sz="8" w:color="auto"/>
            </w:tcBorders>
            <w:vMerge w:val="restart"/>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vMerge w:val="restart"/>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4"/>
                <w:szCs w:val="14"/>
                <w:color w:val="auto"/>
              </w:rPr>
            </w:pPr>
          </w:p>
        </w:tc>
        <w:tc>
          <w:tcPr>
            <w:tcW w:w="940" w:type="dxa"/>
            <w:vAlign w:val="bottom"/>
            <w:tcBorders>
              <w:top w:val="single" w:sz="8" w:color="auto"/>
            </w:tcBorders>
            <w:vMerge w:val="restart"/>
          </w:tcPr>
          <w:p>
            <w:pPr>
              <w:jc w:val="right"/>
              <w:ind w:right="116"/>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top w:val="single" w:sz="8" w:color="auto"/>
            </w:tcBorders>
            <w:vMerge w:val="restart"/>
          </w:tcPr>
          <w:p>
            <w:pPr>
              <w:spacing w:after="0"/>
              <w:rPr>
                <w:sz w:val="14"/>
                <w:szCs w:val="14"/>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6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1,551,121</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1,331,300</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219,821</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16.5 %</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4,260,210</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3,892,448</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367,762</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Environmental Services direct revenues for the three months ended September 30, 2026 increased $219.8 million from the comparable period in 2025. Field and Emergency Response Services revenues increased $168.9 million for the three months ended September 30, 2026 from the comparable period in 2025, driven by incremental revenues from emergency response projects including a large-scale emergency response event that occurred during the period that contributed approximately $120 million of revenues. Revenues from Safety-Kleen core service offerings for the three months ended September 30, 2026 grew by $29.9 million from the comparable period in 2025 due to greater volumes and pricing of our containerized waste, vacuum and parts washer services. Technical Services revenues increased $16.5 million during the three months ended September 30, 2026 driven by higher pricing, including fuel surcharges, and overall greater waste volumes handled. Utilization at our incinerators was 87% in the three months ended September 30, 2026, as compared to 88% in the same period in 2025. Revenues from Industrial Services increased $4.6 million during the three months ended September 30, 2026.</w:t>
      </w:r>
    </w:p>
    <w:p>
      <w:pPr>
        <w:spacing w:after="0" w:line="12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Environmental Services direct revenues for the nine months ended September 30, 2026 increased $367.8 million from the comparable period in 2025. Field and Emergency Response Services revenues increased $189.7 million for the nine months ended September 30, 2026 from the comparable period in 2025 driven by incremental revenues from emergency response projects during the first nine months of 2026 including two large-scale emergency response events. Technical Services revenues for the nine months ended September 30, 2026 increased $120.8 million from the comparable period in the prior year. A PFAS-related filtration project, primarily in the second quarter, contributed over $40 million in revenues during the nine months ended September 30, 2026. The remaining increase in Technical Services revenues was attributable to incremental revenues from pricing, including fuel surcharges, increased volumes handled and additional PFAS-related work. Utilization at our incinerators was 86% in the first nine months of 2026 as compared to 85% in the same period in 2025. Revenues from Safety-Kleen core service offerings for the nine months ended September 30, 2026 grew by $77.0 million from the comparable period in 2025 due to greater volumes and pricing of our containerized waste, vacuum and parts washer services. Partially offsetting the broad revenue growth across the Environmental Services segment was a $17.7 million decrease in Industrial Services revenues, driven by lower demand for industrial maintenance and turnaround services as compared to 2025, with the impact concentrated largely in the first quarter of 2026.</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Safety-Kleen Sustainability Solutions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6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2026 over 2025</w:t>
            </w:r>
          </w:p>
        </w:tc>
        <w:tc>
          <w:tcPr>
            <w:tcW w:w="204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920" w:type="dxa"/>
            <w:vAlign w:val="bottom"/>
            <w:gridSpan w:val="3"/>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2026 over 2025</w:t>
            </w:r>
          </w:p>
        </w:tc>
        <w:tc>
          <w:tcPr>
            <w:tcW w:w="0" w:type="dxa"/>
            <w:vAlign w:val="bottom"/>
          </w:tcPr>
          <w:p>
            <w:pPr>
              <w:spacing w:after="0"/>
              <w:rPr>
                <w:sz w:val="1"/>
                <w:szCs w:val="1"/>
                <w:color w:val="auto"/>
              </w:rPr>
            </w:pPr>
          </w:p>
        </w:tc>
      </w:tr>
      <w:tr>
        <w:trPr>
          <w:trHeight w:val="172"/>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100" w:type="dxa"/>
            <w:vAlign w:val="bottom"/>
            <w:vMerge w:val="restart"/>
          </w:tcPr>
          <w:p>
            <w:pPr>
              <w:spacing w:after="0"/>
              <w:rPr>
                <w:sz w:val="14"/>
                <w:szCs w:val="14"/>
                <w:color w:val="auto"/>
              </w:rPr>
            </w:pPr>
          </w:p>
        </w:tc>
        <w:tc>
          <w:tcPr>
            <w:tcW w:w="1020" w:type="dxa"/>
            <w:vAlign w:val="bottom"/>
            <w:tcBorders>
              <w:top w:val="single" w:sz="8" w:color="auto"/>
            </w:tcBorders>
            <w:vMerge w:val="restart"/>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4"/>
                <w:szCs w:val="14"/>
                <w:color w:val="auto"/>
              </w:rPr>
            </w:pPr>
          </w:p>
        </w:tc>
        <w:tc>
          <w:tcPr>
            <w:tcW w:w="940" w:type="dxa"/>
            <w:vAlign w:val="bottom"/>
            <w:tcBorders>
              <w:top w:val="single" w:sz="8" w:color="auto"/>
            </w:tcBorders>
            <w:vMerge w:val="restart"/>
          </w:tcPr>
          <w:p>
            <w:pPr>
              <w:jc w:val="right"/>
              <w:ind w:right="116"/>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top w:val="single" w:sz="8" w:color="auto"/>
            </w:tcBorders>
            <w:vMerge w:val="restart"/>
          </w:tcPr>
          <w:p>
            <w:pPr>
              <w:spacing w:after="0"/>
              <w:rPr>
                <w:sz w:val="14"/>
                <w:szCs w:val="14"/>
                <w:color w:val="auto"/>
              </w:rPr>
            </w:pPr>
          </w:p>
        </w:tc>
        <w:tc>
          <w:tcPr>
            <w:tcW w:w="880" w:type="dxa"/>
            <w:vAlign w:val="bottom"/>
            <w:tcBorders>
              <w:top w:val="single" w:sz="8" w:color="auto"/>
            </w:tcBorders>
          </w:tcPr>
          <w:p>
            <w:pPr>
              <w:ind w:left="340"/>
              <w:spacing w:after="0" w:line="172"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4"/>
                <w:szCs w:val="14"/>
                <w:color w:val="auto"/>
              </w:rPr>
            </w:pPr>
          </w:p>
        </w:tc>
        <w:tc>
          <w:tcPr>
            <w:tcW w:w="940" w:type="dxa"/>
            <w:vAlign w:val="bottom"/>
            <w:tcBorders>
              <w:top w:val="single" w:sz="8" w:color="auto"/>
            </w:tcBorders>
            <w:vMerge w:val="restart"/>
          </w:tcPr>
          <w:p>
            <w:pPr>
              <w:jc w:val="right"/>
              <w:ind w:right="116"/>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top w:val="single" w:sz="8" w:color="auto"/>
            </w:tcBorders>
            <w:vMerge w:val="restart"/>
          </w:tcPr>
          <w:p>
            <w:pPr>
              <w:spacing w:after="0"/>
              <w:rPr>
                <w:sz w:val="14"/>
                <w:szCs w:val="14"/>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318,328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218,037</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100,291</w:t>
            </w:r>
          </w:p>
        </w:tc>
        <w:tc>
          <w:tcPr>
            <w:tcW w:w="10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46.0 %  $</w:t>
            </w:r>
          </w:p>
        </w:tc>
        <w:tc>
          <w:tcPr>
            <w:tcW w:w="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803,781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638,507</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165,274</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In the three months ended September 30, 2026, SKSS direct revenues increased $100.3 million compared to the same period in 2025, primarily due to higher market pricing of oil-based products, which drove a $75.2 million and $15.2 million increase in base and blended oil products, respectively. Revenues from the sale of vacuum gas oil and specialty refinery products increased $6.3 million compared to the same period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In the nine months ended September 30, 2026, SKSS direct revenues increased $165.3 million compared to the same period in 2025 reflecting higher market pricing of oil-based products. Revenues from the sale of base and blended oil products increased $103.1 million and $22.0 million, respectively, due to this higher pricing as compared to the prior year period. Revenues from used oil collection services increased $24.4 million from the prior year period, attributable to higher pricing for these waste oil collection services. Additionally, revenue from the sale of vacuum gas oil and specialty refinery products increased $10.8 million from the same period in 2025.</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4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believe disciplined management of operating costs is vital to our ability to remain price competitive. We experience cost pressures across several categories, most notably internal and external labor and benefits, self-insurance claims costs, transportation, maintenance, fuel and other energy-related costs. In addition, we are subject to uncertainty and potential cost increases arising from evolving regulatory and macroeconomic conditions. We aim to offset these increases through continuous cost management and operational efficiency initiatives, including reducing employee turnover and strategically consolidating operations into regional hubs serving multiple business lines. Further, we manage customer pricing strategies which are designed to offset the inflationary impacts on our margins.</w:t>
      </w:r>
    </w:p>
    <w:p>
      <w:pPr>
        <w:spacing w:after="0" w:line="12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continue to upgrade the quality and efficiency of our services through the development or adoption of new technology, including through the increased use of artificial intelligence, and continued modifications and expansion at our facilities while also leveraging certain fixed costs of our operating infrastructure. We invest in new business opportunities and aggressively implement strategic sourcing and logistics solutions, while also continuing to retain and optimize our workforce and operating structure in an effort to manage our operating margins.</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Environmental Services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0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4"/>
          </w:tcPr>
          <w:p>
            <w:pPr>
              <w:ind w:left="7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20"/>
                <w:szCs w:val="20"/>
                <w:color w:val="auto"/>
              </w:rPr>
            </w:pPr>
          </w:p>
        </w:tc>
        <w:tc>
          <w:tcPr>
            <w:tcW w:w="224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2026 over 2025</w:t>
            </w:r>
          </w:p>
        </w:tc>
        <w:tc>
          <w:tcPr>
            <w:tcW w:w="2360" w:type="dxa"/>
            <w:vAlign w:val="bottom"/>
            <w:gridSpan w:val="4"/>
          </w:tcPr>
          <w:p>
            <w:pPr>
              <w:ind w:left="5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20"/>
                <w:szCs w:val="20"/>
                <w:color w:val="auto"/>
              </w:rPr>
            </w:pPr>
          </w:p>
        </w:tc>
        <w:tc>
          <w:tcPr>
            <w:tcW w:w="1940" w:type="dxa"/>
            <w:vAlign w:val="bottom"/>
            <w:gridSpan w:val="3"/>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2026 over 2025</w:t>
            </w:r>
          </w:p>
        </w:tc>
        <w:tc>
          <w:tcPr>
            <w:tcW w:w="0" w:type="dxa"/>
            <w:vAlign w:val="bottom"/>
          </w:tcPr>
          <w:p>
            <w:pPr>
              <w:spacing w:after="0"/>
              <w:rPr>
                <w:sz w:val="1"/>
                <w:szCs w:val="1"/>
                <w:color w:val="auto"/>
              </w:rPr>
            </w:pPr>
          </w:p>
        </w:tc>
      </w:tr>
      <w:tr>
        <w:trPr>
          <w:trHeight w:val="172"/>
        </w:trPr>
        <w:tc>
          <w:tcPr>
            <w:tcW w:w="1800" w:type="dxa"/>
            <w:vAlign w:val="bottom"/>
            <w:gridSpan w:val="2"/>
          </w:tcPr>
          <w:p>
            <w:pPr>
              <w:ind w:left="20"/>
              <w:spacing w:after="0" w:line="172" w:lineRule="exact"/>
              <w:rPr>
                <w:sz w:val="20"/>
                <w:szCs w:val="20"/>
                <w:color w:val="auto"/>
              </w:rPr>
            </w:pPr>
            <w:r>
              <w:rPr>
                <w:rFonts w:ascii="Times New Roman" w:cs="Times New Roman" w:eastAsia="Times New Roman" w:hAnsi="Times New Roman"/>
                <w:sz w:val="16"/>
                <w:szCs w:val="16"/>
                <w:color w:val="auto"/>
              </w:rPr>
              <w:t>(in thousands, except</w:t>
            </w:r>
          </w:p>
        </w:tc>
        <w:tc>
          <w:tcPr>
            <w:tcW w:w="1240" w:type="dxa"/>
            <w:vAlign w:val="bottom"/>
            <w:tcBorders>
              <w:top w:val="single" w:sz="8" w:color="auto"/>
            </w:tcBorders>
            <w:vMerge w:val="restart"/>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top w:val="single" w:sz="8" w:color="auto"/>
            </w:tcBorders>
            <w:vMerge w:val="restart"/>
          </w:tcPr>
          <w:p>
            <w:pPr>
              <w:spacing w:after="0"/>
              <w:rPr>
                <w:sz w:val="14"/>
                <w:szCs w:val="14"/>
                <w:color w:val="auto"/>
              </w:rPr>
            </w:pPr>
          </w:p>
        </w:tc>
        <w:tc>
          <w:tcPr>
            <w:tcW w:w="900" w:type="dxa"/>
            <w:vAlign w:val="bottom"/>
            <w:tcBorders>
              <w:top w:val="single" w:sz="8" w:color="auto"/>
            </w:tcBorders>
          </w:tcPr>
          <w:p>
            <w:pPr>
              <w:ind w:left="340"/>
              <w:spacing w:after="0" w:line="172"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vMerge w:val="restart"/>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2026</w:t>
            </w:r>
          </w:p>
        </w:tc>
        <w:tc>
          <w:tcPr>
            <w:tcW w:w="2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vMerge w:val="restart"/>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vMerge w:val="restart"/>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top w:val="single" w:sz="8" w:color="auto"/>
            </w:tcBorders>
            <w:vMerge w:val="restart"/>
          </w:tcPr>
          <w:p>
            <w:pPr>
              <w:spacing w:after="0"/>
              <w:rPr>
                <w:sz w:val="14"/>
                <w:szCs w:val="14"/>
                <w:color w:val="auto"/>
              </w:rPr>
            </w:pPr>
          </w:p>
        </w:tc>
        <w:tc>
          <w:tcPr>
            <w:tcW w:w="920" w:type="dxa"/>
            <w:vAlign w:val="bottom"/>
            <w:tcBorders>
              <w:top w:val="single" w:sz="8" w:color="auto"/>
            </w:tcBorders>
            <w:vMerge w:val="restart"/>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1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percentages)</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2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   1,014,061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871,487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142,574</w:t>
            </w:r>
          </w:p>
        </w:tc>
        <w:tc>
          <w:tcPr>
            <w:tcW w:w="12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16.4 %  $</w:t>
            </w:r>
          </w:p>
        </w:tc>
        <w:tc>
          <w:tcPr>
            <w:tcW w:w="10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2,810,171</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2,592,300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217,871</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0" w:type="dxa"/>
            <w:vAlign w:val="bottom"/>
          </w:tcPr>
          <w:p>
            <w:pPr>
              <w:spacing w:after="0"/>
              <w:rPr>
                <w:sz w:val="1"/>
                <w:szCs w:val="1"/>
                <w:color w:val="auto"/>
              </w:rPr>
            </w:pPr>
          </w:p>
        </w:tc>
      </w:tr>
      <w:tr>
        <w:trPr>
          <w:trHeight w:val="189"/>
        </w:trPr>
        <w:tc>
          <w:tcPr>
            <w:tcW w:w="18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As a % of Direct</w:t>
            </w: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65.4 %</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66.0 %</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Environmental Services cost of revenues for the three months ended September 30, 2026 increased $142.6 million from the comparable period in 2025, and was relatively flat as a percentage of revenues. Commensurate with the revenue growth in the business, including incremental costs due to the large-scale emergency response events discussed above, labor and benefit related costs increased $75.0 million and equipment and supply costs increased $33.2 million for the three months ended September 30, 2026 as compared to the same period in 2025. Due to higher market-based fuel pricing, transportation and fuel related costs increased $31.3 million during the three months ended September 30, 2026 compared to the same period in 2025.</w:t>
      </w:r>
    </w:p>
    <w:p>
      <w:pPr>
        <w:spacing w:after="0" w:line="116" w:lineRule="exact"/>
        <w:rPr>
          <w:sz w:val="20"/>
          <w:szCs w:val="20"/>
          <w:color w:val="auto"/>
        </w:rPr>
      </w:pPr>
    </w:p>
    <w:p>
      <w:pPr>
        <w:ind w:right="100" w:firstLine="648"/>
        <w:spacing w:after="0" w:line="274" w:lineRule="auto"/>
        <w:rPr>
          <w:sz w:val="20"/>
          <w:szCs w:val="20"/>
          <w:color w:val="auto"/>
        </w:rPr>
      </w:pPr>
      <w:r>
        <w:rPr>
          <w:rFonts w:ascii="Times New Roman" w:cs="Times New Roman" w:eastAsia="Times New Roman" w:hAnsi="Times New Roman"/>
          <w:sz w:val="17"/>
          <w:szCs w:val="17"/>
          <w:color w:val="auto"/>
        </w:rPr>
        <w:t>Environmental Services cost of revenues for the nine months ended September 30, 2026 increased $217.9 million from the comparable period in 2025, but were lower as a percentage of revenues. Commensurate with the revenue growth in the business, including incremental costs due to the large-scale emergency response events discussed above, labor and benefit related costs increased $101.3 million. Due to higher market-based fuel pricing, transportation and fuel-related costs increased $64.3 million during the nine months ended September 30, 2026 compared to the same period in 2025. Also commensurate with the revenue growth in the business, equipment and supply costs increased $53.3 million for the nine months ended September 30, 2026, as compared to the same period in 2025. Revenue growth outpaced cost of revenues growth for the nine-month period and gross margins increased.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Safety-Kleen Sustainability Solutions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0" w:type="dxa"/>
            <w:vAlign w:val="bottom"/>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20"/>
                <w:szCs w:val="20"/>
                <w:color w:val="auto"/>
              </w:rPr>
            </w:pPr>
          </w:p>
        </w:tc>
        <w:tc>
          <w:tcPr>
            <w:tcW w:w="216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2026 over 2025</w:t>
            </w:r>
          </w:p>
        </w:tc>
        <w:tc>
          <w:tcPr>
            <w:tcW w:w="222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20"/>
                <w:szCs w:val="20"/>
                <w:color w:val="auto"/>
              </w:rPr>
            </w:pPr>
          </w:p>
        </w:tc>
        <w:tc>
          <w:tcPr>
            <w:tcW w:w="180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2026 over 2025</w:t>
            </w:r>
          </w:p>
        </w:tc>
        <w:tc>
          <w:tcPr>
            <w:tcW w:w="0" w:type="dxa"/>
            <w:vAlign w:val="bottom"/>
          </w:tcPr>
          <w:p>
            <w:pPr>
              <w:spacing w:after="0"/>
              <w:rPr>
                <w:sz w:val="1"/>
                <w:szCs w:val="1"/>
                <w:color w:val="auto"/>
              </w:rPr>
            </w:pPr>
          </w:p>
        </w:tc>
      </w:tr>
      <w:tr>
        <w:trPr>
          <w:trHeight w:val="172"/>
        </w:trPr>
        <w:tc>
          <w:tcPr>
            <w:tcW w:w="2240" w:type="dxa"/>
            <w:vAlign w:val="bottom"/>
            <w:gridSpan w:val="2"/>
          </w:tcPr>
          <w:p>
            <w:pPr>
              <w:ind w:left="20"/>
              <w:spacing w:after="0" w:line="172" w:lineRule="exact"/>
              <w:rPr>
                <w:sz w:val="20"/>
                <w:szCs w:val="20"/>
                <w:color w:val="auto"/>
              </w:rPr>
            </w:pPr>
            <w:r>
              <w:rPr>
                <w:rFonts w:ascii="Times New Roman" w:cs="Times New Roman" w:eastAsia="Times New Roman" w:hAnsi="Times New Roman"/>
                <w:sz w:val="16"/>
                <w:szCs w:val="16"/>
                <w:color w:val="auto"/>
              </w:rPr>
              <w:t>(in thousands, except</w:t>
            </w: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top w:val="single" w:sz="8" w:color="auto"/>
            </w:tcBorders>
            <w:vMerge w:val="restart"/>
          </w:tcPr>
          <w:p>
            <w:pPr>
              <w:spacing w:after="0"/>
              <w:rPr>
                <w:sz w:val="14"/>
                <w:szCs w:val="14"/>
                <w:color w:val="auto"/>
              </w:rPr>
            </w:pPr>
          </w:p>
        </w:tc>
        <w:tc>
          <w:tcPr>
            <w:tcW w:w="840" w:type="dxa"/>
            <w:vAlign w:val="bottom"/>
            <w:tcBorders>
              <w:top w:val="single" w:sz="8" w:color="auto"/>
            </w:tcBorders>
          </w:tcPr>
          <w:p>
            <w:pPr>
              <w:jc w:val="right"/>
              <w:ind w:right="276"/>
              <w:spacing w:after="0" w:line="172"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top w:val="single" w:sz="8" w:color="auto"/>
            </w:tcBorders>
            <w:vMerge w:val="restart"/>
          </w:tcPr>
          <w:p>
            <w:pPr>
              <w:spacing w:after="0"/>
              <w:rPr>
                <w:sz w:val="14"/>
                <w:szCs w:val="14"/>
                <w:color w:val="auto"/>
              </w:rPr>
            </w:pP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percentages)</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173,343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158,545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14,798</w:t>
            </w:r>
          </w:p>
        </w:tc>
        <w:tc>
          <w:tcPr>
            <w:tcW w:w="10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9.3 %  $</w:t>
            </w:r>
          </w:p>
        </w:tc>
        <w:tc>
          <w:tcPr>
            <w:tcW w:w="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490,618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476,550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14,068</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43"/>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(13.6)%</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right="320" w:firstLine="648"/>
        <w:spacing w:after="0" w:line="261" w:lineRule="auto"/>
        <w:rPr>
          <w:sz w:val="20"/>
          <w:szCs w:val="20"/>
          <w:color w:val="auto"/>
        </w:rPr>
      </w:pPr>
      <w:r>
        <w:rPr>
          <w:rFonts w:ascii="Times New Roman" w:cs="Times New Roman" w:eastAsia="Times New Roman" w:hAnsi="Times New Roman"/>
          <w:sz w:val="18"/>
          <w:szCs w:val="18"/>
          <w:color w:val="auto"/>
        </w:rPr>
        <w:t>SKSS cost of revenues for the three months ended September 30, 2026 increased $14.8 million from the comparable period in 2025; however, these costs improved 18.2% as a percentage of revenues. The decrease in cost as a percentage of revenues was driven by the higher pricing for base and blended oil products discussed above. The overall dollar increase was primarily driven by increased transportation and fuel costs due to higher market-based fuel pricing.</w:t>
      </w:r>
    </w:p>
    <w:p>
      <w:pPr>
        <w:spacing w:after="0" w:line="11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SKSS cost of revenues for the nine months ended September 30, 2026 increased $14.1 million from the comparable period in 2025 and improved 13.6% as a percentage of revenues. The decrease as a percentage of revenues was primarily driven by the higher pricing for base and blended oil products discussed above and lower acquisition costs of used oil feedstock. The overall dollar increase was primarily driven by increased transportation and fuel costs due to higher market-based fuel pricing.</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62"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aim to manage our SG&amp;A expenses in line with the overall performance of our segments and corresponding revenue levels. Our goal is to achieve this through efficient use of labor resources, enhanced technology, including the increased use of artificial intelligence, process improvements and strategic expense management. Expanding our support functions globally has led to both profitability and productivity improvements. We believe our ability to properly align these costs with business performance is reflective of our strong management of the business and further promotes our ability to remain competitive in the marketplace.</w:t>
      </w:r>
    </w:p>
    <w:p>
      <w:pPr>
        <w:spacing w:after="0" w:line="116" w:lineRule="exact"/>
        <w:rPr>
          <w:sz w:val="20"/>
          <w:szCs w:val="20"/>
          <w:color w:val="auto"/>
        </w:rPr>
      </w:pPr>
    </w:p>
    <w:p>
      <w:pPr>
        <w:jc w:val="both"/>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SG&amp;A expenses set forth below exclude stock-based compensation expense, which is presented in SG&amp;A on our Consolidated Statement of Operations, but is not included in our measurement of Adjusted EBITDA.</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Environmental Services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2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20"/>
                <w:szCs w:val="20"/>
                <w:color w:val="auto"/>
              </w:rPr>
            </w:pPr>
          </w:p>
        </w:tc>
        <w:tc>
          <w:tcPr>
            <w:tcW w:w="212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2026 over 2025</w:t>
            </w:r>
          </w:p>
        </w:tc>
        <w:tc>
          <w:tcPr>
            <w:tcW w:w="224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20"/>
                <w:szCs w:val="20"/>
                <w:color w:val="auto"/>
              </w:rPr>
            </w:pPr>
          </w:p>
        </w:tc>
        <w:tc>
          <w:tcPr>
            <w:tcW w:w="1800" w:type="dxa"/>
            <w:vAlign w:val="bottom"/>
            <w:gridSpan w:val="3"/>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2026 over 2025</w:t>
            </w:r>
          </w:p>
        </w:tc>
        <w:tc>
          <w:tcPr>
            <w:tcW w:w="0" w:type="dxa"/>
            <w:vAlign w:val="bottom"/>
          </w:tcPr>
          <w:p>
            <w:pPr>
              <w:spacing w:after="0"/>
              <w:rPr>
                <w:sz w:val="1"/>
                <w:szCs w:val="1"/>
                <w:color w:val="auto"/>
              </w:rPr>
            </w:pPr>
          </w:p>
        </w:tc>
      </w:tr>
      <w:tr>
        <w:trPr>
          <w:trHeight w:val="172"/>
        </w:trPr>
        <w:tc>
          <w:tcPr>
            <w:tcW w:w="2280" w:type="dxa"/>
            <w:vAlign w:val="bottom"/>
            <w:gridSpan w:val="2"/>
          </w:tcPr>
          <w:p>
            <w:pPr>
              <w:ind w:left="20"/>
              <w:spacing w:after="0" w:line="172" w:lineRule="exact"/>
              <w:rPr>
                <w:sz w:val="20"/>
                <w:szCs w:val="20"/>
                <w:color w:val="auto"/>
              </w:rPr>
            </w:pPr>
            <w:r>
              <w:rPr>
                <w:rFonts w:ascii="Times New Roman" w:cs="Times New Roman" w:eastAsia="Times New Roman" w:hAnsi="Times New Roman"/>
                <w:sz w:val="16"/>
                <w:szCs w:val="16"/>
                <w:color w:val="auto"/>
              </w:rPr>
              <w:t>(in thousands, except</w:t>
            </w: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top w:val="single" w:sz="8" w:color="auto"/>
            </w:tcBorders>
            <w:vMerge w:val="restart"/>
          </w:tcPr>
          <w:p>
            <w:pPr>
              <w:spacing w:after="0"/>
              <w:rPr>
                <w:sz w:val="14"/>
                <w:szCs w:val="14"/>
                <w:color w:val="auto"/>
              </w:rPr>
            </w:pPr>
          </w:p>
        </w:tc>
        <w:tc>
          <w:tcPr>
            <w:tcW w:w="840" w:type="dxa"/>
            <w:vAlign w:val="bottom"/>
            <w:tcBorders>
              <w:top w:val="single" w:sz="8" w:color="auto"/>
            </w:tcBorders>
          </w:tcPr>
          <w:p>
            <w:pPr>
              <w:jc w:val="right"/>
              <w:ind w:right="276"/>
              <w:spacing w:after="0" w:line="172"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vMerge w:val="restart"/>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top w:val="single" w:sz="8" w:color="auto"/>
            </w:tcBorders>
            <w:vMerge w:val="restart"/>
          </w:tcPr>
          <w:p>
            <w:pPr>
              <w:spacing w:after="0"/>
              <w:rPr>
                <w:sz w:val="14"/>
                <w:szCs w:val="14"/>
                <w:color w:val="auto"/>
              </w:rPr>
            </w:pP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percentages)</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111,668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102,584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9,084</w:t>
            </w:r>
          </w:p>
        </w:tc>
        <w:tc>
          <w:tcPr>
            <w:tcW w:w="10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8.9 %  $</w:t>
            </w:r>
          </w:p>
        </w:tc>
        <w:tc>
          <w:tcPr>
            <w:tcW w:w="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328,142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292,134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36,008</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0" w:type="dxa"/>
            <w:vAlign w:val="bottom"/>
          </w:tcPr>
          <w:p>
            <w:pPr>
              <w:spacing w:after="0"/>
              <w:rPr>
                <w:sz w:val="1"/>
                <w:szCs w:val="1"/>
                <w:color w:val="auto"/>
              </w:rPr>
            </w:pPr>
          </w:p>
        </w:tc>
      </w:tr>
      <w:tr>
        <w:trPr>
          <w:trHeight w:val="243"/>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240" w:type="dxa"/>
            <w:vAlign w:val="bottom"/>
          </w:tcPr>
          <w:p>
            <w:pPr>
              <w:spacing w:after="0"/>
              <w:rPr>
                <w:sz w:val="21"/>
                <w:szCs w:val="21"/>
                <w:color w:val="auto"/>
              </w:rPr>
            </w:pPr>
          </w:p>
        </w:tc>
        <w:tc>
          <w:tcPr>
            <w:tcW w:w="8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7.2 %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7.7 %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right="160" w:firstLine="648"/>
        <w:spacing w:after="0" w:line="261" w:lineRule="auto"/>
        <w:rPr>
          <w:sz w:val="20"/>
          <w:szCs w:val="20"/>
          <w:color w:val="auto"/>
        </w:rPr>
      </w:pPr>
      <w:r>
        <w:rPr>
          <w:rFonts w:ascii="Times New Roman" w:cs="Times New Roman" w:eastAsia="Times New Roman" w:hAnsi="Times New Roman"/>
          <w:sz w:val="18"/>
          <w:szCs w:val="18"/>
          <w:color w:val="auto"/>
        </w:rPr>
        <w:t>Environmental Services SG&amp;A expenses for the three months ended September 30, 2026 increased $9.1 million from the comparable period in 2025 and improved as a percentage of revenues. The increase in SG&amp;A expenses in the three months ended September 30, 2026 was driven by increased labor and benefits related costs of $5.2 million, primarily driven by higher incentive compensation and commission costs commensurate with the increase in revenues. The remaining increase was spread across various cost categories and partially driven by acquisitions completed in 2026.</w:t>
      </w:r>
    </w:p>
    <w:p>
      <w:pPr>
        <w:spacing w:after="0" w:line="112"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Environmental Services SG&amp;A expenses for the nine months ended September 30, 2026 increased $36.0 million from the comparable period in 2025. The results for the nine months ended September 30, 2025 include the impact of reducing the estimated costs to remediate a site by approximately $10 million in the first quarter of 2025. Absent this benefit in 2025, the remaining $26.0 million increase was primarily driven by a $13.1 million increase in labor and benefits related costs, driven by higher incentive compensation and commission costs commensurate with the increase in revenues. The remaining increase was spread across various cost categories partially driven by acquisitions completed during the period and higher business activity supporting the increased revenues for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Safety-Kleen Sustainability Solutions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20"/>
                <w:szCs w:val="20"/>
                <w:color w:val="auto"/>
              </w:rPr>
            </w:pPr>
          </w:p>
        </w:tc>
        <w:tc>
          <w:tcPr>
            <w:tcW w:w="212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2026 over 2025</w:t>
            </w:r>
          </w:p>
        </w:tc>
        <w:tc>
          <w:tcPr>
            <w:tcW w:w="216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20"/>
                <w:szCs w:val="20"/>
                <w:color w:val="auto"/>
              </w:rPr>
            </w:pPr>
          </w:p>
        </w:tc>
        <w:tc>
          <w:tcPr>
            <w:tcW w:w="180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2026 over 2025</w:t>
            </w:r>
          </w:p>
        </w:tc>
        <w:tc>
          <w:tcPr>
            <w:tcW w:w="0" w:type="dxa"/>
            <w:vAlign w:val="bottom"/>
          </w:tcPr>
          <w:p>
            <w:pPr>
              <w:spacing w:after="0"/>
              <w:rPr>
                <w:sz w:val="1"/>
                <w:szCs w:val="1"/>
                <w:color w:val="auto"/>
              </w:rPr>
            </w:pPr>
          </w:p>
        </w:tc>
      </w:tr>
      <w:tr>
        <w:trPr>
          <w:trHeight w:val="172"/>
        </w:trPr>
        <w:tc>
          <w:tcPr>
            <w:tcW w:w="2380" w:type="dxa"/>
            <w:vAlign w:val="bottom"/>
            <w:gridSpan w:val="2"/>
          </w:tcPr>
          <w:p>
            <w:pPr>
              <w:ind w:left="20"/>
              <w:spacing w:after="0" w:line="172" w:lineRule="exact"/>
              <w:rPr>
                <w:sz w:val="20"/>
                <w:szCs w:val="20"/>
                <w:color w:val="auto"/>
              </w:rPr>
            </w:pPr>
            <w:r>
              <w:rPr>
                <w:rFonts w:ascii="Times New Roman" w:cs="Times New Roman" w:eastAsia="Times New Roman" w:hAnsi="Times New Roman"/>
                <w:sz w:val="16"/>
                <w:szCs w:val="16"/>
                <w:color w:val="auto"/>
              </w:rPr>
              <w:t>(in thousands, except</w:t>
            </w: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top w:val="single" w:sz="8" w:color="auto"/>
            </w:tcBorders>
            <w:vMerge w:val="restart"/>
          </w:tcPr>
          <w:p>
            <w:pPr>
              <w:spacing w:after="0"/>
              <w:rPr>
                <w:sz w:val="14"/>
                <w:szCs w:val="14"/>
                <w:color w:val="auto"/>
              </w:rPr>
            </w:pPr>
          </w:p>
        </w:tc>
        <w:tc>
          <w:tcPr>
            <w:tcW w:w="840" w:type="dxa"/>
            <w:vAlign w:val="bottom"/>
            <w:tcBorders>
              <w:top w:val="single" w:sz="8" w:color="auto"/>
            </w:tcBorders>
          </w:tcPr>
          <w:p>
            <w:pPr>
              <w:ind w:left="320"/>
              <w:spacing w:after="0" w:line="172"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top w:val="single" w:sz="8" w:color="auto"/>
            </w:tcBorders>
            <w:vMerge w:val="restart"/>
          </w:tcPr>
          <w:p>
            <w:pPr>
              <w:spacing w:after="0"/>
              <w:rPr>
                <w:sz w:val="14"/>
                <w:szCs w:val="14"/>
                <w:color w:val="auto"/>
              </w:rPr>
            </w:pP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percentages)</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8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18,503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18,555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(0.3)%  $</w:t>
            </w: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60,707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54,455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6,252</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0" w:type="dxa"/>
            <w:vAlign w:val="bottom"/>
          </w:tcPr>
          <w:p>
            <w:pPr>
              <w:spacing w:after="0"/>
              <w:rPr>
                <w:sz w:val="1"/>
                <w:szCs w:val="1"/>
                <w:color w:val="auto"/>
              </w:rPr>
            </w:pPr>
          </w:p>
        </w:tc>
      </w:tr>
      <w:tr>
        <w:trPr>
          <w:trHeight w:val="243"/>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240" w:type="dxa"/>
            <w:vAlign w:val="bottom"/>
          </w:tcPr>
          <w:p>
            <w:pPr>
              <w:spacing w:after="0"/>
              <w:rPr>
                <w:sz w:val="21"/>
                <w:szCs w:val="21"/>
                <w:color w:val="auto"/>
              </w:rPr>
            </w:pPr>
          </w:p>
        </w:tc>
        <w:tc>
          <w:tcPr>
            <w:tcW w:w="8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5.8 %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7.6 %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SKSS SG&amp;A expenses for the three months ended September 30, 2026 remained relatively flat. Labor and benefits related costs, driven by higher commission costs commensurate with the increase in revenues discussed above, were offset by reductions across several cost categories. As a percentage of revenues, these costs improved 2.7% due to the overall increase in segment revenues discussed above.</w:t>
      </w:r>
    </w:p>
    <w:p>
      <w:pPr>
        <w:spacing w:after="0" w:line="108"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SKSS SG&amp;A expenses for the nine months ended September 30, 2026 increased $6.3 million as compared to the same period in 2025. This increase was primarily driven by a $3.2 million increase in a legal reserve in the second quarter of 2026 as well as a $2.7 million increase in labor and benefits related costs, driven by higher commission costs commensurate with the increase in revenues discussed above. As a percentage of revenues, these costs improved compared to the prior year period.</w:t>
      </w:r>
    </w:p>
    <w:p>
      <w:pPr>
        <w:spacing w:after="0" w:line="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Corporate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20"/>
                <w:szCs w:val="20"/>
                <w:color w:val="auto"/>
              </w:rPr>
            </w:pPr>
          </w:p>
        </w:tc>
        <w:tc>
          <w:tcPr>
            <w:tcW w:w="216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2026 over 2025</w:t>
            </w:r>
          </w:p>
        </w:tc>
        <w:tc>
          <w:tcPr>
            <w:tcW w:w="222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20"/>
                <w:szCs w:val="20"/>
                <w:color w:val="auto"/>
              </w:rPr>
            </w:pPr>
          </w:p>
        </w:tc>
        <w:tc>
          <w:tcPr>
            <w:tcW w:w="1820" w:type="dxa"/>
            <w:vAlign w:val="bottom"/>
            <w:gridSpan w:val="3"/>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2026 over 2025</w:t>
            </w:r>
          </w:p>
        </w:tc>
        <w:tc>
          <w:tcPr>
            <w:tcW w:w="0" w:type="dxa"/>
            <w:vAlign w:val="bottom"/>
          </w:tcPr>
          <w:p>
            <w:pPr>
              <w:spacing w:after="0"/>
              <w:rPr>
                <w:sz w:val="1"/>
                <w:szCs w:val="1"/>
                <w:color w:val="auto"/>
              </w:rPr>
            </w:pPr>
          </w:p>
        </w:tc>
      </w:tr>
      <w:tr>
        <w:trPr>
          <w:trHeight w:val="172"/>
        </w:trPr>
        <w:tc>
          <w:tcPr>
            <w:tcW w:w="2260" w:type="dxa"/>
            <w:vAlign w:val="bottom"/>
            <w:gridSpan w:val="2"/>
          </w:tcPr>
          <w:p>
            <w:pPr>
              <w:ind w:left="20"/>
              <w:spacing w:after="0" w:line="172" w:lineRule="exact"/>
              <w:rPr>
                <w:sz w:val="20"/>
                <w:szCs w:val="20"/>
                <w:color w:val="auto"/>
              </w:rPr>
            </w:pPr>
            <w:r>
              <w:rPr>
                <w:rFonts w:ascii="Times New Roman" w:cs="Times New Roman" w:eastAsia="Times New Roman" w:hAnsi="Times New Roman"/>
                <w:sz w:val="16"/>
                <w:szCs w:val="16"/>
                <w:color w:val="auto"/>
              </w:rPr>
              <w:t>(in thousands, except</w:t>
            </w: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vMerge w:val="restart"/>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top w:val="single" w:sz="8" w:color="auto"/>
            </w:tcBorders>
            <w:vMerge w:val="restart"/>
          </w:tcPr>
          <w:p>
            <w:pPr>
              <w:spacing w:after="0"/>
              <w:rPr>
                <w:sz w:val="14"/>
                <w:szCs w:val="14"/>
                <w:color w:val="auto"/>
              </w:rPr>
            </w:pPr>
          </w:p>
        </w:tc>
        <w:tc>
          <w:tcPr>
            <w:tcW w:w="840" w:type="dxa"/>
            <w:vAlign w:val="bottom"/>
            <w:tcBorders>
              <w:top w:val="single" w:sz="8" w:color="auto"/>
            </w:tcBorders>
          </w:tcPr>
          <w:p>
            <w:pPr>
              <w:ind w:left="320"/>
              <w:spacing w:after="0" w:line="172"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vMerge w:val="restart"/>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top w:val="single" w:sz="8" w:color="auto"/>
            </w:tcBorders>
            <w:vMerge w:val="restart"/>
          </w:tcPr>
          <w:p>
            <w:pPr>
              <w:spacing w:after="0"/>
              <w:rPr>
                <w:sz w:val="14"/>
                <w:szCs w:val="14"/>
                <w:color w:val="auto"/>
              </w:rPr>
            </w:pP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percentages)</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8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75,176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59,549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15,627</w:t>
            </w:r>
          </w:p>
        </w:tc>
        <w:tc>
          <w:tcPr>
            <w:tcW w:w="10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26.2 %  $</w:t>
            </w:r>
          </w:p>
        </w:tc>
        <w:tc>
          <w:tcPr>
            <w:tcW w:w="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213,817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189,431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24,386</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0" w:type="dxa"/>
            <w:vAlign w:val="bottom"/>
          </w:tcPr>
          <w:p>
            <w:pPr>
              <w:spacing w:after="0"/>
              <w:rPr>
                <w:sz w:val="1"/>
                <w:szCs w:val="1"/>
                <w:color w:val="auto"/>
              </w:rPr>
            </w:pPr>
          </w:p>
        </w:tc>
      </w:tr>
      <w:tr>
        <w:trPr>
          <w:trHeight w:val="189"/>
        </w:trPr>
        <w:tc>
          <w:tcPr>
            <w:tcW w:w="22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As a % of Total Company</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240" w:type="dxa"/>
            <w:vAlign w:val="bottom"/>
          </w:tcPr>
          <w:p>
            <w:pPr>
              <w:spacing w:after="0"/>
              <w:rPr>
                <w:sz w:val="21"/>
                <w:szCs w:val="21"/>
                <w:color w:val="auto"/>
              </w:rPr>
            </w:pPr>
          </w:p>
        </w:tc>
        <w:tc>
          <w:tcPr>
            <w:tcW w:w="8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4.0 %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4.2 %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manage our Corporate SG&amp;A expenses commensurate with our overall total performance and direct revenues levels. Corporate SG&amp;A expenses for the three months ended September 30, 2026 increased $15.6 million as compared to the same period in the prior year and as a percentage of revenues these costs remained relatively flat. The increase in Corporate SG&amp;A expenses was primarily attributable to a $6.2 million increase in integration and strategic project costs for which we expect to derive long-term benefits. Additionally, labor and benefits related costs increased $3.1 million driven by higher incentive compensation. Severance costs, primarily related to acquisitions, increased $2.3 million. The remaining increases were spread across various cost categories and included additional costs for acquired businesses.</w:t>
      </w:r>
    </w:p>
    <w:p>
      <w:pPr>
        <w:spacing w:after="0" w:line="12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Corporate SG&amp;A expenses for the nine months ended September 30, 2026 increased $24.4 million as compared to the same period in the prior year and as a percentage of revenues these costs remained flat. The increase in Corporate SG&amp;A expenses was primarily attributable to a $13.4 million increase in labor and benefits related costs driven by higher incentive compensation. For the nine months ended September 30, 2026, total integration and strategic project costs were $13.5 million, an increase of $9.1 million from the same period in 2025 primarily due to acquisitions completed in 2026.</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48"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Management considers Adjusted EBITDA to be a measurement of performance that provides useful information to both management and investors. Adjusted EBITDA should not be considered an alternative to net income or other measurements under generally accepted accounting principles, or GAAP. As reflected in the reconciliation below, we define Adjusted EBITDA as net income plus accretion of environmental liabilities, stock-based compensation, depreciation and amortization, net other expense, net interest expense and provision for income taxes. Adjusted EBITDA also excludes impacts from certain transactions that are not deemed representative of fundamental segment results. Adjusted EBITDA is not calculated identically by all companies, and therefore our measurements of Adjusted EBITDA, while defined consistently and in accordance with our existing credit agreement, may not be comparable to similarly titled measures reported by other companies.</w:t>
      </w:r>
    </w:p>
    <w:p>
      <w:pPr>
        <w:spacing w:after="0" w:line="12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use Adjusted EBITDA to enhance our understanding of our operating performance, which represents our views concerning our performance in the ordinary, ongoing and customary course of our operations. We historically have found it helpful, and believe that investors have found it helpful, to consider an operating measure that excludes certain expenses relating to transactions not reflective of our core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information about our operating performance provided by Adjusted EBITDA is used by our management for a variety of purposes. We regularly communicate Adjusted EBITDA results to our lenders since our loan covenants are based upon levels of Adjusted EBITDA achieved and to our Board of Directors, and we discuss with our Board our interpretation of such results. We also compare our Adjusted EBITDA performance against internal targets as a key factor in determining cash and equity bonus compensation for executives and other employees, largely because we believe that this measure is indicative of how the fundamental business is performing and being managed.</w:t>
      </w:r>
    </w:p>
    <w:p>
      <w:pPr>
        <w:spacing w:after="0" w:line="11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also provide information relating to our Adjusted EBITDA so that analysts, investors and other interested persons have the same data that we use to assess our core operating performance. We believe that Adjusted EBITDA should be viewed only as a supplement to the GAAP financial information. We also believe, however, that providing this information in addition to, and together with, GAAP financial information provides a better understanding of our core operating performance and how management evaluates and measures our performance.</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reconciliation of net income to Adjusted EBITDA for the following periods: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80" w:type="dxa"/>
            <w:vAlign w:val="bottom"/>
            <w:gridSpan w:val="5"/>
          </w:tcPr>
          <w:p>
            <w:pPr>
              <w:ind w:left="5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Pr>
          <w:p>
            <w:pPr>
              <w:spacing w:after="0"/>
              <w:rPr>
                <w:sz w:val="18"/>
                <w:szCs w:val="18"/>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960" w:type="dxa"/>
            <w:vAlign w:val="bottom"/>
          </w:tcPr>
          <w:p>
            <w:pPr>
              <w:spacing w:after="0"/>
              <w:rPr>
                <w:sz w:val="18"/>
                <w:szCs w:val="18"/>
                <w:color w:val="auto"/>
              </w:rPr>
            </w:pPr>
          </w:p>
        </w:tc>
      </w:tr>
      <w:tr>
        <w:trPr>
          <w:trHeight w:val="233"/>
        </w:trPr>
        <w:tc>
          <w:tcPr>
            <w:tcW w:w="4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60" w:type="dxa"/>
            <w:vAlign w:val="bottom"/>
            <w:tcBorders>
              <w:bottom w:val="single" w:sz="8" w:color="auto"/>
            </w:tcBorders>
          </w:tcPr>
          <w:p>
            <w:pPr>
              <w:spacing w:after="0"/>
              <w:rPr>
                <w:sz w:val="20"/>
                <w:szCs w:val="20"/>
                <w:color w:val="auto"/>
              </w:rPr>
            </w:pPr>
          </w:p>
        </w:tc>
      </w:tr>
      <w:tr>
        <w:trPr>
          <w:trHeight w:val="223"/>
        </w:trPr>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239"/>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208,100</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118,799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441,765</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304,384</w:t>
            </w:r>
          </w:p>
        </w:tc>
      </w:tr>
      <w:tr>
        <w:trPr>
          <w:trHeight w:val="243"/>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Accretion of environmental liabilities</w:t>
            </w:r>
          </w:p>
        </w:tc>
        <w:tc>
          <w:tcPr>
            <w:tcW w:w="360" w:type="dxa"/>
            <w:vAlign w:val="bottom"/>
          </w:tcPr>
          <w:p>
            <w:pPr>
              <w:spacing w:after="0"/>
              <w:rPr>
                <w:sz w:val="21"/>
                <w:szCs w:val="21"/>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3,531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3,499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10,575</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10,710</w:t>
            </w:r>
          </w:p>
        </w:tc>
      </w:tr>
      <w:tr>
        <w:trPr>
          <w:trHeight w:val="243"/>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11,745</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8,922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36,141</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22,620</w:t>
            </w:r>
          </w:p>
        </w:tc>
      </w:tr>
      <w:tr>
        <w:trPr>
          <w:trHeight w:val="243"/>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21"/>
                <w:szCs w:val="21"/>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122,703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114,729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360,309</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342,994</w:t>
            </w:r>
          </w:p>
        </w:tc>
      </w:tr>
      <w:tr>
        <w:trPr>
          <w:trHeight w:val="243"/>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(1,524)</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(3,517)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(1,982)</w:t>
            </w:r>
          </w:p>
        </w:tc>
      </w:tr>
      <w:tr>
        <w:trPr>
          <w:trHeight w:val="243"/>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360" w:type="dxa"/>
            <w:vAlign w:val="bottom"/>
          </w:tcPr>
          <w:p>
            <w:pPr>
              <w:spacing w:after="0"/>
              <w:rPr>
                <w:sz w:val="21"/>
                <w:szCs w:val="21"/>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37,438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35,700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108,500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108,883</w:t>
            </w:r>
          </w:p>
        </w:tc>
      </w:tr>
      <w:tr>
        <w:trPr>
          <w:trHeight w:val="243"/>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74,095</w:t>
            </w:r>
          </w:p>
        </w:tc>
        <w:tc>
          <w:tcPr>
            <w:tcW w:w="12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42,027</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156,899</w:t>
            </w:r>
          </w:p>
        </w:tc>
        <w:tc>
          <w:tcPr>
            <w:tcW w:w="10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103,641</w:t>
            </w:r>
          </w:p>
        </w:tc>
      </w:tr>
      <w:tr>
        <w:trPr>
          <w:trHeight w:val="236"/>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456,088</w:t>
            </w:r>
          </w:p>
        </w:tc>
        <w:tc>
          <w:tcPr>
            <w:tcW w:w="120" w:type="dxa"/>
            <w:vAlign w:val="bottom"/>
          </w:tcPr>
          <w:p>
            <w:pPr>
              <w:spacing w:after="0"/>
              <w:rPr>
                <w:sz w:val="20"/>
                <w:szCs w:val="20"/>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320,159</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1,112,966</w:t>
            </w:r>
          </w:p>
        </w:tc>
        <w:tc>
          <w:tcPr>
            <w:tcW w:w="100" w:type="dxa"/>
            <w:vAlign w:val="bottom"/>
          </w:tcPr>
          <w:p>
            <w:pPr>
              <w:spacing w:after="0"/>
              <w:rPr>
                <w:sz w:val="20"/>
                <w:szCs w:val="20"/>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891,250</w:t>
            </w: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19.7 %</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p>
      <w:pPr>
        <w:spacing w:after="0" w:line="55" w:lineRule="exact"/>
        <w:rPr>
          <w:sz w:val="20"/>
          <w:szCs w:val="20"/>
          <w:color w:val="auto"/>
        </w:rPr>
      </w:pPr>
    </w:p>
    <w:p>
      <w:pPr>
        <w:ind w:left="20"/>
        <w:spacing w:after="0" w:line="236" w:lineRule="auto"/>
        <w:rPr>
          <w:sz w:val="20"/>
          <w:szCs w:val="20"/>
          <w:color w:val="auto"/>
        </w:rPr>
      </w:pPr>
      <w:r>
        <w:rPr>
          <w:rFonts w:ascii="Times New Roman" w:cs="Times New Roman" w:eastAsia="Times New Roman" w:hAnsi="Times New Roman"/>
          <w:sz w:val="17"/>
          <w:szCs w:val="17"/>
          <w:color w:val="auto"/>
        </w:rPr>
        <w:t>Depreciation of fixed assets and amortization of landfills and finance</w:t>
      </w:r>
    </w:p>
    <w:p>
      <w:pPr>
        <w:ind w:left="20"/>
        <w:spacing w:after="0"/>
        <w:rPr>
          <w:sz w:val="20"/>
          <w:szCs w:val="20"/>
          <w:color w:val="auto"/>
        </w:rPr>
      </w:pPr>
      <w:r>
        <w:rPr>
          <w:rFonts w:ascii="Times New Roman" w:cs="Times New Roman" w:eastAsia="Times New Roman" w:hAnsi="Times New Roman"/>
          <w:sz w:val="18"/>
          <w:szCs w:val="18"/>
          <w:color w:val="auto"/>
        </w:rPr>
        <w:t>leases</w:t>
      </w:r>
    </w:p>
    <w:p>
      <w:pPr>
        <w:spacing w:after="0" w:line="16" w:lineRule="exact"/>
        <w:rPr>
          <w:sz w:val="20"/>
          <w:szCs w:val="20"/>
          <w:color w:val="auto"/>
        </w:rPr>
      </w:pPr>
    </w:p>
    <w:p>
      <w:pPr>
        <w:ind w:left="20" w:right="520"/>
        <w:spacing w:after="0" w:line="237" w:lineRule="auto"/>
        <w:rPr>
          <w:sz w:val="20"/>
          <w:szCs w:val="20"/>
          <w:color w:val="auto"/>
        </w:rPr>
      </w:pPr>
      <w:r>
        <w:rPr>
          <w:rFonts w:ascii="Times New Roman" w:cs="Times New Roman" w:eastAsia="Times New Roman" w:hAnsi="Times New Roman"/>
          <w:sz w:val="18"/>
          <w:szCs w:val="18"/>
          <w:color w:val="auto"/>
        </w:rPr>
        <w:t>Permits and other intangibles amortization</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depreciation and amortization</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4"/>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40" w:type="dxa"/>
            <w:vAlign w:val="bottom"/>
          </w:tcPr>
          <w:p>
            <w:pPr>
              <w:spacing w:after="0"/>
              <w:rPr>
                <w:sz w:val="20"/>
                <w:szCs w:val="20"/>
                <w:color w:val="auto"/>
              </w:rPr>
            </w:pPr>
          </w:p>
        </w:tc>
        <w:tc>
          <w:tcPr>
            <w:tcW w:w="202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20"/>
                <w:szCs w:val="20"/>
                <w:color w:val="auto"/>
              </w:rPr>
            </w:pPr>
          </w:p>
        </w:tc>
        <w:tc>
          <w:tcPr>
            <w:tcW w:w="1840" w:type="dxa"/>
            <w:vAlign w:val="bottom"/>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2026 over 2025</w:t>
            </w:r>
          </w:p>
        </w:tc>
        <w:tc>
          <w:tcPr>
            <w:tcW w:w="240" w:type="dxa"/>
            <w:vAlign w:val="bottom"/>
          </w:tcPr>
          <w:p>
            <w:pPr>
              <w:spacing w:after="0"/>
              <w:rPr>
                <w:sz w:val="20"/>
                <w:szCs w:val="20"/>
                <w:color w:val="auto"/>
              </w:rPr>
            </w:pPr>
          </w:p>
        </w:tc>
        <w:tc>
          <w:tcPr>
            <w:tcW w:w="204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20"/>
                <w:szCs w:val="20"/>
                <w:color w:val="auto"/>
              </w:rPr>
            </w:pPr>
          </w:p>
        </w:tc>
        <w:tc>
          <w:tcPr>
            <w:tcW w:w="1760" w:type="dxa"/>
            <w:vAlign w:val="bottom"/>
            <w:gridSpan w:val="3"/>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2026 over 2025</w:t>
            </w:r>
          </w:p>
        </w:tc>
        <w:tc>
          <w:tcPr>
            <w:tcW w:w="0" w:type="dxa"/>
            <w:vAlign w:val="bottom"/>
          </w:tcPr>
          <w:p>
            <w:pPr>
              <w:spacing w:after="0"/>
              <w:rPr>
                <w:sz w:val="1"/>
                <w:szCs w:val="1"/>
                <w:color w:val="auto"/>
              </w:rPr>
            </w:pPr>
          </w:p>
        </w:tc>
      </w:tr>
      <w:tr>
        <w:trPr>
          <w:trHeight w:val="172"/>
        </w:trPr>
        <w:tc>
          <w:tcPr>
            <w:tcW w:w="2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80" w:type="dxa"/>
            <w:vAlign w:val="bottom"/>
            <w:tcBorders>
              <w:top w:val="single" w:sz="8" w:color="auto"/>
            </w:tcBorders>
            <w:gridSpan w:val="2"/>
          </w:tcPr>
          <w:p>
            <w:pPr>
              <w:jc w:val="right"/>
              <w:ind w:right="299"/>
              <w:spacing w:after="0" w:line="172"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vMerge w:val="restart"/>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vMerge w:val="restart"/>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03"/>
        </w:trPr>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106,039</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101,292</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4,747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314,488</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302,532</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432"/>
        </w:trPr>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16,664</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13,437</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3,227</w:t>
            </w:r>
          </w:p>
        </w:tc>
        <w:tc>
          <w:tcPr>
            <w:tcW w:w="98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45,821</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40,462</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98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37"/>
        </w:trPr>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122,703</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114,729</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7,974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360,309</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342,994</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17,315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-1784985</wp:posOffset>
            </wp:positionH>
            <wp:positionV relativeFrom="paragraph">
              <wp:posOffset>-196215</wp:posOffset>
            </wp:positionV>
            <wp:extent cx="7132320" cy="180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-1784985</wp:posOffset>
            </wp:positionH>
            <wp:positionV relativeFrom="paragraph">
              <wp:posOffset>-864870</wp:posOffset>
            </wp:positionV>
            <wp:extent cx="7132320" cy="3943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40" w:space="180"/>
            <w:col w:w="8420"/>
          </w:cols>
          <w:pgMar w:left="320" w:top="121" w:right="339" w:bottom="1440" w:gutter="0" w:footer="0" w:header="0"/>
          <w:type w:val="continuous"/>
        </w:sectPr>
      </w:pPr>
    </w:p>
    <w:p>
      <w:pPr>
        <w:spacing w:after="0" w:line="11"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Depreciation and amortization for the three and nine months ended September 30, 2026 increased by $8.0 million and $17.3 million respectively from the comparable period in 2025 due to incremental depreciation for assets placed in service to support the growth of the business and higher finance lease amortization. Incremental amortization of intangibles acquired in acquisitions completed during the first nine months of 2026 comprised the majority of the increase in amortization of permits and other intangible assets for the three and nine months ended September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 of Interest Income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20"/>
                <w:szCs w:val="20"/>
                <w:color w:val="auto"/>
              </w:rPr>
            </w:pPr>
          </w:p>
        </w:tc>
        <w:tc>
          <w:tcPr>
            <w:tcW w:w="206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2026 over 2025</w:t>
            </w:r>
          </w:p>
        </w:tc>
        <w:tc>
          <w:tcPr>
            <w:tcW w:w="200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20"/>
                <w:szCs w:val="20"/>
                <w:color w:val="auto"/>
              </w:rPr>
            </w:pPr>
          </w:p>
        </w:tc>
        <w:tc>
          <w:tcPr>
            <w:tcW w:w="1700" w:type="dxa"/>
            <w:vAlign w:val="bottom"/>
            <w:gridSpan w:val="3"/>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2026 over 2025</w:t>
            </w:r>
          </w:p>
        </w:tc>
        <w:tc>
          <w:tcPr>
            <w:tcW w:w="0" w:type="dxa"/>
            <w:vAlign w:val="bottom"/>
          </w:tcPr>
          <w:p>
            <w:pPr>
              <w:spacing w:after="0"/>
              <w:rPr>
                <w:sz w:val="1"/>
                <w:szCs w:val="1"/>
                <w:color w:val="auto"/>
              </w:rPr>
            </w:pPr>
          </w:p>
        </w:tc>
      </w:tr>
      <w:tr>
        <w:trPr>
          <w:trHeight w:val="172"/>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120" w:type="dxa"/>
            <w:vAlign w:val="bottom"/>
            <w:vMerge w:val="restart"/>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vMerge w:val="restart"/>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vMerge w:val="restart"/>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top w:val="single" w:sz="8" w:color="auto"/>
            </w:tcBorders>
            <w:vMerge w:val="restart"/>
          </w:tcPr>
          <w:p>
            <w:pPr>
              <w:spacing w:after="0"/>
              <w:rPr>
                <w:sz w:val="14"/>
                <w:szCs w:val="14"/>
                <w:color w:val="auto"/>
              </w:rPr>
            </w:pPr>
          </w:p>
        </w:tc>
        <w:tc>
          <w:tcPr>
            <w:tcW w:w="880" w:type="dxa"/>
            <w:vAlign w:val="bottom"/>
            <w:tcBorders>
              <w:top w:val="single" w:sz="8" w:color="auto"/>
            </w:tcBorders>
          </w:tcPr>
          <w:p>
            <w:pPr>
              <w:jc w:val="right"/>
              <w:ind w:right="296"/>
              <w:spacing w:after="0" w:line="172"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vMerge w:val="restart"/>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top w:val="single" w:sz="8" w:color="auto"/>
            </w:tcBorders>
            <w:vMerge w:val="restart"/>
          </w:tcPr>
          <w:p>
            <w:pPr>
              <w:spacing w:after="0"/>
              <w:rPr>
                <w:sz w:val="14"/>
                <w:szCs w:val="14"/>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7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8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Interest expense, net of interest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37,438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1,738</w:t>
            </w:r>
          </w:p>
        </w:tc>
        <w:tc>
          <w:tcPr>
            <w:tcW w:w="12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4.9 %  $</w:t>
            </w:r>
          </w:p>
        </w:tc>
        <w:tc>
          <w:tcPr>
            <w:tcW w:w="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108,500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108,883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right="160" w:firstLine="648"/>
        <w:spacing w:after="0" w:line="282" w:lineRule="auto"/>
        <w:rPr>
          <w:sz w:val="20"/>
          <w:szCs w:val="20"/>
          <w:color w:val="auto"/>
        </w:rPr>
      </w:pPr>
      <w:r>
        <w:rPr>
          <w:rFonts w:ascii="Times New Roman" w:cs="Times New Roman" w:eastAsia="Times New Roman" w:hAnsi="Times New Roman"/>
          <w:sz w:val="18"/>
          <w:szCs w:val="18"/>
          <w:color w:val="auto"/>
        </w:rPr>
        <w:t>Interest expense, net of interest income for the three months ended September 30, 2026 increased by $1.7 million, primarily due to lower interest income in the current period.</w:t>
      </w:r>
    </w:p>
    <w:p>
      <w:pPr>
        <w:spacing w:after="0" w:line="94"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Interest expense, net of interest income for the nine months ended September 30, 2026 remained relatively consistent with the prior period, primarily due to lower interest rates on our SOFR-based debt, partially offset by lower interest income.</w:t>
      </w:r>
    </w:p>
    <w:p>
      <w:pPr>
        <w:spacing w:after="0" w:line="81" w:lineRule="exact"/>
        <w:rPr>
          <w:sz w:val="20"/>
          <w:szCs w:val="20"/>
          <w:color w:val="auto"/>
        </w:rPr>
      </w:pPr>
    </w:p>
    <w:p>
      <w:pPr>
        <w:ind w:right="160" w:firstLine="648"/>
        <w:spacing w:after="0" w:line="289" w:lineRule="auto"/>
        <w:rPr>
          <w:sz w:val="20"/>
          <w:szCs w:val="20"/>
          <w:color w:val="auto"/>
        </w:rPr>
      </w:pPr>
      <w:r>
        <w:rPr>
          <w:rFonts w:ascii="Times New Roman" w:cs="Times New Roman" w:eastAsia="Times New Roman" w:hAnsi="Times New Roman"/>
          <w:sz w:val="17"/>
          <w:szCs w:val="17"/>
          <w:color w:val="auto"/>
        </w:rPr>
        <w:t>For the remainder of 2026, after adjusting for the financing activities that took place in early October 2026 and the repayment of the revolving credit facility, the weighted average interest rate of our debt portfolio is approximately 5.4%, assuming current rates. For additional information regarding our current portfolio of long-term debt, see Note 11, “Financing Arrangements,” to the accompanying unaudited consolidated financial statements.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18" w:lineRule="exact"/>
        <w:rPr>
          <w:sz w:val="20"/>
          <w:szCs w:val="20"/>
          <w:color w:val="auto"/>
        </w:rPr>
      </w:pPr>
    </w:p>
    <w:tbl>
      <w:tblPr>
        <w:tblLayout w:type="fixed"/>
        <w:tblInd w:w="100" w:type="dxa"/>
        <w:tblCellMar>
          <w:top w:w="0" w:type="dxa"/>
          <w:left w:w="0" w:type="dxa"/>
          <w:bottom w:w="0" w:type="dxa"/>
          <w:right w:w="0" w:type="dxa"/>
        </w:tblCellMar>
      </w:tblPr>
      <w:tr>
        <w:trPr>
          <w:trHeight w:val="212"/>
        </w:trPr>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20"/>
                <w:szCs w:val="20"/>
                <w:color w:val="auto"/>
              </w:rPr>
            </w:pPr>
          </w:p>
        </w:tc>
        <w:tc>
          <w:tcPr>
            <w:tcW w:w="218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2026 over 2025</w:t>
            </w:r>
          </w:p>
        </w:tc>
        <w:tc>
          <w:tcPr>
            <w:tcW w:w="2200" w:type="dxa"/>
            <w:vAlign w:val="bottom"/>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20"/>
                <w:szCs w:val="20"/>
                <w:color w:val="auto"/>
              </w:rPr>
            </w:pPr>
          </w:p>
        </w:tc>
        <w:tc>
          <w:tcPr>
            <w:tcW w:w="1780" w:type="dxa"/>
            <w:vAlign w:val="bottom"/>
            <w:gridSpan w:val="3"/>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2026 over 2025</w:t>
            </w:r>
          </w:p>
        </w:tc>
        <w:tc>
          <w:tcPr>
            <w:tcW w:w="0" w:type="dxa"/>
            <w:vAlign w:val="bottom"/>
          </w:tcPr>
          <w:p>
            <w:pPr>
              <w:spacing w:after="0"/>
              <w:rPr>
                <w:sz w:val="1"/>
                <w:szCs w:val="1"/>
                <w:color w:val="auto"/>
              </w:rPr>
            </w:pPr>
          </w:p>
        </w:tc>
      </w:tr>
      <w:tr>
        <w:trPr>
          <w:trHeight w:val="172"/>
        </w:trPr>
        <w:tc>
          <w:tcPr>
            <w:tcW w:w="2240" w:type="dxa"/>
            <w:vAlign w:val="bottom"/>
            <w:gridSpan w:val="2"/>
          </w:tcPr>
          <w:p>
            <w:pPr>
              <w:ind w:left="20"/>
              <w:spacing w:after="0" w:line="172" w:lineRule="exact"/>
              <w:rPr>
                <w:sz w:val="20"/>
                <w:szCs w:val="20"/>
                <w:color w:val="auto"/>
              </w:rPr>
            </w:pPr>
            <w:r>
              <w:rPr>
                <w:rFonts w:ascii="Times New Roman" w:cs="Times New Roman" w:eastAsia="Times New Roman" w:hAnsi="Times New Roman"/>
                <w:sz w:val="16"/>
                <w:szCs w:val="16"/>
                <w:color w:val="auto"/>
              </w:rPr>
              <w:t>(in thousands, except</w:t>
            </w: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vMerge w:val="restart"/>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vMerge w:val="restart"/>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top w:val="single" w:sz="8" w:color="auto"/>
            </w:tcBorders>
            <w:vMerge w:val="restart"/>
          </w:tcPr>
          <w:p>
            <w:pPr>
              <w:spacing w:after="0"/>
              <w:rPr>
                <w:sz w:val="14"/>
                <w:szCs w:val="14"/>
                <w:color w:val="auto"/>
              </w:rPr>
            </w:pPr>
          </w:p>
        </w:tc>
        <w:tc>
          <w:tcPr>
            <w:tcW w:w="900" w:type="dxa"/>
            <w:vAlign w:val="bottom"/>
            <w:tcBorders>
              <w:top w:val="single" w:sz="8" w:color="auto"/>
            </w:tcBorders>
          </w:tcPr>
          <w:p>
            <w:pPr>
              <w:ind w:left="340"/>
              <w:spacing w:after="0" w:line="172"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vMerge w:val="restart"/>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top w:val="single" w:sz="8" w:color="auto"/>
            </w:tcBorders>
            <w:vMerge w:val="restart"/>
          </w:tcPr>
          <w:p>
            <w:pPr>
              <w:spacing w:after="0"/>
              <w:rPr>
                <w:sz w:val="14"/>
                <w:szCs w:val="14"/>
                <w:color w:val="auto"/>
              </w:rPr>
            </w:pP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percentages)</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74,095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42,027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32,068</w:t>
            </w:r>
          </w:p>
        </w:tc>
        <w:tc>
          <w:tcPr>
            <w:tcW w:w="10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76.3 %  $</w:t>
            </w:r>
          </w:p>
        </w:tc>
        <w:tc>
          <w:tcPr>
            <w:tcW w:w="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156,899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103,641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53,258</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51.4 %</w:t>
            </w:r>
          </w:p>
        </w:tc>
        <w:tc>
          <w:tcPr>
            <w:tcW w:w="0" w:type="dxa"/>
            <w:vAlign w:val="bottom"/>
          </w:tcPr>
          <w:p>
            <w:pPr>
              <w:spacing w:after="0"/>
              <w:rPr>
                <w:sz w:val="1"/>
                <w:szCs w:val="1"/>
                <w:color w:val="auto"/>
              </w:rPr>
            </w:pPr>
          </w:p>
        </w:tc>
      </w:tr>
      <w:tr>
        <w:trPr>
          <w:trHeight w:val="243"/>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three months ended September 30, 2026, the provision for income taxes increased $32.1 million compared to the same period in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increase was driven by higher pre-tax income in the current year period.</w:t>
      </w:r>
    </w:p>
    <w:p>
      <w:pPr>
        <w:spacing w:after="0" w:line="13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2026, the provision for income taxes increased $53.3 million compared to the same period in 2025. This increase was driven by both higher pre-tax income as well as a slightly higher effective tax rate in 2026. In the first quarter of 2025, our effective tax rate was favorably impacted by a one-time tax benefit related to a change in estimate for a remedial liability.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6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assess our liquidity in terms of our ability to generate cash to fund our operating, investing and financing activities. Our primary ongoing cash requirements will be to fund operations, capital expenditures, interest payments and investments in line with our business strategy as of the date of this report. We believe our future operating cash flows will be sufficient to meet our future operating and internal investing cash needs. We monitor our actual needs and forecasted cash flows, our liquidity and our capital resources, enabling us to plan our present needs and fund items that may arise during the year as a result of changing business conditions or opportunities. Furthermore, our existing cash balance and the availability of additional borrowings under our revolving credit facility provide additional potential sources of liquidity should they be required.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 Activity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20" w:type="dxa"/>
            <w:vAlign w:val="bottom"/>
            <w:gridSpan w:val="3"/>
          </w:tcPr>
          <w:p>
            <w:pPr>
              <w:jc w:val="center"/>
              <w:ind w:left="575"/>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80" w:type="dxa"/>
            <w:vAlign w:val="bottom"/>
          </w:tcPr>
          <w:p>
            <w:pPr>
              <w:spacing w:after="0"/>
              <w:rPr>
                <w:sz w:val="18"/>
                <w:szCs w:val="18"/>
                <w:color w:val="auto"/>
              </w:rPr>
            </w:pPr>
          </w:p>
        </w:tc>
      </w:tr>
      <w:tr>
        <w:trPr>
          <w:trHeight w:val="233"/>
        </w:trPr>
        <w:tc>
          <w:tcPr>
            <w:tcW w:w="7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center"/>
              <w:ind w:left="57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80" w:type="dxa"/>
            <w:vAlign w:val="bottom"/>
            <w:tcBorders>
              <w:bottom w:val="single" w:sz="8" w:color="auto"/>
            </w:tcBorders>
          </w:tcPr>
          <w:p>
            <w:pPr>
              <w:spacing w:after="0"/>
              <w:rPr>
                <w:sz w:val="20"/>
                <w:szCs w:val="20"/>
                <w:color w:val="auto"/>
              </w:rPr>
            </w:pPr>
          </w:p>
        </w:tc>
      </w:tr>
      <w:tr>
        <w:trPr>
          <w:trHeight w:val="223"/>
        </w:trPr>
        <w:tc>
          <w:tcPr>
            <w:tcW w:w="7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9"/>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664,673</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center"/>
              <w:ind w:left="272"/>
              <w:spacing w:after="0"/>
              <w:rPr>
                <w:sz w:val="20"/>
                <w:szCs w:val="20"/>
                <w:color w:val="auto"/>
              </w:rPr>
            </w:pPr>
            <w:r>
              <w:rPr>
                <w:rFonts w:ascii="Times New Roman" w:cs="Times New Roman" w:eastAsia="Times New Roman" w:hAnsi="Times New Roman"/>
                <w:sz w:val="18"/>
                <w:szCs w:val="18"/>
                <w:color w:val="auto"/>
                <w:w w:val="95"/>
              </w:rPr>
              <w:t>511,632</w:t>
            </w:r>
          </w:p>
        </w:tc>
      </w:tr>
      <w:tr>
        <w:trPr>
          <w:trHeight w:val="243"/>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(1,046,609)</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8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rPr>
              <w:t>(276,587)</w:t>
            </w:r>
          </w:p>
        </w:tc>
      </w:tr>
      <w:tr>
        <w:trPr>
          <w:trHeight w:val="243"/>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(15,655)</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80" w:type="dxa"/>
            <w:vAlign w:val="bottom"/>
            <w:shd w:val="clear" w:color="auto" w:fill="CCEEFF"/>
          </w:tcPr>
          <w:p>
            <w:pPr>
              <w:jc w:val="center"/>
              <w:ind w:left="232"/>
              <w:spacing w:after="0"/>
              <w:rPr>
                <w:sz w:val="20"/>
                <w:szCs w:val="20"/>
                <w:color w:val="auto"/>
              </w:rPr>
            </w:pPr>
            <w:r>
              <w:rPr>
                <w:rFonts w:ascii="Times New Roman" w:cs="Times New Roman" w:eastAsia="Times New Roman" w:hAnsi="Times New Roman"/>
                <w:sz w:val="18"/>
                <w:szCs w:val="18"/>
                <w:color w:val="auto"/>
              </w:rPr>
              <w:t>(166,528)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cash from operating activities</w:t>
      </w:r>
    </w:p>
    <w:p>
      <w:pPr>
        <w:spacing w:after="0" w:line="16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Net cash from operating activities for the nine months ended September 30, 2026 was $664.7 million as compared to $511.6 million in the same period of 2025. This $153.0 million increase in operating cash flows was primarily driven by higher operating income. Higher working capital balances for the nine months ended September 30, 2026 compared to the same period in 2025 partially offset these cash flow increases.</w:t>
      </w:r>
    </w:p>
    <w:p>
      <w:pPr>
        <w:spacing w:after="0" w:line="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6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2026 was $1,046.6 million, an increase of $770.0 million from the comparable period in 2025. This increase was driven by $689.0 million of cash paid in 2026 to acquire certain businesses from Depot Connect International, Terra Nova Solutions, Western Oil, and ES&amp;H as well as a $101.1 million increase in additions to property, plant and equipment, net of proceeds from sale and disposal of fixed assets. Partially offsetting these higher cash outflows was a $21.4 million increase in net cash inflows due to the timing of transactions within our wholly-owned captive insurance company for the nine months ended September 30, 2026 compared to the same period in 2025.</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14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for the nine months ended September 30, 2026 was $15.7 million, as compared to $166.5 million for the nine months ended September 30, 2025, a decrease of $150.9 million. This decrease in cash used in financing activities was driven by $120.0 million in borrowings under our revolving credit facility as well as a $39.9 million reduction in cash paid for repurchases of common stock in 2026. These changes were partially offset by a $13.0 million increase in payments on finance lease liabilities.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Free Cash Flow</w:t>
      </w:r>
    </w:p>
    <w:p>
      <w:pPr>
        <w:spacing w:after="0" w:line="162"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Management considers adjusted free cash flow, a non-GAAP measure, to be a measure of liquidity that provides useful information to management, creditors and investors about our financial strength and our ability to generate cash. Additionally, adjusted free cash flow is a metric on which a portion of management incentive compensation is based. We define adjusted free cash flow as net cash from operating activities, less additions to property, plant and equipment, plus proceeds from sales or disposals of fixed assets. When necessary, management adjusts for the cash impact of items derived from non-operating activities. Additionally, adjusted free cash flow excludes significant one-time growth investments, as they are not indicative of free cash flow generation for the current period. For 2026, these significant strategic growth investments include current year spend on (i) the multi-year construction of a Solvent De-Asphalting unit, or SDA, adjacent to our East Chicago, Indiana re-refinery, (ii) our multi-year vacuum truck fleet expansion project, (iii) the acquisition and build out of a facility in Compton, California, which we refer to as our L.A. Hub, and (iv) our multi-year investment in specialty assets to support our data center market offering. We expect to spend approximately $50 million, $25 million, $55 million and $15 million, respectively, in 2026 for these projects from which we expect to realize future long-term benefits. In 2025, significant strategic growth investments included spend on the SDA project and the acquisition and build out of a hub facility in Phoenix, Arizona, which we refer to as our Phoenix Hub. Adjusted free cash flow should not be considered an alternative to net cash from operating activities or other measurements under GAAP. Adjusted free cash flow is not calculated identically by all companies, and therefore, our measurements of adjusted free cash flow may not be comparable to similarly titled measures reported by other companies.</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reconciliation of net cash from operating activities to adjusted free cash flow for the following periods: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gridSpan w:val="4"/>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33"/>
        </w:trPr>
        <w:tc>
          <w:tcPr>
            <w:tcW w:w="8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40" w:type="dxa"/>
            <w:vAlign w:val="bottom"/>
            <w:tcBorders>
              <w:bottom w:val="single" w:sz="8" w:color="auto"/>
            </w:tcBorders>
          </w:tcPr>
          <w:p>
            <w:pPr>
              <w:spacing w:after="0"/>
              <w:rPr>
                <w:sz w:val="20"/>
                <w:szCs w:val="20"/>
                <w:color w:val="auto"/>
              </w:rPr>
            </w:pPr>
          </w:p>
        </w:tc>
      </w:tr>
      <w:tr>
        <w:trPr>
          <w:trHeight w:val="223"/>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40"/>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664,673</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511,632</w:t>
            </w:r>
          </w:p>
        </w:tc>
      </w:tr>
      <w:tr>
        <w:trPr>
          <w:trHeight w:val="24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(397,480)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(303,169)</w:t>
            </w:r>
          </w:p>
        </w:tc>
      </w:tr>
      <w:tr>
        <w:trPr>
          <w:trHeight w:val="243"/>
        </w:trPr>
        <w:tc>
          <w:tcPr>
            <w:tcW w:w="8260" w:type="dxa"/>
            <w:vAlign w:val="bottom"/>
            <w:gridSpan w:val="2"/>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Cash investments in strategic growth projects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107,305</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24,340</w:t>
            </w:r>
          </w:p>
        </w:tc>
      </w:tr>
      <w:tr>
        <w:trPr>
          <w:trHeight w:val="243"/>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sale and disposal of fixed assets</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8,483</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15,250</w:t>
            </w:r>
          </w:p>
        </w:tc>
      </w:tr>
      <w:tr>
        <w:trPr>
          <w:trHeight w:val="262"/>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free cash flow</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382,981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248,053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w:t>
      </w:r>
    </w:p>
    <w:p>
      <w:pPr>
        <w:spacing w:after="0" w:line="10" w:lineRule="exact"/>
        <w:rPr>
          <w:sz w:val="20"/>
          <w:szCs w:val="20"/>
          <w:color w:val="auto"/>
        </w:rPr>
      </w:pPr>
    </w:p>
    <w:p>
      <w:pPr>
        <w:ind w:left="660" w:right="100" w:hanging="328"/>
        <w:spacing w:after="0" w:line="254" w:lineRule="auto"/>
        <w:tabs>
          <w:tab w:leader="none" w:pos="72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2026 this includes capital investments in the SDA unit, fleet expansion project, the L.A. Hub and the data center market offering, as outlined in the Capital Expenditures table below. For 2025 this includes $12.5 million and $11.8 million of capital investments in the Phoenix Hub and SDA unit,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Capital Resources</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At September 30, 2026, cash and cash equivalents and marketable securities totaled $516.6 million, which includes cash and cash equivalents held by our U.S. operations of $397.0 million in addition to $119.6 million held by our Canadian subsidiaries. Our U.S. operations had net operating cash flows of $666.0 million for the nine months ended September 30, 2026.</w:t>
      </w:r>
    </w:p>
    <w:p>
      <w:pPr>
        <w:spacing w:after="0" w:line="9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maintain a $600.0 million revolving credit facility. On September 16, 2026, we borrowed $120.0 million under our revolving credit facility to partially fund the acquisition of ES&amp;H, with the remainder of the purchase price funded from cash on hand. As of September 30, 2026, after accounting for the $120.0 million borrowing that remained outstanding, we had $335.5 million available to borrow under the revolving credit facility, and outstanding letters of credit were $144.5 million. We repaid the outstanding balance on October 16, 2026. At December 31, 2025, the revolving credit facility had no outstanding loan balance.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Capital Requirements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4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Capital expenditures during the first nine months of 2026 were $397.5 million. We anticipate 2026 capital spending, net of disposals, will be in the range of $515.0 million to $575.0 million, including the strategic growth investment spend in 2026 outlined in the table below.</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current key strategic growth investments: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First Nine Months</w:t>
            </w:r>
          </w:p>
        </w:tc>
        <w:tc>
          <w:tcPr>
            <w:tcW w:w="14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2026 Expected</w:t>
            </w:r>
          </w:p>
        </w:tc>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Expected Full</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Expected</w:t>
            </w:r>
          </w:p>
        </w:tc>
        <w:tc>
          <w:tcPr>
            <w:tcW w:w="0" w:type="dxa"/>
            <w:vAlign w:val="bottom"/>
          </w:tcPr>
          <w:p>
            <w:pPr>
              <w:spacing w:after="0"/>
              <w:rPr>
                <w:sz w:val="1"/>
                <w:szCs w:val="1"/>
                <w:color w:val="auto"/>
              </w:rPr>
            </w:pPr>
          </w:p>
        </w:tc>
      </w:tr>
      <w:tr>
        <w:trPr>
          <w:trHeight w:val="162"/>
        </w:trPr>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 millions, except dates)</w:t>
            </w:r>
          </w:p>
        </w:tc>
        <w:tc>
          <w:tcPr>
            <w:tcW w:w="100" w:type="dxa"/>
            <w:vAlign w:val="bottom"/>
            <w:vMerge w:val="restart"/>
          </w:tcPr>
          <w:p>
            <w:pPr>
              <w:spacing w:after="0"/>
              <w:rPr>
                <w:sz w:val="14"/>
                <w:szCs w:val="14"/>
                <w:color w:val="auto"/>
              </w:rPr>
            </w:pPr>
          </w:p>
        </w:tc>
        <w:tc>
          <w:tcPr>
            <w:tcW w:w="138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2025 Expenditures</w:t>
            </w:r>
          </w:p>
        </w:tc>
        <w:tc>
          <w:tcPr>
            <w:tcW w:w="100" w:type="dxa"/>
            <w:vAlign w:val="bottom"/>
            <w:vMerge w:val="restart"/>
          </w:tcPr>
          <w:p>
            <w:pPr>
              <w:spacing w:after="0"/>
              <w:rPr>
                <w:sz w:val="14"/>
                <w:szCs w:val="14"/>
                <w:color w:val="auto"/>
              </w:rPr>
            </w:pPr>
          </w:p>
        </w:tc>
        <w:tc>
          <w:tcPr>
            <w:tcW w:w="14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of 2026</w:t>
            </w:r>
          </w:p>
        </w:tc>
        <w:tc>
          <w:tcPr>
            <w:tcW w:w="1480" w:type="dxa"/>
            <w:vAlign w:val="bottom"/>
            <w:gridSpan w:val="2"/>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6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Expenditures</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Expenditures</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Project Cost</w:t>
            </w:r>
          </w:p>
        </w:tc>
        <w:tc>
          <w:tcPr>
            <w:tcW w:w="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Completion Date</w:t>
            </w:r>
          </w:p>
        </w:tc>
        <w:tc>
          <w:tcPr>
            <w:tcW w:w="0" w:type="dxa"/>
            <w:vAlign w:val="bottom"/>
          </w:tcPr>
          <w:p>
            <w:pPr>
              <w:spacing w:after="0"/>
              <w:rPr>
                <w:sz w:val="1"/>
                <w:szCs w:val="1"/>
                <w:color w:val="auto"/>
              </w:rPr>
            </w:pPr>
          </w:p>
        </w:tc>
      </w:tr>
      <w:tr>
        <w:trPr>
          <w:trHeight w:val="238"/>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SDA unit</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$28.4</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$210 - 220</w:t>
            </w:r>
          </w:p>
        </w:tc>
        <w:tc>
          <w:tcPr>
            <w:tcW w:w="80" w:type="dxa"/>
            <w:vAlign w:val="bottom"/>
            <w:shd w:val="clear" w:color="auto" w:fill="CCEEFF"/>
          </w:tcPr>
          <w:p>
            <w:pPr>
              <w:spacing w:after="0"/>
              <w:rPr>
                <w:sz w:val="20"/>
                <w:szCs w:val="20"/>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0" w:type="dxa"/>
            <w:vAlign w:val="bottom"/>
          </w:tcPr>
          <w:p>
            <w:pPr>
              <w:spacing w:after="0"/>
              <w:rPr>
                <w:sz w:val="1"/>
                <w:szCs w:val="1"/>
                <w:color w:val="auto"/>
              </w:rPr>
            </w:pPr>
          </w:p>
        </w:tc>
      </w:tr>
      <w:tr>
        <w:trPr>
          <w:trHeight w:val="243"/>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Fleet expansion project</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0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8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0" w:type="dxa"/>
            <w:vAlign w:val="bottom"/>
          </w:tcPr>
          <w:p>
            <w:pPr>
              <w:spacing w:after="0"/>
              <w:rPr>
                <w:sz w:val="1"/>
                <w:szCs w:val="1"/>
                <w:color w:val="auto"/>
              </w:rPr>
            </w:pPr>
          </w:p>
        </w:tc>
      </w:tr>
      <w:tr>
        <w:trPr>
          <w:trHeight w:val="243"/>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 Hub</w:t>
            </w:r>
          </w:p>
        </w:tc>
        <w:tc>
          <w:tcPr>
            <w:tcW w:w="1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80" w:type="dxa"/>
            <w:vAlign w:val="bottom"/>
            <w:shd w:val="clear" w:color="auto" w:fill="CCEEFF"/>
          </w:tcPr>
          <w:p>
            <w:pPr>
              <w:spacing w:after="0"/>
              <w:rPr>
                <w:sz w:val="21"/>
                <w:szCs w:val="21"/>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r>
        <w:trPr>
          <w:trHeight w:val="243"/>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Data center strategy investment</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8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The four strategic growth investments outlined in the table above are considered projects from which we expect to realize future long-term benefits once placed in service. These are incremental to the capital expenditures needed to maintain current operations.</w:t>
      </w:r>
    </w:p>
    <w:p>
      <w:pPr>
        <w:spacing w:after="0" w:line="94"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anticipate that the remaining 2026 capital spending and future spending for key strategic growth investments will be funded by cash from our operations. Unanticipated changes in environmental regulations could require us to make significant capital expenditures for our facilities and adversely affect our results of operations and cash flow.</w:t>
      </w:r>
    </w:p>
    <w:p>
      <w:pPr>
        <w:spacing w:after="0" w:line="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Financing Arrangements</w:t>
      </w:r>
    </w:p>
    <w:p>
      <w:pPr>
        <w:spacing w:after="0" w:line="16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Financing arrangements are discussed in Note 11, “Financing Arrangements,” to our unaudited consolidated financial statements included in this report. As discussed therein, we issued $600.0 million aggregate principal amount of 6.250% unsecured senior notes due 2034 in October 2026 to fund our recent acquisitions of EnviroServe and ES&amp;H. Including the impact of the October 2026 financing transaction, the earliest maturity of our debt portfolio is 2029. As of September 30, 2026, our financing arrangements included (i) $1.3 billion of secured senior term loans due 2032, (ii) $300.0 million of 5.125% unsecured senior notes due 2029, (iii) $500.0 million of 6.375% unsecured senior notes due 2031 and (iv) $745.0 million of 5.750% unsecured senior notes due 2033. Also, as noted above, we maintain our $600.0 million revolving credit facility with $120.0 million loans outstanding as of September 30, 2026, which were repaid in October 2026. We will continue to monitor our debt instruments and evaluate opportunities where it may be beneficial to refinance or reallocate the portfolio.</w:t>
      </w:r>
    </w:p>
    <w:p>
      <w:pPr>
        <w:spacing w:after="0" w:line="124"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2026, we were in compliance with the covenants of all of our debt agreements, and we believe we will continue to meet such covenants.</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Common Stock Repurchases Pursuant to Publicly Announced Plan</w:t>
      </w:r>
    </w:p>
    <w:p>
      <w:pPr>
        <w:spacing w:after="0" w:line="16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September 30, 2026, we repurchased and retired 81,576 and 252,765 shares, respectively, of our common stock for total expenditures of $25.0 million and $75.0 million, respectively. During the three and nine months ended September 30, 2025, we repurchased and retired 208,206 and 526,336 shares, respectively, of our common stock for total expenditures of $50.0 million and $116.8 million, respectively. On February 18, 2026, our Board of Directors authorized a $350.0 million expansion of our share repurchase program. As of September 30, 2026, $524.4 million remained available for the repurchase of shares.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Environmental Liabilities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bottom w:val="single" w:sz="8" w:color="CCEEFF"/>
            </w:tcBorders>
          </w:tcPr>
          <w:p>
            <w:pPr>
              <w:spacing w:after="0"/>
              <w:rPr>
                <w:sz w:val="18"/>
                <w:szCs w:val="18"/>
                <w:color w:val="auto"/>
              </w:rPr>
            </w:pPr>
          </w:p>
        </w:tc>
        <w:tc>
          <w:tcPr>
            <w:tcW w:w="18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40"/>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Closure and post-closure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140,842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135,328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center"/>
              <w:ind w:left="692"/>
              <w:spacing w:after="0"/>
              <w:rPr>
                <w:sz w:val="20"/>
                <w:szCs w:val="20"/>
                <w:color w:val="auto"/>
              </w:rPr>
            </w:pPr>
            <w:r>
              <w:rPr>
                <w:rFonts w:ascii="Times New Roman" w:cs="Times New Roman" w:eastAsia="Times New Roman" w:hAnsi="Times New Roman"/>
                <w:sz w:val="18"/>
                <w:szCs w:val="18"/>
                <w:color w:val="auto"/>
                <w:w w:val="98"/>
              </w:rPr>
              <w:t>5,514</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43"/>
        </w:trPr>
        <w:tc>
          <w:tcPr>
            <w:tcW w:w="4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Remedial liabilities</w:t>
            </w:r>
          </w:p>
        </w:tc>
        <w:tc>
          <w:tcPr>
            <w:tcW w:w="1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91,844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95,369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left="652"/>
              <w:spacing w:after="0"/>
              <w:rPr>
                <w:sz w:val="20"/>
                <w:szCs w:val="20"/>
                <w:color w:val="auto"/>
              </w:rPr>
            </w:pPr>
            <w:r>
              <w:rPr>
                <w:rFonts w:ascii="Times New Roman" w:cs="Times New Roman" w:eastAsia="Times New Roman" w:hAnsi="Times New Roman"/>
                <w:sz w:val="18"/>
                <w:szCs w:val="18"/>
                <w:color w:val="auto"/>
                <w:w w:val="98"/>
              </w:rPr>
              <w:t>(3,525)</w:t>
            </w:r>
          </w:p>
        </w:tc>
        <w:tc>
          <w:tcPr>
            <w:tcW w:w="1940" w:type="dxa"/>
            <w:vAlign w:val="bottom"/>
            <w:tcBorders>
              <w:bottom w:val="single" w:sz="8" w:color="CCEEFF"/>
            </w:tcBorders>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(3.7)</w:t>
            </w:r>
          </w:p>
        </w:tc>
      </w:tr>
      <w:tr>
        <w:trPr>
          <w:trHeight w:val="262"/>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environmental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232,686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230,697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center"/>
              <w:ind w:left="692"/>
              <w:spacing w:after="0"/>
              <w:rPr>
                <w:sz w:val="20"/>
                <w:szCs w:val="20"/>
                <w:color w:val="auto"/>
              </w:rPr>
            </w:pPr>
            <w:r>
              <w:rPr>
                <w:rFonts w:ascii="Times New Roman" w:cs="Times New Roman" w:eastAsia="Times New Roman" w:hAnsi="Times New Roman"/>
                <w:sz w:val="18"/>
                <w:szCs w:val="18"/>
                <w:color w:val="auto"/>
                <w:w w:val="98"/>
              </w:rPr>
              <w:t>1,989</w:t>
            </w:r>
          </w:p>
        </w:tc>
        <w:tc>
          <w:tcPr>
            <w:tcW w:w="1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r>
    </w:tbl>
    <w:p>
      <w:pPr>
        <w:spacing w:after="0" w:line="21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Total environmental liabilities as of September 30, 2026 were $232.7 million, an increase of $2.0 million compared to December 31, 2025. During the nine months ended September 30, 2026, the environmental liability balance increased due to $10.6 million from accretion and $4.8 million from new environmental liabilities. These increases were partially offset by expenditures of $9.8 million and reductions in environmental liability estimates of $3.4 million.</w:t>
      </w:r>
    </w:p>
    <w:p>
      <w:pPr>
        <w:spacing w:after="0" w:line="11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anticipate our environmental liabilities, substantially all of which we assumed in connection with our acquisitions, will be payable over many years and that cash flow from operations will generally be sufficient to fund the payment of such liabilities when required.</w:t>
      </w:r>
    </w:p>
    <w:p>
      <w:pPr>
        <w:spacing w:after="0" w:line="81" w:lineRule="exact"/>
        <w:rPr>
          <w:sz w:val="20"/>
          <w:szCs w:val="20"/>
          <w:color w:val="auto"/>
        </w:rPr>
      </w:pPr>
    </w:p>
    <w:p>
      <w:pPr>
        <w:jc w:val="both"/>
        <w:ind w:right="200" w:firstLine="648"/>
        <w:spacing w:after="0" w:line="261" w:lineRule="auto"/>
        <w:rPr>
          <w:sz w:val="20"/>
          <w:szCs w:val="20"/>
          <w:color w:val="auto"/>
        </w:rPr>
      </w:pPr>
      <w:r>
        <w:rPr>
          <w:rFonts w:ascii="Times New Roman" w:cs="Times New Roman" w:eastAsia="Times New Roman" w:hAnsi="Times New Roman"/>
          <w:sz w:val="18"/>
          <w:szCs w:val="18"/>
          <w:color w:val="auto"/>
        </w:rPr>
        <w:t>Events not anticipated, such as future changes in environmental laws and regulations, could require that payments to satisfy our environmental liabilities be made earlier or in greater amounts than currently anticipated, which could adversely affect our results of operations, cash flow and financial condition. Conversely, the development of new treatment technologies or other circumstances may arise in the future that may reduce amounts ultimately paid.</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Letters of Credit</w:t>
      </w:r>
    </w:p>
    <w:p>
      <w:pPr>
        <w:spacing w:after="0" w:line="160" w:lineRule="exact"/>
        <w:rPr>
          <w:sz w:val="20"/>
          <w:szCs w:val="20"/>
          <w:color w:val="auto"/>
        </w:rPr>
      </w:pPr>
    </w:p>
    <w:p>
      <w:pPr>
        <w:jc w:val="both"/>
        <w:ind w:right="260" w:firstLine="648"/>
        <w:spacing w:after="0" w:line="261" w:lineRule="auto"/>
        <w:rPr>
          <w:sz w:val="20"/>
          <w:szCs w:val="20"/>
          <w:color w:val="auto"/>
        </w:rPr>
      </w:pPr>
      <w:r>
        <w:rPr>
          <w:rFonts w:ascii="Times New Roman" w:cs="Times New Roman" w:eastAsia="Times New Roman" w:hAnsi="Times New Roman"/>
          <w:sz w:val="18"/>
          <w:szCs w:val="18"/>
          <w:color w:val="auto"/>
        </w:rPr>
        <w:t>We obtain standby letters of credit as security for financial assurances we have been required to provide to regulatory bodies for our hazardous waste facilities and which would be called only in the event that we fail to satisfy closure, post-closure and other obligations under the permits issued by those regulatory bodies for such licensed facilities. As of September 30, 2026, we had outstanding letters of credit totaling $144.5 million. See Note 11, “Financing Arrangements,” to the accompanying unaudited consolidated financial statements.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In the first nine months of 2026, there were no material changes to the information provided under the heading “Critical Accounting Estimates” included in our Annual Report on Form 10-K for the year ended December 31, 2025. For more information regarding our accounting policies, please refer to Note 2, “Significant Accounting Policies” to the accompanying unaudited consolidated financial statements.</w:t>
      </w:r>
    </w:p>
    <w:p>
      <w:pPr>
        <w:spacing w:after="0" w:line="13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62"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In the first nine months of 2026, there were no material changes to the information provided under Item 7A. “Quantitative and Qualitative Disclosures about Market Risk,” in our Annual Report on Form 10-K for the year ended December 31, 2025.</w:t>
      </w:r>
    </w:p>
    <w:p>
      <w:pPr>
        <w:spacing w:after="0" w:line="11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6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Based on an evaluation under the supervision and with the participation of our Co-Chief Executive Officers and Chief Financial Officer, as of the end of the period covered by this Quarterly Report on Form 10-Q, our Co-Chief Executive Officers and Chief Financial Officer have concluded that our disclosure controls and procedures (as defined under Rule 13a-15(e) and 15d-15(e) under the Securities Exchange Act of 1934, as amended (the “Exchange Act”)) were effective as of September 30, 2026 to ensure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including our Co-Chief Executive Officers and Chief Financial Officer, as appropriate to allow timely decisions regarding required disclosure.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62"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paragraph (d) of Exchange Act Rules 13a-15 or 15d-15 that was conducted during the quarter ended September 30,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4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62"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See Note 15, “Commitments and Contingencies,” to the unaudited consolidated financial statements included in Item 1 of this report, which description is incorporated herein by reference.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2"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from the information provided in Item 1A. in our Annual Report on Form 10-K for the year ended December 31,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Repurchase Program</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the shares of common stock repurchased by us for the periods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00" w:type="dxa"/>
            <w:vAlign w:val="bottom"/>
          </w:tcPr>
          <w:p>
            <w:pPr>
              <w:spacing w:after="0"/>
              <w:rPr>
                <w:sz w:val="16"/>
                <w:szCs w:val="16"/>
                <w:color w:val="auto"/>
              </w:rPr>
            </w:pP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Approximate Dollar Value</w:t>
            </w: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 as</w:t>
            </w:r>
          </w:p>
        </w:tc>
        <w:tc>
          <w:tcPr>
            <w:tcW w:w="100" w:type="dxa"/>
            <w:vAlign w:val="bottom"/>
          </w:tcPr>
          <w:p>
            <w:pPr>
              <w:spacing w:after="0"/>
              <w:rPr>
                <w:sz w:val="14"/>
                <w:szCs w:val="14"/>
                <w:color w:val="auto"/>
              </w:rPr>
            </w:pPr>
          </w:p>
        </w:tc>
        <w:tc>
          <w:tcPr>
            <w:tcW w:w="20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of Shares that May Yet Be</w:t>
            </w: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6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Part of Publicly</w:t>
            </w:r>
          </w:p>
        </w:tc>
        <w:tc>
          <w:tcPr>
            <w:tcW w:w="100" w:type="dxa"/>
            <w:vAlign w:val="bottom"/>
          </w:tcPr>
          <w:p>
            <w:pPr>
              <w:spacing w:after="0"/>
              <w:rPr>
                <w:sz w:val="14"/>
                <w:szCs w:val="14"/>
                <w:color w:val="auto"/>
              </w:rPr>
            </w:pPr>
          </w:p>
        </w:tc>
        <w:tc>
          <w:tcPr>
            <w:tcW w:w="20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Under the Plans</w:t>
            </w:r>
          </w:p>
        </w:tc>
        <w:tc>
          <w:tcPr>
            <w:tcW w:w="0" w:type="dxa"/>
            <w:vAlign w:val="bottom"/>
          </w:tcPr>
          <w:p>
            <w:pPr>
              <w:spacing w:after="0"/>
              <w:rPr>
                <w:sz w:val="1"/>
                <w:szCs w:val="1"/>
                <w:color w:val="auto"/>
              </w:rPr>
            </w:pPr>
          </w:p>
        </w:tc>
      </w:tr>
      <w:tr>
        <w:trPr>
          <w:trHeight w:val="162"/>
        </w:trPr>
        <w:tc>
          <w:tcPr>
            <w:tcW w:w="4100" w:type="dxa"/>
            <w:vAlign w:val="bottom"/>
            <w:vMerge w:val="restart"/>
          </w:tcPr>
          <w:p>
            <w:pPr>
              <w:ind w:left="18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5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Shares</w:t>
            </w:r>
          </w:p>
        </w:tc>
        <w:tc>
          <w:tcPr>
            <w:tcW w:w="100" w:type="dxa"/>
            <w:vAlign w:val="bottom"/>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16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Announced Plans or</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center"/>
              <w:ind w:right="194"/>
              <w:spacing w:after="0" w:line="162" w:lineRule="exact"/>
              <w:rPr>
                <w:sz w:val="20"/>
                <w:szCs w:val="20"/>
                <w:color w:val="auto"/>
              </w:rPr>
            </w:pPr>
            <w:r>
              <w:rPr>
                <w:rFonts w:ascii="Times New Roman" w:cs="Times New Roman" w:eastAsia="Times New Roman" w:hAnsi="Times New Roman"/>
                <w:sz w:val="16"/>
                <w:szCs w:val="16"/>
                <w:b w:val="1"/>
                <w:bCs w:val="1"/>
                <w:color w:val="auto"/>
              </w:rPr>
              <w:t>or Programs</w:t>
            </w:r>
          </w:p>
        </w:tc>
        <w:tc>
          <w:tcPr>
            <w:tcW w:w="0" w:type="dxa"/>
            <w:vAlign w:val="bottom"/>
          </w:tcPr>
          <w:p>
            <w:pPr>
              <w:spacing w:after="0"/>
              <w:rPr>
                <w:sz w:val="1"/>
                <w:szCs w:val="1"/>
                <w:color w:val="auto"/>
              </w:rPr>
            </w:pPr>
          </w:p>
        </w:tc>
      </w:tr>
      <w:tr>
        <w:trPr>
          <w:trHeight w:val="216"/>
        </w:trPr>
        <w:tc>
          <w:tcPr>
            <w:tcW w:w="4100" w:type="dxa"/>
            <w:vAlign w:val="bottom"/>
            <w:tcBorders>
              <w:bottom w:val="single" w:sz="8" w:color="auto"/>
            </w:tcBorders>
            <w:vMerge w:val="continue"/>
          </w:tcPr>
          <w:p>
            <w:pPr>
              <w:spacing w:after="0"/>
              <w:rPr>
                <w:sz w:val="18"/>
                <w:szCs w:val="18"/>
                <w:color w:val="auto"/>
              </w:rPr>
            </w:pPr>
          </w:p>
        </w:tc>
        <w:tc>
          <w:tcPr>
            <w:tcW w:w="152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7"/>
              </w:rPr>
              <w:t xml:space="preserve">Purchased </w:t>
            </w:r>
            <w:r>
              <w:rPr>
                <w:rFonts w:ascii="Times New Roman" w:cs="Times New Roman" w:eastAsia="Times New Roman" w:hAnsi="Times New Roman"/>
                <w:sz w:val="21"/>
                <w:szCs w:val="21"/>
                <w:color w:val="auto"/>
                <w:w w:val="97"/>
                <w:vertAlign w:val="superscript"/>
              </w:rPr>
              <w:t>(1)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52"/>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Share </w:t>
            </w:r>
            <w:r>
              <w:rPr>
                <w:rFonts w:ascii="Times New Roman" w:cs="Times New Roman" w:eastAsia="Times New Roman" w:hAnsi="Times New Roman"/>
                <w:sz w:val="21"/>
                <w:szCs w:val="21"/>
                <w:color w:val="auto"/>
                <w:vertAlign w:val="superscript"/>
              </w:rPr>
              <w:t>(2)</w:t>
            </w:r>
          </w:p>
        </w:tc>
        <w:tc>
          <w:tcPr>
            <w:tcW w:w="12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center"/>
              <w:ind w:right="194"/>
              <w:spacing w:after="0" w:line="216" w:lineRule="exact"/>
              <w:rPr>
                <w:sz w:val="20"/>
                <w:szCs w:val="20"/>
                <w:color w:val="auto"/>
              </w:rPr>
            </w:pPr>
            <w:r>
              <w:rPr>
                <w:rFonts w:ascii="Times New Roman" w:cs="Times New Roman" w:eastAsia="Times New Roman" w:hAnsi="Times New Roman"/>
                <w:sz w:val="16"/>
                <w:szCs w:val="16"/>
                <w:b w:val="1"/>
                <w:bCs w:val="1"/>
                <w:color w:val="auto"/>
                <w:w w:val="98"/>
              </w:rPr>
              <w:t xml:space="preserve">(in thousands) </w:t>
            </w:r>
            <w:r>
              <w:rPr>
                <w:rFonts w:ascii="Times New Roman" w:cs="Times New Roman" w:eastAsia="Times New Roman" w:hAnsi="Times New Roman"/>
                <w:sz w:val="21"/>
                <w:szCs w:val="21"/>
                <w:color w:val="auto"/>
                <w:w w:val="98"/>
                <w:vertAlign w:val="superscript"/>
              </w:rPr>
              <w:t>(3)</w:t>
            </w:r>
          </w:p>
        </w:tc>
        <w:tc>
          <w:tcPr>
            <w:tcW w:w="0" w:type="dxa"/>
            <w:vAlign w:val="bottom"/>
          </w:tcPr>
          <w:p>
            <w:pPr>
              <w:spacing w:after="0"/>
              <w:rPr>
                <w:sz w:val="1"/>
                <w:szCs w:val="1"/>
                <w:color w:val="auto"/>
              </w:rPr>
            </w:pPr>
          </w:p>
        </w:tc>
      </w:tr>
      <w:tr>
        <w:trPr>
          <w:trHeight w:val="237"/>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2026 through July 31, 2026</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27,386</w:t>
            </w:r>
          </w:p>
        </w:tc>
        <w:tc>
          <w:tcPr>
            <w:tcW w:w="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290.26</w:t>
            </w: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17,328</w:t>
            </w:r>
          </w:p>
        </w:tc>
        <w:tc>
          <w:tcPr>
            <w:tcW w:w="3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544,384</w:t>
            </w:r>
          </w:p>
        </w:tc>
        <w:tc>
          <w:tcPr>
            <w:tcW w:w="0" w:type="dxa"/>
            <w:vAlign w:val="bottom"/>
          </w:tcPr>
          <w:p>
            <w:pPr>
              <w:spacing w:after="0"/>
              <w:rPr>
                <w:sz w:val="1"/>
                <w:szCs w:val="1"/>
                <w:color w:val="auto"/>
              </w:rPr>
            </w:pPr>
          </w:p>
        </w:tc>
      </w:tr>
      <w:tr>
        <w:trPr>
          <w:trHeight w:val="24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2026 through August 31, 2026</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311.52</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524,384</w:t>
            </w:r>
          </w:p>
        </w:tc>
        <w:tc>
          <w:tcPr>
            <w:tcW w:w="0" w:type="dxa"/>
            <w:vAlign w:val="bottom"/>
          </w:tcPr>
          <w:p>
            <w:pPr>
              <w:spacing w:after="0"/>
              <w:rPr>
                <w:sz w:val="1"/>
                <w:szCs w:val="1"/>
                <w:color w:val="auto"/>
              </w:rPr>
            </w:pPr>
          </w:p>
        </w:tc>
      </w:tr>
      <w:tr>
        <w:trPr>
          <w:trHeight w:val="24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2026 through September 30, 2026</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313.83</w:t>
            </w:r>
          </w:p>
        </w:tc>
        <w:tc>
          <w:tcPr>
            <w:tcW w:w="120" w:type="dxa"/>
            <w:vAlign w:val="bottom"/>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524,384</w:t>
            </w:r>
          </w:p>
        </w:tc>
        <w:tc>
          <w:tcPr>
            <w:tcW w:w="0" w:type="dxa"/>
            <w:vAlign w:val="bottom"/>
          </w:tcPr>
          <w:p>
            <w:pPr>
              <w:spacing w:after="0"/>
              <w:rPr>
                <w:sz w:val="1"/>
                <w:szCs w:val="1"/>
                <w:color w:val="auto"/>
              </w:rPr>
            </w:pPr>
          </w:p>
        </w:tc>
      </w:tr>
      <w:tr>
        <w:trPr>
          <w:trHeight w:val="236"/>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94,370</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305.25</w:t>
            </w:r>
          </w:p>
        </w:tc>
        <w:tc>
          <w:tcPr>
            <w:tcW w:w="12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81,576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1"/>
          <w:szCs w:val="11"/>
          <w:color w:val="auto"/>
        </w:rPr>
        <w:t>________________</w:t>
      </w:r>
    </w:p>
    <w:p>
      <w:pPr>
        <w:spacing w:after="0" w:line="152" w:lineRule="exact"/>
        <w:rPr>
          <w:sz w:val="20"/>
          <w:szCs w:val="20"/>
          <w:color w:val="auto"/>
        </w:rPr>
      </w:pPr>
    </w:p>
    <w:p>
      <w:pPr>
        <w:ind w:left="660" w:right="620" w:hanging="328"/>
        <w:spacing w:after="0" w:line="261" w:lineRule="auto"/>
        <w:tabs>
          <w:tab w:leader="none" w:pos="72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12,794 shares withheld by us from employees to satisfy employee tax obligations upon vesting of restricted stock granted to our employees under our equity incentive plans.</w:t>
      </w:r>
    </w:p>
    <w:p>
      <w:pPr>
        <w:ind w:left="720" w:hanging="388"/>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share of common stock repurchased under our stock repurchase program includes the commissions paid to brokers.</w:t>
      </w:r>
    </w:p>
    <w:p>
      <w:pPr>
        <w:spacing w:after="0" w:line="9" w:lineRule="exact"/>
        <w:rPr>
          <w:rFonts w:ascii="Times New Roman" w:cs="Times New Roman" w:eastAsia="Times New Roman" w:hAnsi="Times New Roman"/>
          <w:sz w:val="18"/>
          <w:szCs w:val="18"/>
          <w:color w:val="auto"/>
        </w:rPr>
      </w:pPr>
    </w:p>
    <w:p>
      <w:pPr>
        <w:ind w:left="660" w:hanging="328"/>
        <w:spacing w:after="0" w:line="251" w:lineRule="auto"/>
        <w:tabs>
          <w:tab w:leader="none" w:pos="72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18, 2026, we announced that our Board of Directors had authorized a $350.0 million expansion of our share repurchase program. As of September 30, 2026, the amount available for repurchase under the expanded Board-approved plan was $524.4 million. We have funded and intend to fund the repurchases through available cash resources. The stock repurchase program authorizes us to purchase our common stock on the open market or in privately negotiated transactions periodically in a manner that complies with applicable U.S. securities laws. The number of shares purchased and the timing of the purchases has depended and will depend on several factors, including share price, cash required for business plans, trading volume and other conditions. As part of our share repurchase program, we maintain a repurchase plan in accordance with Rule 10b5-1 promulgated under the Exchange Act. During the three months ended September 30, 2026, we repurchased 17,328 shares under the Rule 10b5-1 plan. We have no obligation to repurchase stock under this program and may suspend or terminate the repurchase program at any time.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48" w:lineRule="exact"/>
        <w:rPr>
          <w:sz w:val="20"/>
          <w:szCs w:val="20"/>
          <w:color w:val="auto"/>
        </w:rPr>
      </w:pPr>
    </w:p>
    <w:p>
      <w:pPr>
        <w:ind w:right="220" w:firstLine="648"/>
        <w:spacing w:after="0" w:line="312" w:lineRule="auto"/>
        <w:rPr>
          <w:sz w:val="20"/>
          <w:szCs w:val="20"/>
          <w:color w:val="auto"/>
        </w:rPr>
      </w:pPr>
      <w:r>
        <w:rPr>
          <w:rFonts w:ascii="Times New Roman" w:cs="Times New Roman" w:eastAsia="Times New Roman" w:hAnsi="Times New Roman"/>
          <w:sz w:val="17"/>
          <w:szCs w:val="17"/>
          <w:color w:val="auto"/>
        </w:rPr>
        <w:t>During the quarter ended September 30, 2026, no director or “officer” (as defined in Rule 16a-1(f)) of Clean Harbors, Inc. adopted, modified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Disclosure in Lieu of Current Report on Form 8-K</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We are providing the following disclosure in lieu of filing a Current Report on Form 8-K relating to </w:t>
      </w:r>
      <w:r>
        <w:rPr>
          <w:rFonts w:ascii="Times New Roman" w:cs="Times New Roman" w:eastAsia="Times New Roman" w:hAnsi="Times New Roman"/>
          <w:sz w:val="18"/>
          <w:szCs w:val="18"/>
          <w:b w:val="1"/>
          <w:bCs w:val="1"/>
          <w:color w:val="auto"/>
        </w:rPr>
        <w:t>Item 5.02 - Departure of Directors 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Officers; Election of Directors; Appointment of Certain Officers; Compensatory Arrangements of Certain Officers:</w:t>
      </w:r>
    </w:p>
    <w:p>
      <w:pPr>
        <w:spacing w:after="0" w:line="180"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On October 28, 2026, the Company announced that Eric W. Gerstenberg, currently Co-Chief Executive Officer and Co-President of the Company, will serve as sole Chief Executive Officer and President (and, as a result, as the sole “principal executive officer” of the Company), effective as of January 1, 2027. Mr. Gerstenberg’s biographical information is set forth in the Company’s Definitive Proxy Statement filed with the Securities and Exchange Commission on April 10, 2026, and such information is incorporated herein by reference. In connection with the transition, and as of January 1, 2027, Mr. Gerstenberg will receive an annual base salary of $1,200,000, a target annual incentive cash opportunity equal to 150% of his annual base salary, and an annual long-term incentive with a target value of $8,000,000 (consisting of 60% performance-based restricted stock and 40% time-based restricted stock). In addition, upon the start date in his new role, Mr. Gerstenberg will receive a one-time restricted stock award with a target value of $5,000,000. Such restricted stock award will cliff vest on the fifth anniversary of the grant date, subject to Mr. Gerstenberg’s continued employment with the Company through such date, and will include a relative total shareholder return performance modifier. There are no other arrangements or understandings between Mr. Gerstenberg and any other person pursuant to which Mr. Gerstenberg was named as sole Chief Executive Officer and President of the Company. Mr. Gerstenberg is not a party to any transaction that would require disclosure under Item 404(a) of Regulation S-K.</w:t>
      </w:r>
    </w:p>
    <w:p>
      <w:pPr>
        <w:spacing w:after="0" w:line="15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Michael L. Battles, currently Co-Chief Executive Officer and Co-President of the Company, will transition from such roles, effective as of December 31, 2026. In connection with the transition, on October 26, 2026, Mr. Battles entered into a Retirement and Transition Agreement with the Company (the “Retirement Agreement”), which constituted notice of his retirement in accordance with the Company’s retirement policy, with a retirement date of December 31, 2027. During 2027, Mr. Battles will serve as a part-time employee of the Company in a Senior Advisor role reporting to the Company’s Board of Directors (the “Board”) and providing strategic advice and transition assistance as requested and, in such capacity, he will receive an annual base salary of $200,000. Mr. Battles will remain eligible to receive an annual bonus under the Company’s Management Incentive Plan (the “MIP”) for the 2026 plan year consistent with other senior executives of the Company and, while he remains an employee of the Company, his existing restricted stock awards will be eligible for continued vesting in accordance with their terms. Mr. Battles will not be eligible to participate in the MIP for the 2027 plan year or receive an annual equity award during 2027. In accordance with the terms of the Company’s retirement policy, if Mr. Battles satisfies the conditions set forth in the Retirement Agreement, he will be entitled to the accelerated vesting of 75% of any unvested time-based restricted stock awards and earned but unvested performance-based restricted stock awards outstanding as of his retirement date. All other restricted stock awards held by Mr. Battles that remain unvested as of his retirement date will be forfeited. The Retirement Agreement also contains a reaffirmation of Mr. Battles’ confidentiality obligations to the Company and other restrictive covenants, as well as a general release of claims by Mr. Battles. The foregoing description of the Retirement Agreement is qualified in its entirety by reference to the full text of the Retirement Agreement, a copy of which will be filed as an exhibit to the Company’s Annual Report on Form 10-K for the year ended December 31, 2026.</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on October 26, 2026, Mr. Battles resigned from the Board, effective as of December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Item No.</w:t>
            </w: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580" w:type="dxa"/>
            <w:vAlign w:val="bottom"/>
            <w:gridSpan w:val="5"/>
          </w:tcPr>
          <w:p>
            <w:pPr>
              <w:ind w:left="23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37"/>
        </w:trPr>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9540" w:type="dxa"/>
            <w:vAlign w:val="bottom"/>
            <w:tcBorders>
              <w:top w:val="single" w:sz="8" w:color="auto"/>
            </w:tcBorders>
            <w:gridSpan w:val="8"/>
          </w:tcPr>
          <w:p>
            <w:pPr>
              <w:spacing w:after="0"/>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Indenture, dated October 1, 2026, among Clean Harbors, Inc., the guarantors party thereto and U.S. Bank Trust Company, National</w:t>
              </w:r>
            </w:hyperlink>
          </w:p>
        </w:tc>
      </w:tr>
      <w:tr>
        <w:trPr>
          <w:trHeight w:val="155"/>
        </w:trPr>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54">
              <w:r>
                <w:rPr>
                  <w:rFonts w:ascii="Times New Roman" w:cs="Times New Roman" w:eastAsia="Times New Roman" w:hAnsi="Times New Roman"/>
                  <w:sz w:val="18"/>
                  <w:szCs w:val="18"/>
                  <w:color w:val="0000FF"/>
                  <w:w w:val="99"/>
                </w:rPr>
                <w:t xml:space="preserve">Association, as trustee </w:t>
              </w:r>
              <w:r>
                <w:rPr>
                  <w:rFonts w:ascii="Times New Roman" w:cs="Times New Roman" w:eastAsia="Times New Roman" w:hAnsi="Times New Roman"/>
                  <w:sz w:val="18"/>
                  <w:szCs w:val="18"/>
                  <w:color w:val="000000"/>
                  <w:w w:val="99"/>
                </w:rPr>
                <w:t>(incorporated by reference to Exhibit 4.1 to the Company’s Current Report on Form 8-K filed on October 5,</w:t>
              </w:r>
            </w:hyperlink>
          </w:p>
        </w:tc>
        <w:tc>
          <w:tcPr>
            <w:tcW w:w="100" w:type="dxa"/>
            <w:vAlign w:val="bottom"/>
          </w:tcPr>
          <w:p>
            <w:pPr>
              <w:spacing w:after="0"/>
              <w:rPr>
                <w:sz w:val="13"/>
                <w:szCs w:val="13"/>
                <w:color w:val="auto"/>
              </w:rPr>
            </w:pPr>
          </w:p>
        </w:tc>
      </w:tr>
      <w:tr>
        <w:trPr>
          <w:trHeight w:val="228"/>
        </w:trPr>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2026).</w:t>
            </w:r>
          </w:p>
        </w:tc>
        <w:tc>
          <w:tcPr>
            <w:tcW w:w="600" w:type="dxa"/>
            <w:vAlign w:val="bottom"/>
            <w:tcBorders>
              <w:top w:val="single" w:sz="8" w:color="0000FF"/>
            </w:tcBorders>
          </w:tcPr>
          <w:p>
            <w:pPr>
              <w:spacing w:after="0"/>
              <w:rPr>
                <w:sz w:val="19"/>
                <w:szCs w:val="19"/>
                <w:color w:val="auto"/>
              </w:rPr>
            </w:pPr>
          </w:p>
        </w:tc>
        <w:tc>
          <w:tcPr>
            <w:tcW w:w="3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40" w:type="dxa"/>
            <w:vAlign w:val="bottom"/>
            <w:gridSpan w:val="8"/>
          </w:tcPr>
          <w:p>
            <w:pPr>
              <w:spacing w:after="0"/>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 xml:space="preserve">Form of Note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 4.2 to the Company’s Current Report on Form 8-K filed on October 5, 2026).</w:t>
            </w:r>
          </w:p>
        </w:tc>
      </w:tr>
      <w:tr>
        <w:trPr>
          <w:trHeight w:val="20"/>
        </w:trPr>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r>
      <w:tr>
        <w:trPr>
          <w:trHeight w:val="277"/>
        </w:trPr>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 of the Co-CEO Michael L. Battles</w:t>
            </w:r>
          </w:p>
        </w:tc>
        <w:tc>
          <w:tcPr>
            <w:tcW w:w="4340" w:type="dxa"/>
            <w:vAlign w:val="bottom"/>
            <w:gridSpan w:val="3"/>
          </w:tcPr>
          <w:p>
            <w:pPr>
              <w:spacing w:after="0"/>
              <w:rPr>
                <w:sz w:val="24"/>
                <w:szCs w:val="24"/>
                <w:color w:val="auto"/>
              </w:rPr>
            </w:pPr>
          </w:p>
        </w:tc>
      </w:tr>
      <w:tr>
        <w:trPr>
          <w:trHeight w:val="277"/>
        </w:trPr>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Rule 13a-14a/15d-14(a) Certification of the Co-CEO Eric W. Gerstenberg</w:t>
            </w:r>
          </w:p>
        </w:tc>
      </w:tr>
      <w:tr>
        <w:trPr>
          <w:trHeight w:val="277"/>
        </w:trPr>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Rule 13a-14a/15d-14(a) Certification of the CFO Eric J. Dugas</w:t>
            </w:r>
          </w:p>
        </w:tc>
        <w:tc>
          <w:tcPr>
            <w:tcW w:w="4220" w:type="dxa"/>
            <w:vAlign w:val="bottom"/>
            <w:gridSpan w:val="2"/>
          </w:tcPr>
          <w:p>
            <w:pPr>
              <w:spacing w:after="0"/>
              <w:rPr>
                <w:sz w:val="24"/>
                <w:szCs w:val="24"/>
                <w:color w:val="auto"/>
              </w:rPr>
            </w:pPr>
          </w:p>
        </w:tc>
      </w:tr>
      <w:tr>
        <w:trPr>
          <w:trHeight w:val="277"/>
        </w:trPr>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24"/>
                <w:szCs w:val="24"/>
                <w:color w:val="auto"/>
              </w:rPr>
            </w:pPr>
          </w:p>
        </w:tc>
        <w:tc>
          <w:tcPr>
            <w:tcW w:w="45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Section 1350 Certifications</w:t>
            </w:r>
          </w:p>
        </w:tc>
        <w:tc>
          <w:tcPr>
            <w:tcW w:w="5000" w:type="dxa"/>
            <w:vAlign w:val="bottom"/>
            <w:gridSpan w:val="4"/>
          </w:tcPr>
          <w:p>
            <w:pPr>
              <w:spacing w:after="0"/>
              <w:rPr>
                <w:sz w:val="24"/>
                <w:szCs w:val="24"/>
                <w:color w:val="auto"/>
              </w:rPr>
            </w:pPr>
          </w:p>
        </w:tc>
      </w:tr>
      <w:tr>
        <w:trPr>
          <w:trHeight w:val="20"/>
        </w:trPr>
        <w:tc>
          <w:tcPr>
            <w:tcW w:w="1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7580" w:type="dxa"/>
            <w:vAlign w:val="bottom"/>
            <w:gridSpan w:val="5"/>
          </w:tcPr>
          <w:p>
            <w:pPr>
              <w:spacing w:after="0" w:line="20" w:lineRule="exact"/>
              <w:rPr>
                <w:sz w:val="1"/>
                <w:szCs w:val="1"/>
                <w:color w:val="auto"/>
              </w:rPr>
            </w:pPr>
          </w:p>
        </w:tc>
      </w:tr>
      <w:tr>
        <w:trPr>
          <w:trHeight w:val="318"/>
        </w:trPr>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101.SCH+</w:t>
            </w:r>
          </w:p>
        </w:tc>
        <w:tc>
          <w:tcPr>
            <w:tcW w:w="20" w:type="dxa"/>
            <w:vAlign w:val="bottom"/>
          </w:tcPr>
          <w:p>
            <w:pPr>
              <w:spacing w:after="0"/>
              <w:rPr>
                <w:sz w:val="24"/>
                <w:szCs w:val="24"/>
                <w:color w:val="auto"/>
              </w:rPr>
            </w:pPr>
          </w:p>
        </w:tc>
        <w:tc>
          <w:tcPr>
            <w:tcW w:w="95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97"/>
        </w:trPr>
        <w:tc>
          <w:tcPr>
            <w:tcW w:w="16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5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97"/>
        </w:trPr>
        <w:tc>
          <w:tcPr>
            <w:tcW w:w="16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5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97"/>
        </w:trPr>
        <w:tc>
          <w:tcPr>
            <w:tcW w:w="16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101.PRE+</w:t>
            </w:r>
          </w:p>
        </w:tc>
        <w:tc>
          <w:tcPr>
            <w:tcW w:w="20" w:type="dxa"/>
            <w:vAlign w:val="bottom"/>
          </w:tcPr>
          <w:p>
            <w:pPr>
              <w:spacing w:after="0"/>
              <w:rPr>
                <w:sz w:val="24"/>
                <w:szCs w:val="24"/>
                <w:color w:val="auto"/>
              </w:rPr>
            </w:pPr>
          </w:p>
        </w:tc>
        <w:tc>
          <w:tcPr>
            <w:tcW w:w="95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97"/>
        </w:trPr>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95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58"/>
        </w:trPr>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5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w:t>
            </w:r>
          </w:p>
        </w:tc>
      </w:tr>
    </w:tbl>
    <w:p>
      <w:pPr>
        <w:ind w:left="1700"/>
        <w:spacing w:after="0"/>
        <w:rPr>
          <w:sz w:val="20"/>
          <w:szCs w:val="20"/>
          <w:color w:val="auto"/>
        </w:rPr>
      </w:pPr>
      <w:r>
        <w:rPr>
          <w:rFonts w:ascii="Times New Roman" w:cs="Times New Roman" w:eastAsia="Times New Roman" w:hAnsi="Times New Roman"/>
          <w:sz w:val="18"/>
          <w:szCs w:val="18"/>
          <w:color w:val="auto"/>
        </w:rPr>
        <w:t>101)</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ind w:right="80" w:firstLine="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CLEAN HARBORS, INC.</w:t>
      </w:r>
    </w:p>
    <w:p>
      <w:pPr>
        <w:spacing w:after="0" w:line="90" w:lineRule="exact"/>
        <w:rPr>
          <w:sz w:val="20"/>
          <w:szCs w:val="20"/>
          <w:color w:val="auto"/>
        </w:rPr>
      </w:pPr>
    </w:p>
    <w:p>
      <w:pPr>
        <w:ind w:left="5500"/>
        <w:spacing w:after="0"/>
        <w:tabs>
          <w:tab w:leader="none" w:pos="74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17145</wp:posOffset>
            </wp:positionV>
            <wp:extent cx="34632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26"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Michael L. Battles</w:t>
      </w:r>
    </w:p>
    <w:p>
      <w:pPr>
        <w:spacing w:after="0" w:line="36"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Co-Chief Executive Officer and Co-President</w:t>
      </w:r>
    </w:p>
    <w:p>
      <w:pPr>
        <w:spacing w:after="0" w:line="94"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October 28, 2026</w:t>
      </w:r>
    </w:p>
    <w:p>
      <w:pPr>
        <w:spacing w:after="0" w:line="90" w:lineRule="exact"/>
        <w:rPr>
          <w:sz w:val="20"/>
          <w:szCs w:val="20"/>
          <w:color w:val="auto"/>
        </w:rPr>
      </w:pPr>
    </w:p>
    <w:p>
      <w:pPr>
        <w:ind w:left="5500"/>
        <w:spacing w:after="0"/>
        <w:tabs>
          <w:tab w:leader="none" w:pos="7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W. GERSTENBERG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17145</wp:posOffset>
            </wp:positionV>
            <wp:extent cx="34632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26"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Eric W. Gerstenberg</w:t>
      </w:r>
    </w:p>
    <w:p>
      <w:pPr>
        <w:spacing w:after="0" w:line="36"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Co-Chief Executive Officer and Co-President</w:t>
      </w:r>
    </w:p>
    <w:p>
      <w:pPr>
        <w:spacing w:after="0" w:line="94"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October 28, 2026</w:t>
      </w:r>
    </w:p>
    <w:p>
      <w:pPr>
        <w:spacing w:after="0" w:line="90" w:lineRule="exact"/>
        <w:rPr>
          <w:sz w:val="20"/>
          <w:szCs w:val="20"/>
          <w:color w:val="auto"/>
        </w:rPr>
      </w:pPr>
    </w:p>
    <w:p>
      <w:pPr>
        <w:ind w:left="5500"/>
        <w:spacing w:after="0"/>
        <w:tabs>
          <w:tab w:leader="none" w:pos="7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J. DUGAS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17145</wp:posOffset>
            </wp:positionV>
            <wp:extent cx="34632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26"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Eric J. Dugas</w:t>
      </w:r>
    </w:p>
    <w:p>
      <w:pPr>
        <w:spacing w:after="0" w:line="36"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7"/>
          <w:szCs w:val="17"/>
          <w:b w:val="1"/>
          <w:bCs w:val="1"/>
          <w:color w:val="auto"/>
        </w:rPr>
        <w:t>Executive Vice President and Chief Financial Officer</w:t>
      </w:r>
    </w:p>
    <w:p>
      <w:pPr>
        <w:spacing w:after="0" w:line="106"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October 28,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540"/>
          </w:cols>
          <w:pgMar w:left="320" w:top="121" w:right="10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CO-CHIEF EXECUTIVE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L. Battles, certify that:</w:t>
      </w:r>
    </w:p>
    <w:p>
      <w:pPr>
        <w:spacing w:after="0" w:line="252" w:lineRule="exact"/>
        <w:rPr>
          <w:sz w:val="20"/>
          <w:szCs w:val="20"/>
          <w:color w:val="auto"/>
        </w:rPr>
      </w:pPr>
    </w:p>
    <w:p>
      <w:pPr>
        <w:ind w:left="200" w:hanging="192"/>
        <w:spacing w:after="0"/>
        <w:tabs>
          <w:tab w:leader="none" w:pos="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Clean Harbors, Inc.;</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80" w:firstLine="8"/>
        <w:spacing w:after="0" w:line="266" w:lineRule="auto"/>
        <w:tabs>
          <w:tab w:leader="none" w:pos="18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right="140" w:firstLine="8"/>
        <w:spacing w:after="0" w:line="266" w:lineRule="auto"/>
        <w:tabs>
          <w:tab w:leader="none" w:pos="2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right="100" w:firstLine="8"/>
        <w:spacing w:after="0" w:line="282" w:lineRule="auto"/>
        <w:tabs>
          <w:tab w:leader="none" w:pos="2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right="320" w:firstLine="8"/>
        <w:spacing w:after="0" w:line="266" w:lineRule="auto"/>
        <w:tabs>
          <w:tab w:leader="none" w:pos="2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right="280" w:firstLine="8"/>
        <w:spacing w:after="0" w:line="282" w:lineRule="auto"/>
        <w:tabs>
          <w:tab w:leader="none" w:pos="18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40" w:firstLine="8"/>
        <w:spacing w:after="0" w:line="282" w:lineRule="auto"/>
        <w:tabs>
          <w:tab w:leader="none" w:pos="25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260" w:firstLine="8"/>
        <w:spacing w:after="0" w:line="282" w:lineRule="auto"/>
        <w:tabs>
          <w:tab w:leader="none" w:pos="2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56"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26"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b w:val="1"/>
          <w:bCs w:val="1"/>
          <w:color w:val="auto"/>
        </w:rPr>
        <w:t>Michael L. Battles</w:t>
      </w:r>
    </w:p>
    <w:p>
      <w:pPr>
        <w:spacing w:after="0" w:line="36"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b w:val="1"/>
          <w:bCs w:val="1"/>
          <w:color w:val="auto"/>
        </w:rPr>
        <w:t>Co-Chief Executive Officer and Co-President</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28, 2026</w:t>
      </w:r>
    </w:p>
    <w:p>
      <w:pPr>
        <w:sectPr>
          <w:pgSz w:w="11900" w:h="16838" w:orient="portrait"/>
          <w:cols w:equalWidth="0" w:num="1">
            <w:col w:w="11240"/>
          </w:cols>
          <w:pgMar w:left="320" w:top="88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CO-CHIEF EXECUTIVE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W. Gerstenberg, certify that:</w:t>
      </w:r>
    </w:p>
    <w:p>
      <w:pPr>
        <w:spacing w:after="0" w:line="252" w:lineRule="exact"/>
        <w:rPr>
          <w:sz w:val="20"/>
          <w:szCs w:val="20"/>
          <w:color w:val="auto"/>
        </w:rPr>
      </w:pPr>
    </w:p>
    <w:p>
      <w:pPr>
        <w:ind w:left="200" w:hanging="192"/>
        <w:spacing w:after="0"/>
        <w:tabs>
          <w:tab w:leader="none" w:pos="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Clean Harbors, Inc.;</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80" w:firstLine="8"/>
        <w:spacing w:after="0" w:line="266" w:lineRule="auto"/>
        <w:tabs>
          <w:tab w:leader="none" w:pos="18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right="140" w:firstLine="8"/>
        <w:spacing w:after="0" w:line="266" w:lineRule="auto"/>
        <w:tabs>
          <w:tab w:leader="none" w:pos="25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right="100" w:firstLine="8"/>
        <w:spacing w:after="0" w:line="282" w:lineRule="auto"/>
        <w:tabs>
          <w:tab w:leader="none" w:pos="25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right="320" w:firstLine="8"/>
        <w:spacing w:after="0" w:line="266" w:lineRule="auto"/>
        <w:tabs>
          <w:tab w:leader="none" w:pos="2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right="280" w:firstLine="8"/>
        <w:spacing w:after="0" w:line="282" w:lineRule="auto"/>
        <w:tabs>
          <w:tab w:leader="none" w:pos="18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40" w:firstLine="8"/>
        <w:spacing w:after="0" w:line="282" w:lineRule="auto"/>
        <w:tabs>
          <w:tab w:leader="none" w:pos="25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260" w:firstLine="8"/>
        <w:spacing w:after="0" w:line="282" w:lineRule="auto"/>
        <w:tabs>
          <w:tab w:leader="none" w:pos="2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 ERIC W. GERSTENBERG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6"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Eric W. Gerstenberg</w:t>
      </w:r>
    </w:p>
    <w:p>
      <w:pPr>
        <w:spacing w:after="0" w:line="36"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b w:val="1"/>
          <w:bCs w:val="1"/>
          <w:color w:val="auto"/>
        </w:rPr>
        <w:t>Co-Chief Executive Officer and Co-President</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28, 2026</w:t>
      </w:r>
    </w:p>
    <w:p>
      <w:pPr>
        <w:sectPr>
          <w:pgSz w:w="11900" w:h="16838" w:orient="portrait"/>
          <w:cols w:equalWidth="0" w:num="1">
            <w:col w:w="11240"/>
          </w:cols>
          <w:pgMar w:left="320" w:top="88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J. Dugas, certify that:</w:t>
      </w:r>
    </w:p>
    <w:p>
      <w:pPr>
        <w:spacing w:after="0" w:line="252" w:lineRule="exact"/>
        <w:rPr>
          <w:sz w:val="20"/>
          <w:szCs w:val="20"/>
          <w:color w:val="auto"/>
        </w:rPr>
      </w:pPr>
    </w:p>
    <w:p>
      <w:pPr>
        <w:ind w:left="200" w:hanging="192"/>
        <w:spacing w:after="0"/>
        <w:tabs>
          <w:tab w:leader="none" w:pos="2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Clean Harbors, Inc.;</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80" w:firstLine="8"/>
        <w:spacing w:after="0" w:line="266" w:lineRule="auto"/>
        <w:tabs>
          <w:tab w:leader="none" w:pos="18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right="140" w:firstLine="8"/>
        <w:spacing w:after="0" w:line="266" w:lineRule="auto"/>
        <w:tabs>
          <w:tab w:leader="none" w:pos="25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right="100" w:firstLine="8"/>
        <w:spacing w:after="0" w:line="282" w:lineRule="auto"/>
        <w:tabs>
          <w:tab w:leader="none" w:pos="25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right="320" w:firstLine="8"/>
        <w:spacing w:after="0" w:line="266" w:lineRule="auto"/>
        <w:tabs>
          <w:tab w:leader="none" w:pos="2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right="280" w:firstLine="8"/>
        <w:spacing w:after="0" w:line="282" w:lineRule="auto"/>
        <w:tabs>
          <w:tab w:leader="none" w:pos="18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40" w:firstLine="8"/>
        <w:spacing w:after="0" w:line="282" w:lineRule="auto"/>
        <w:tabs>
          <w:tab w:leader="none" w:pos="25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260" w:firstLine="8"/>
        <w:spacing w:after="0" w:line="282" w:lineRule="auto"/>
        <w:tabs>
          <w:tab w:leader="none" w:pos="26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56"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/s/ ERIC J. DUGAS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26"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b w:val="1"/>
          <w:bCs w:val="1"/>
          <w:color w:val="auto"/>
        </w:rPr>
        <w:t>Eric J. Dugas</w:t>
      </w:r>
    </w:p>
    <w:p>
      <w:pPr>
        <w:spacing w:after="0" w:line="3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b w:val="1"/>
          <w:bCs w:val="1"/>
          <w:color w:val="auto"/>
        </w:rPr>
        <w:t>Executive Vice President and Chief Financial Officer</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28, 2026</w:t>
      </w:r>
    </w:p>
    <w:p>
      <w:pPr>
        <w:sectPr>
          <w:pgSz w:w="11900" w:h="16838" w:orient="portrait"/>
          <w:cols w:equalWidth="0" w:num="1">
            <w:col w:w="11240"/>
          </w:cols>
          <w:pgMar w:left="320" w:top="88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2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1350, CHAPTER 63 OF TITLE 18, UNITED STATES CODE,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 OXLEY ACT OF 2002</w:t>
      </w:r>
    </w:p>
    <w:p>
      <w:pPr>
        <w:spacing w:after="0" w:line="234"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Pursuant to 18 U.S.C. §1350, each of the undersigned certifies that, to his knowledge, this Quarterly Report on Form 10-Q for the period ended September 30, 2026 fully complies with the requirements of Section 13(a) or 15(d) of the Securities Exchange Act of 1934 and the information contained in this report fairly presents, in all material respects, the financial condition and results of operations of Clean Harbors, Inc.</w:t>
      </w:r>
    </w:p>
    <w:p>
      <w:pPr>
        <w:spacing w:after="0" w:line="324"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5340" w:type="dxa"/>
            <w:vAlign w:val="bottom"/>
          </w:tcPr>
          <w:p>
            <w:pPr>
              <w:ind w:left="5060"/>
              <w:spacing w:after="0"/>
              <w:rPr>
                <w:sz w:val="20"/>
                <w:szCs w:val="20"/>
                <w:color w:val="auto"/>
              </w:rPr>
            </w:pPr>
            <w:r>
              <w:rPr>
                <w:rFonts w:ascii="Times New Roman" w:cs="Times New Roman" w:eastAsia="Times New Roman" w:hAnsi="Times New Roman"/>
                <w:sz w:val="18"/>
                <w:szCs w:val="18"/>
                <w:color w:val="auto"/>
                <w:w w:val="99"/>
              </w:rPr>
              <w:t>By:</w:t>
            </w:r>
          </w:p>
        </w:tc>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L. BATTLES</w:t>
            </w:r>
          </w:p>
        </w:tc>
      </w:tr>
      <w:tr>
        <w:trPr>
          <w:trHeight w:val="237"/>
        </w:trPr>
        <w:tc>
          <w:tcPr>
            <w:tcW w:w="5340" w:type="dxa"/>
            <w:vAlign w:val="bottom"/>
          </w:tcPr>
          <w:p>
            <w:pPr>
              <w:spacing w:after="0"/>
              <w:rPr>
                <w:sz w:val="20"/>
                <w:szCs w:val="20"/>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Michael L. Battles</w:t>
            </w:r>
          </w:p>
        </w:tc>
      </w:tr>
      <w:tr>
        <w:trPr>
          <w:trHeight w:val="24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28, 2026</w:t>
            </w: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Co-Chief Executive Officer and Co-President</w:t>
            </w:r>
          </w:p>
        </w:tc>
      </w:tr>
      <w:tr>
        <w:trPr>
          <w:trHeight w:val="311"/>
        </w:trPr>
        <w:tc>
          <w:tcPr>
            <w:tcW w:w="5340" w:type="dxa"/>
            <w:vAlign w:val="bottom"/>
          </w:tcPr>
          <w:p>
            <w:pPr>
              <w:ind w:left="5060"/>
              <w:spacing w:after="0"/>
              <w:rPr>
                <w:sz w:val="20"/>
                <w:szCs w:val="20"/>
                <w:color w:val="auto"/>
              </w:rPr>
            </w:pPr>
            <w:r>
              <w:rPr>
                <w:rFonts w:ascii="Times New Roman" w:cs="Times New Roman" w:eastAsia="Times New Roman" w:hAnsi="Times New Roman"/>
                <w:sz w:val="18"/>
                <w:szCs w:val="18"/>
                <w:color w:val="auto"/>
                <w:w w:val="99"/>
              </w:rPr>
              <w:t>By:</w:t>
            </w:r>
          </w:p>
        </w:tc>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ERIC W. GERSTENBERG</w:t>
            </w:r>
          </w:p>
        </w:tc>
      </w:tr>
      <w:tr>
        <w:trPr>
          <w:trHeight w:val="237"/>
        </w:trPr>
        <w:tc>
          <w:tcPr>
            <w:tcW w:w="5340" w:type="dxa"/>
            <w:vAlign w:val="bottom"/>
          </w:tcPr>
          <w:p>
            <w:pPr>
              <w:spacing w:after="0"/>
              <w:rPr>
                <w:sz w:val="20"/>
                <w:szCs w:val="20"/>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Eric W. Gerstenberg</w:t>
            </w:r>
          </w:p>
        </w:tc>
      </w:tr>
      <w:tr>
        <w:trPr>
          <w:trHeight w:val="24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28, 2026</w:t>
            </w: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Co-Chief Executive Officer and Co-President</w:t>
            </w:r>
          </w:p>
        </w:tc>
      </w:tr>
      <w:tr>
        <w:trPr>
          <w:trHeight w:val="499"/>
        </w:trPr>
        <w:tc>
          <w:tcPr>
            <w:tcW w:w="5340" w:type="dxa"/>
            <w:vAlign w:val="bottom"/>
          </w:tcPr>
          <w:p>
            <w:pPr>
              <w:ind w:left="5060"/>
              <w:spacing w:after="0"/>
              <w:rPr>
                <w:sz w:val="20"/>
                <w:szCs w:val="20"/>
                <w:color w:val="auto"/>
              </w:rPr>
            </w:pPr>
            <w:r>
              <w:rPr>
                <w:rFonts w:ascii="Times New Roman" w:cs="Times New Roman" w:eastAsia="Times New Roman" w:hAnsi="Times New Roman"/>
                <w:sz w:val="18"/>
                <w:szCs w:val="18"/>
                <w:color w:val="auto"/>
                <w:w w:val="99"/>
              </w:rPr>
              <w:t>By:</w:t>
            </w:r>
          </w:p>
        </w:tc>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ERIC J. DUGAS</w:t>
            </w:r>
          </w:p>
        </w:tc>
      </w:tr>
      <w:tr>
        <w:trPr>
          <w:trHeight w:val="237"/>
        </w:trPr>
        <w:tc>
          <w:tcPr>
            <w:tcW w:w="5340" w:type="dxa"/>
            <w:vAlign w:val="bottom"/>
          </w:tcPr>
          <w:p>
            <w:pPr>
              <w:spacing w:after="0"/>
              <w:rPr>
                <w:sz w:val="20"/>
                <w:szCs w:val="20"/>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Eric J. Dugas</w:t>
            </w:r>
          </w:p>
        </w:tc>
      </w:tr>
      <w:tr>
        <w:trPr>
          <w:trHeight w:val="24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28, 2026</w:t>
            </w: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Executive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lowerLetter"/>
      <w:start w:val="1"/>
    </w:lvl>
  </w:abstractNum>
  <w:abstractNum w:abstractNumId="13">
    <w:nsid w:val="3F2DBA31"/>
    <w:multiLevelType w:val="hybridMultilevel"/>
    <w:lvl w:ilvl="0">
      <w:lvlJc w:val="left"/>
      <w:lvlText w:val="%1."/>
      <w:numFmt w:val="decimal"/>
      <w:start w:val="5"/>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decimal"/>
      <w:start w:val="5"/>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lowerLetter"/>
      <w:start w:val="1"/>
    </w:lvl>
  </w:abstractNum>
  <w:abstractNum w:abstractNumId="21">
    <w:nsid w:val="2443A858"/>
    <w:multiLevelType w:val="hybridMultilevel"/>
    <w:lvl w:ilvl="0">
      <w:lvlJc w:val="left"/>
      <w:lvlText w:val="%1."/>
      <w:numFmt w:val="decimal"/>
      <w:start w:val="5"/>
    </w:lvl>
  </w:abstractNum>
  <w:abstractNum w:abstractNumId="22">
    <w:nsid w:val="2D1D5AE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54" Type="http://schemas.openxmlformats.org/officeDocument/2006/relationships/hyperlink" Target="https://www.sec.gov/Archives/edgar/data/822818/000082281826000042/clh-2026notesofferingxi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2026-10-28T10:22:49Z</dcterms:created>
  <dcterms:modified xsi:type="dcterms:W3CDTF">2026-10-28T10:22:49Z</dcterms:modified>
</cp:coreProperties>
</file>