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7"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18"/>
          <w:szCs w:val="18"/>
          <w:color w:val="auto"/>
        </w:rPr>
        <w:t>_______________________</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4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1"/>
          <w:szCs w:val="21"/>
          <w:b w:val="1"/>
          <w:bCs w:val="1"/>
          <w:color w:val="auto"/>
        </w:rPr>
        <w:t>QUARTERLY REPORT PURSUANT TO SECTION 13 OR 15(d) OF THE SECURITIES</w:t>
      </w:r>
    </w:p>
    <w:p>
      <w:pPr>
        <w:spacing w:after="0" w:line="22" w:lineRule="exact"/>
        <w:rPr>
          <w:sz w:val="24"/>
          <w:szCs w:val="24"/>
          <w:color w:val="auto"/>
        </w:rPr>
      </w:pPr>
    </w:p>
    <w:p>
      <w:pPr>
        <w:ind w:left="1620" w:hanging="478"/>
        <w:spacing w:after="0"/>
        <w:tabs>
          <w:tab w:leader="none" w:pos="162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EXCHANGE ACT OF 1934</w:t>
      </w:r>
    </w:p>
    <w:p>
      <w:pPr>
        <w:spacing w:after="0" w:line="1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2019</w:t>
      </w:r>
    </w:p>
    <w:p>
      <w:pPr>
        <w:spacing w:after="0" w:line="6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76" w:lineRule="exact"/>
        <w:rPr>
          <w:sz w:val="24"/>
          <w:szCs w:val="24"/>
          <w:color w:val="auto"/>
        </w:rPr>
      </w:pPr>
    </w:p>
    <w:p>
      <w:pPr>
        <w:ind w:left="1620"/>
        <w:spacing w:after="0"/>
        <w:rPr>
          <w:sz w:val="20"/>
          <w:szCs w:val="20"/>
          <w:color w:val="auto"/>
        </w:rPr>
      </w:pPr>
      <w:r>
        <w:rPr>
          <w:rFonts w:ascii="Times New Roman" w:cs="Times New Roman" w:eastAsia="Times New Roman" w:hAnsi="Times New Roman"/>
          <w:sz w:val="21"/>
          <w:szCs w:val="21"/>
          <w:b w:val="1"/>
          <w:bCs w:val="1"/>
          <w:color w:val="auto"/>
        </w:rPr>
        <w:t>TRANSITION REPORT PURSUANT TO SECTION 13 OR 15(d) OF THE SECURITIES</w:t>
      </w:r>
    </w:p>
    <w:p>
      <w:pPr>
        <w:spacing w:after="0" w:line="22" w:lineRule="exact"/>
        <w:rPr>
          <w:sz w:val="24"/>
          <w:szCs w:val="24"/>
          <w:color w:val="auto"/>
        </w:rPr>
      </w:pPr>
    </w:p>
    <w:p>
      <w:pPr>
        <w:ind w:left="1620" w:hanging="478"/>
        <w:spacing w:after="0"/>
        <w:tabs>
          <w:tab w:leader="none" w:pos="162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EXCHANGE ACT OF 1934</w:t>
      </w:r>
    </w:p>
    <w:p>
      <w:pPr>
        <w:sectPr>
          <w:pgSz w:w="11900" w:h="16838" w:orient="portrait"/>
          <w:cols w:equalWidth="0" w:num="1">
            <w:col w:w="11400"/>
          </w:cols>
          <w:pgMar w:left="240" w:top="229" w:right="259" w:bottom="1440" w:gutter="0" w:footer="0" w:header="0"/>
        </w:sectPr>
      </w:pPr>
    </w:p>
    <w:p>
      <w:pPr>
        <w:spacing w:after="0" w:line="222"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17"/>
          <w:szCs w:val="17"/>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TO</w:t>
      </w:r>
    </w:p>
    <w:p>
      <w:pPr>
        <w:spacing w:after="0" w:line="211" w:lineRule="exact"/>
        <w:rPr>
          <w:sz w:val="24"/>
          <w:szCs w:val="24"/>
          <w:color w:val="auto"/>
        </w:rPr>
      </w:pPr>
    </w:p>
    <w:p>
      <w:pPr>
        <w:sectPr>
          <w:pgSz w:w="11900" w:h="16838" w:orient="portrait"/>
          <w:cols w:equalWidth="0" w:num="2">
            <w:col w:w="6880" w:space="420"/>
            <w:col w:w="4100"/>
          </w:cols>
          <w:pgMar w:left="240" w:top="229" w:right="259" w:bottom="1440" w:gutter="0" w:footer="0" w:header="0"/>
          <w:type w:val="continuous"/>
        </w:sectPr>
      </w:pPr>
    </w:p>
    <w:p>
      <w:pPr>
        <w:spacing w:after="0" w:line="3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Commission File Number 001-34223</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_______________________</w:t>
      </w:r>
    </w:p>
    <w:p>
      <w:pPr>
        <w:sectPr>
          <w:pgSz w:w="11900" w:h="16838" w:orient="portrait"/>
          <w:cols w:equalWidth="0" w:num="1">
            <w:col w:w="11400"/>
          </w:cols>
          <w:pgMar w:left="240" w:top="229" w:right="259" w:bottom="1440" w:gutter="0" w:footer="0" w:header="0"/>
          <w:type w:val="continuous"/>
        </w:sectPr>
      </w:pP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CLEAN HARBORS, INC.</w:t>
      </w:r>
    </w:p>
    <w:p>
      <w:pPr>
        <w:spacing w:after="0" w:line="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47" w:lineRule="exact"/>
        <w:rPr>
          <w:sz w:val="24"/>
          <w:szCs w:val="24"/>
          <w:color w:val="auto"/>
        </w:rPr>
      </w:pPr>
    </w:p>
    <w:tbl>
      <w:tblPr>
        <w:tblLayout w:type="fixed"/>
        <w:tblInd w:w="1060" w:type="dxa"/>
        <w:tblCellMar>
          <w:top w:w="0" w:type="dxa"/>
          <w:left w:w="0" w:type="dxa"/>
          <w:bottom w:w="0" w:type="dxa"/>
          <w:right w:w="0" w:type="dxa"/>
        </w:tblCellMar>
      </w:tblPr>
      <w:tr>
        <w:trPr>
          <w:trHeight w:val="238"/>
        </w:trPr>
        <w:tc>
          <w:tcPr>
            <w:tcW w:w="5480" w:type="dxa"/>
            <w:vAlign w:val="bottom"/>
          </w:tcPr>
          <w:p>
            <w:pPr>
              <w:jc w:val="center"/>
              <w:ind w:right="590"/>
              <w:spacing w:after="0"/>
              <w:rPr>
                <w:sz w:val="20"/>
                <w:szCs w:val="20"/>
                <w:color w:val="auto"/>
              </w:rPr>
            </w:pPr>
            <w:r>
              <w:rPr>
                <w:rFonts w:ascii="Times New Roman" w:cs="Times New Roman" w:eastAsia="Times New Roman" w:hAnsi="Times New Roman"/>
                <w:sz w:val="18"/>
                <w:szCs w:val="18"/>
                <w:b w:val="1"/>
                <w:bCs w:val="1"/>
                <w:color w:val="auto"/>
              </w:rPr>
              <w:t>Massachusetts</w:t>
            </w:r>
          </w:p>
        </w:tc>
        <w:tc>
          <w:tcPr>
            <w:tcW w:w="3560" w:type="dxa"/>
            <w:vAlign w:val="bottom"/>
          </w:tcPr>
          <w:p>
            <w:pPr>
              <w:jc w:val="center"/>
              <w:ind w:left="1010"/>
              <w:spacing w:after="0"/>
              <w:rPr>
                <w:sz w:val="20"/>
                <w:szCs w:val="20"/>
                <w:color w:val="auto"/>
              </w:rPr>
            </w:pPr>
            <w:r>
              <w:rPr>
                <w:rFonts w:ascii="Times New Roman" w:cs="Times New Roman" w:eastAsia="Times New Roman" w:hAnsi="Times New Roman"/>
                <w:sz w:val="18"/>
                <w:szCs w:val="18"/>
                <w:b w:val="1"/>
                <w:bCs w:val="1"/>
                <w:color w:val="auto"/>
                <w:w w:val="98"/>
              </w:rPr>
              <w:t>04-2997780</w:t>
            </w:r>
          </w:p>
        </w:tc>
      </w:tr>
      <w:tr>
        <w:trPr>
          <w:trHeight w:val="270"/>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(State or Other Jurisdiction of Incorporation or Organization)</w:t>
            </w:r>
          </w:p>
        </w:tc>
        <w:tc>
          <w:tcPr>
            <w:tcW w:w="3560" w:type="dxa"/>
            <w:vAlign w:val="bottom"/>
          </w:tcPr>
          <w:p>
            <w:pPr>
              <w:jc w:val="center"/>
              <w:ind w:left="99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270"/>
        </w:trPr>
        <w:tc>
          <w:tcPr>
            <w:tcW w:w="5480" w:type="dxa"/>
            <w:vAlign w:val="bottom"/>
          </w:tcPr>
          <w:p>
            <w:pPr>
              <w:ind w:left="1040"/>
              <w:spacing w:after="0"/>
              <w:rPr>
                <w:sz w:val="20"/>
                <w:szCs w:val="20"/>
                <w:color w:val="auto"/>
              </w:rPr>
            </w:pPr>
            <w:r>
              <w:rPr>
                <w:rFonts w:ascii="Times New Roman" w:cs="Times New Roman" w:eastAsia="Times New Roman" w:hAnsi="Times New Roman"/>
                <w:sz w:val="18"/>
                <w:szCs w:val="18"/>
                <w:b w:val="1"/>
                <w:bCs w:val="1"/>
                <w:color w:val="auto"/>
              </w:rPr>
              <w:t>42 Longwater Drive Norwell MA</w:t>
            </w:r>
          </w:p>
        </w:tc>
        <w:tc>
          <w:tcPr>
            <w:tcW w:w="3560" w:type="dxa"/>
            <w:vAlign w:val="bottom"/>
          </w:tcPr>
          <w:p>
            <w:pPr>
              <w:jc w:val="center"/>
              <w:ind w:left="1010"/>
              <w:spacing w:after="0"/>
              <w:rPr>
                <w:sz w:val="20"/>
                <w:szCs w:val="20"/>
                <w:color w:val="auto"/>
              </w:rPr>
            </w:pPr>
            <w:r>
              <w:rPr>
                <w:rFonts w:ascii="Times New Roman" w:cs="Times New Roman" w:eastAsia="Times New Roman" w:hAnsi="Times New Roman"/>
                <w:sz w:val="18"/>
                <w:szCs w:val="18"/>
                <w:b w:val="1"/>
                <w:bCs w:val="1"/>
                <w:color w:val="auto"/>
                <w:w w:val="98"/>
              </w:rPr>
              <w:t>02061-9149</w:t>
            </w:r>
          </w:p>
        </w:tc>
      </w:tr>
      <w:tr>
        <w:trPr>
          <w:trHeight w:val="270"/>
        </w:trPr>
        <w:tc>
          <w:tcPr>
            <w:tcW w:w="5480" w:type="dxa"/>
            <w:vAlign w:val="bottom"/>
          </w:tcPr>
          <w:p>
            <w:pPr>
              <w:jc w:val="center"/>
              <w:ind w:right="59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3560" w:type="dxa"/>
            <w:vAlign w:val="bottom"/>
          </w:tcPr>
          <w:p>
            <w:pPr>
              <w:jc w:val="center"/>
              <w:ind w:left="1010"/>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1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(781) 792-5000</w:t>
      </w:r>
    </w:p>
    <w:p>
      <w:pPr>
        <w:spacing w:after="0" w:line="1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67" w:lineRule="exact"/>
        <w:rPr>
          <w:sz w:val="24"/>
          <w:szCs w:val="24"/>
          <w:color w:val="auto"/>
        </w:rPr>
      </w:pPr>
    </w:p>
    <w:tbl>
      <w:tblPr>
        <w:tblLayout w:type="fixed"/>
        <w:tblInd w:w="820" w:type="dxa"/>
        <w:tblCellMar>
          <w:top w:w="0" w:type="dxa"/>
          <w:left w:w="0" w:type="dxa"/>
          <w:bottom w:w="0" w:type="dxa"/>
          <w:right w:w="0" w:type="dxa"/>
        </w:tblCellMar>
      </w:tblPr>
      <w:tr>
        <w:trPr>
          <w:trHeight w:val="216"/>
        </w:trPr>
        <w:tc>
          <w:tcPr>
            <w:tcW w:w="3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 which</w:t>
            </w:r>
          </w:p>
        </w:tc>
      </w:tr>
      <w:tr>
        <w:trPr>
          <w:trHeight w:val="238"/>
        </w:trPr>
        <w:tc>
          <w:tcPr>
            <w:tcW w:w="3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3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registered</w:t>
            </w:r>
          </w:p>
        </w:tc>
      </w:tr>
      <w:tr>
        <w:trPr>
          <w:trHeight w:val="27"/>
        </w:trPr>
        <w:tc>
          <w:tcPr>
            <w:tcW w:w="3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r>
      <w:tr>
        <w:trPr>
          <w:trHeight w:val="237"/>
        </w:trPr>
        <w:tc>
          <w:tcPr>
            <w:tcW w:w="3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Common Stock, $0.01 par value</w:t>
            </w:r>
          </w:p>
        </w:tc>
        <w:tc>
          <w:tcPr>
            <w:tcW w:w="3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CLH</w:t>
            </w:r>
          </w:p>
        </w:tc>
        <w:tc>
          <w:tcPr>
            <w:tcW w:w="3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117" w:lineRule="exact"/>
        <w:rPr>
          <w:sz w:val="24"/>
          <w:szCs w:val="24"/>
          <w:color w:val="auto"/>
        </w:rPr>
      </w:pPr>
    </w:p>
    <w:p>
      <w:pPr>
        <w:ind w:right="120" w:firstLine="324"/>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71" w:lineRule="exact"/>
        <w:rPr>
          <w:sz w:val="24"/>
          <w:szCs w:val="24"/>
          <w:color w:val="auto"/>
        </w:rPr>
      </w:pPr>
    </w:p>
    <w:p>
      <w:pPr>
        <w:ind w:right="200" w:firstLine="324"/>
        <w:spacing w:after="0" w:line="235"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71" w:lineRule="exact"/>
        <w:rPr>
          <w:sz w:val="24"/>
          <w:szCs w:val="24"/>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400"/>
          </w:cols>
          <w:pgMar w:left="240" w:top="229" w:right="259" w:bottom="1440" w:gutter="0" w:footer="0" w:header="0"/>
          <w:type w:val="continuous"/>
        </w:sectPr>
      </w:pPr>
    </w:p>
    <w:p>
      <w:pPr>
        <w:spacing w:after="0" w:line="230" w:lineRule="exact"/>
        <w:rPr>
          <w:sz w:val="24"/>
          <w:szCs w:val="24"/>
          <w:color w:val="auto"/>
        </w:rPr>
      </w:pPr>
    </w:p>
    <w:p>
      <w:pPr>
        <w:ind w:left="1780"/>
        <w:spacing w:after="0"/>
        <w:rPr>
          <w:sz w:val="20"/>
          <w:szCs w:val="20"/>
          <w:color w:val="auto"/>
        </w:rPr>
      </w:pPr>
      <w:r>
        <w:rPr>
          <w:rFonts w:ascii="Times New Roman" w:cs="Times New Roman" w:eastAsia="Times New Roman" w:hAnsi="Times New Roman"/>
          <w:sz w:val="18"/>
          <w:szCs w:val="18"/>
          <w:color w:val="auto"/>
        </w:rPr>
        <w:t>Large accelerated filer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22" w:lineRule="exact"/>
        <w:rPr>
          <w:sz w:val="24"/>
          <w:szCs w:val="24"/>
          <w:color w:val="auto"/>
        </w:rPr>
      </w:pPr>
    </w:p>
    <w:p>
      <w:pPr>
        <w:sectPr>
          <w:pgSz w:w="11900" w:h="16838" w:orient="portrait"/>
          <w:cols w:equalWidth="0" w:num="4">
            <w:col w:w="3400" w:space="100"/>
            <w:col w:w="4180" w:space="720"/>
            <w:col w:w="1200" w:space="60"/>
            <w:col w:w="1740"/>
          </w:cols>
          <w:pgMar w:left="240" w:top="229" w:right="259" w:bottom="1440" w:gutter="0" w:footer="0" w:header="0"/>
          <w:type w:val="continuous"/>
        </w:sectPr>
      </w:pPr>
    </w:p>
    <w:p>
      <w:pPr>
        <w:spacing w:after="0" w:line="16" w:lineRule="exact"/>
        <w:rPr>
          <w:sz w:val="24"/>
          <w:szCs w:val="24"/>
          <w:color w:val="auto"/>
        </w:rPr>
      </w:pPr>
    </w:p>
    <w:p>
      <w:pPr>
        <w:ind w:left="1860"/>
        <w:spacing w:after="0"/>
        <w:rPr>
          <w:sz w:val="20"/>
          <w:szCs w:val="20"/>
          <w:color w:val="auto"/>
        </w:rPr>
      </w:pPr>
      <w:r>
        <w:rPr>
          <w:rFonts w:ascii="Times New Roman" w:cs="Times New Roman" w:eastAsia="Times New Roman" w:hAnsi="Times New Roman"/>
          <w:sz w:val="18"/>
          <w:szCs w:val="18"/>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09" w:lineRule="exact"/>
        <w:rPr>
          <w:sz w:val="24"/>
          <w:szCs w:val="24"/>
          <w:color w:val="auto"/>
        </w:rPr>
      </w:pPr>
    </w:p>
    <w:p>
      <w:pPr>
        <w:sectPr>
          <w:pgSz w:w="11900" w:h="16838" w:orient="portrait"/>
          <w:cols w:equalWidth="0" w:num="4">
            <w:col w:w="3400" w:space="100"/>
            <w:col w:w="3420" w:space="720"/>
            <w:col w:w="1960" w:space="60"/>
            <w:col w:w="1740"/>
          </w:cols>
          <w:pgMar w:left="240" w:top="229" w:right="259" w:bottom="1440" w:gutter="0" w:footer="0" w:header="0"/>
          <w:type w:val="continuous"/>
        </w:sectPr>
      </w:pPr>
    </w:p>
    <w:p>
      <w:pPr>
        <w:spacing w:after="0" w:line="16" w:lineRule="exact"/>
        <w:rPr>
          <w:sz w:val="24"/>
          <w:szCs w:val="24"/>
          <w:color w:val="auto"/>
        </w:rPr>
      </w:pPr>
    </w:p>
    <w:p>
      <w:pPr>
        <w:ind w:left="7640"/>
        <w:spacing w:after="0"/>
        <w:rPr>
          <w:sz w:val="20"/>
          <w:szCs w:val="20"/>
          <w:color w:val="auto"/>
        </w:rPr>
      </w:pPr>
      <w:r>
        <w:rPr>
          <w:rFonts w:ascii="Times New Roman" w:cs="Times New Roman" w:eastAsia="Times New Roman" w:hAnsi="Times New Roman"/>
          <w:sz w:val="17"/>
          <w:szCs w:val="17"/>
          <w:color w:val="auto"/>
        </w:rPr>
        <w:t>Emerging growth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7" w:lineRule="exact"/>
        <w:rPr>
          <w:sz w:val="24"/>
          <w:szCs w:val="24"/>
          <w:color w:val="auto"/>
        </w:rPr>
      </w:pPr>
    </w:p>
    <w:p>
      <w:pPr>
        <w:sectPr>
          <w:pgSz w:w="11900" w:h="16838" w:orient="portrait"/>
          <w:cols w:equalWidth="0" w:num="2">
            <w:col w:w="9600" w:space="60"/>
            <w:col w:w="1740"/>
          </w:cols>
          <w:pgMar w:left="240" w:top="229" w:right="259" w:bottom="1440" w:gutter="0" w:footer="0" w:header="0"/>
          <w:type w:val="continuous"/>
        </w:sectPr>
      </w:pPr>
    </w:p>
    <w:p>
      <w:pPr>
        <w:ind w:firstLine="324"/>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ind w:left="340" w:right="1820"/>
        <w:spacing w:after="0" w:line="294"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by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The number of shares of Common Stock, $0.01 par value, of the registrant outstanding at October 25, 2019 was 55,809,048</w:t>
      </w:r>
    </w:p>
    <w:p>
      <w:pPr>
        <w:sectPr>
          <w:pgSz w:w="11900" w:h="16838" w:orient="portrait"/>
          <w:cols w:equalWidth="0" w:num="1">
            <w:col w:w="11400"/>
          </w:cols>
          <w:pgMar w:left="240" w:top="229" w:right="25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8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60" w:type="dxa"/>
            <w:vAlign w:val="bottom"/>
            <w:gridSpan w:val="6"/>
          </w:tcPr>
          <w:p>
            <w:pPr>
              <w:jc w:val="center"/>
              <w:ind w:right="3760"/>
              <w:spacing w:after="0"/>
              <w:rPr>
                <w:sz w:val="20"/>
                <w:szCs w:val="20"/>
                <w:color w:val="auto"/>
              </w:rPr>
            </w:pPr>
            <w:r>
              <w:rPr>
                <w:rFonts w:ascii="Times New Roman" w:cs="Times New Roman" w:eastAsia="Times New Roman" w:hAnsi="Times New Roman"/>
                <w:sz w:val="18"/>
                <w:szCs w:val="18"/>
                <w:b w:val="1"/>
                <w:bCs w:val="1"/>
                <w:color w:val="auto"/>
                <w:w w:val="99"/>
              </w:rPr>
              <w:t>CLEAN HARBORS, INC.</w:t>
            </w: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2"/>
        </w:trPr>
        <w:tc>
          <w:tcPr>
            <w:tcW w:w="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40" w:type="dxa"/>
            <w:vAlign w:val="bottom"/>
            <w:gridSpan w:val="8"/>
          </w:tcPr>
          <w:p>
            <w:pPr>
              <w:jc w:val="center"/>
              <w:ind w:right="3180"/>
              <w:spacing w:after="0"/>
              <w:rPr>
                <w:sz w:val="20"/>
                <w:szCs w:val="20"/>
                <w:color w:val="auto"/>
              </w:rPr>
            </w:pPr>
            <w:r>
              <w:rPr>
                <w:rFonts w:ascii="Times New Roman" w:cs="Times New Roman" w:eastAsia="Times New Roman" w:hAnsi="Times New Roman"/>
                <w:sz w:val="18"/>
                <w:szCs w:val="18"/>
                <w:b w:val="1"/>
                <w:bCs w:val="1"/>
                <w:color w:val="auto"/>
                <w:w w:val="99"/>
              </w:rPr>
              <w:t>QUARTERLY REPORT ON FORM 10-Q</w:t>
            </w: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2"/>
        </w:trPr>
        <w:tc>
          <w:tcPr>
            <w:tcW w:w="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60" w:type="dxa"/>
            <w:vAlign w:val="bottom"/>
            <w:gridSpan w:val="6"/>
          </w:tcPr>
          <w:p>
            <w:pPr>
              <w:jc w:val="center"/>
              <w:ind w:right="374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615"/>
        </w:trPr>
        <w:tc>
          <w:tcPr>
            <w:tcW w:w="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800" w:type="dxa"/>
            <w:vAlign w:val="bottom"/>
            <w:tcBorders>
              <w:bottom w:val="single" w:sz="8" w:color="auto"/>
            </w:tcBorders>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Page No.</w:t>
            </w:r>
          </w:p>
        </w:tc>
      </w:tr>
      <w:tr>
        <w:trPr>
          <w:trHeight w:val="324"/>
        </w:trPr>
        <w:tc>
          <w:tcPr>
            <w:tcW w:w="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920" w:type="dxa"/>
            <w:vAlign w:val="bottom"/>
            <w:gridSpan w:val="11"/>
          </w:tcPr>
          <w:p>
            <w:pPr>
              <w:jc w:val="center"/>
              <w:ind w:right="3680"/>
              <w:spacing w:after="0"/>
              <w:rPr>
                <w:rFonts w:ascii="Times New Roman" w:cs="Times New Roman" w:eastAsia="Times New Roman" w:hAnsi="Times New Roman"/>
                <w:sz w:val="18"/>
                <w:szCs w:val="18"/>
                <w:b w:val="1"/>
                <w:bCs w:val="1"/>
                <w:color w:val="0000EE"/>
                <w:w w:val="98"/>
              </w:rPr>
            </w:pPr>
            <w:hyperlink w:anchor="page3">
              <w:r>
                <w:rPr>
                  <w:rFonts w:ascii="Times New Roman" w:cs="Times New Roman" w:eastAsia="Times New Roman" w:hAnsi="Times New Roman"/>
                  <w:sz w:val="18"/>
                  <w:szCs w:val="18"/>
                  <w:b w:val="1"/>
                  <w:bCs w:val="1"/>
                  <w:color w:val="0000EE"/>
                  <w:w w:val="98"/>
                </w:rPr>
                <w:t>PART I: FINANCIAL INFORMATION</w:t>
              </w:r>
            </w:hyperlink>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72"/>
        </w:trPr>
        <w:tc>
          <w:tcPr>
            <w:tcW w:w="3740" w:type="dxa"/>
            <w:vAlign w:val="bottom"/>
            <w:gridSpan w:val="12"/>
          </w:tcPr>
          <w:p>
            <w:pPr>
              <w:spacing w:after="0"/>
              <w:rPr>
                <w:rFonts w:ascii="Times New Roman" w:cs="Times New Roman" w:eastAsia="Times New Roman" w:hAnsi="Times New Roman"/>
                <w:sz w:val="18"/>
                <w:szCs w:val="18"/>
                <w:b w:val="1"/>
                <w:bCs w:val="1"/>
                <w:color w:val="0000EE"/>
              </w:rPr>
            </w:pPr>
            <w:hyperlink w:anchor="page3">
              <w:r>
                <w:rPr>
                  <w:rFonts w:ascii="Times New Roman" w:cs="Times New Roman" w:eastAsia="Times New Roman" w:hAnsi="Times New Roman"/>
                  <w:sz w:val="18"/>
                  <w:szCs w:val="18"/>
                  <w:b w:val="1"/>
                  <w:bCs w:val="1"/>
                  <w:color w:val="0000EE"/>
                </w:rPr>
                <w:t>ITEM 1: Unaudited Financial Statements</w:t>
              </w:r>
            </w:hyperlink>
          </w:p>
        </w:tc>
        <w:tc>
          <w:tcPr>
            <w:tcW w:w="3080" w:type="dxa"/>
            <w:vAlign w:val="bottom"/>
            <w:tcBorders>
              <w:top w:val="single" w:sz="8" w:color="0000EE"/>
            </w:tcBorders>
            <w:gridSpan w:val="8"/>
          </w:tcPr>
          <w:p>
            <w:pPr>
              <w:spacing w:after="0"/>
              <w:rPr>
                <w:sz w:val="24"/>
                <w:szCs w:val="24"/>
                <w:color w:val="auto"/>
              </w:rPr>
            </w:pPr>
          </w:p>
        </w:tc>
        <w:tc>
          <w:tcPr>
            <w:tcW w:w="3760" w:type="dxa"/>
            <w:vAlign w:val="bottom"/>
            <w:gridSpan w:val="2"/>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0"/>
        </w:trPr>
        <w:tc>
          <w:tcPr>
            <w:tcW w:w="3180" w:type="dxa"/>
            <w:vAlign w:val="bottom"/>
            <w:tcBorders>
              <w:top w:val="single" w:sz="8" w:color="0000EE"/>
            </w:tcBorders>
            <w:gridSpan w:val="9"/>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Consolidated Balance Sheets</w:t>
              </w:r>
            </w:hyperlink>
          </w:p>
        </w:tc>
        <w:tc>
          <w:tcPr>
            <w:tcW w:w="7400" w:type="dxa"/>
            <w:vAlign w:val="bottom"/>
            <w:gridSpan w:val="13"/>
          </w:tcPr>
          <w:p>
            <w:pPr>
              <w:spacing w:after="0"/>
              <w:rPr>
                <w:sz w:val="21"/>
                <w:szCs w:val="21"/>
                <w:color w:val="auto"/>
              </w:rPr>
            </w:pPr>
          </w:p>
        </w:tc>
        <w:tc>
          <w:tcPr>
            <w:tcW w:w="800" w:type="dxa"/>
            <w:vAlign w:val="bottom"/>
            <w:gridSpan w:val="4"/>
          </w:tcPr>
          <w:p>
            <w:pPr>
              <w:jc w:val="right"/>
              <w:ind w:right="20"/>
              <w:spacing w:after="0"/>
              <w:rPr>
                <w:rFonts w:ascii="Times New Roman" w:cs="Times New Roman" w:eastAsia="Times New Roman" w:hAnsi="Times New Roman"/>
                <w:sz w:val="18"/>
                <w:szCs w:val="18"/>
                <w:color w:val="0000FF"/>
              </w:rPr>
            </w:pPr>
            <w:hyperlink w:anchor="page3">
              <w:r>
                <w:rPr>
                  <w:rFonts w:ascii="Times New Roman" w:cs="Times New Roman" w:eastAsia="Times New Roman" w:hAnsi="Times New Roman"/>
                  <w:sz w:val="18"/>
                  <w:szCs w:val="18"/>
                  <w:color w:val="0000FF"/>
                </w:rPr>
                <w:t>1</w:t>
              </w:r>
            </w:hyperlink>
          </w:p>
        </w:tc>
      </w:tr>
      <w:tr>
        <w:trPr>
          <w:trHeight w:val="20"/>
        </w:trPr>
        <w:tc>
          <w:tcPr>
            <w:tcW w:w="8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580" w:type="dxa"/>
            <w:vAlign w:val="bottom"/>
            <w:gridSpan w:val="22"/>
          </w:tcPr>
          <w:p>
            <w:pPr>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Unaudited Consolidated Statements of Operations</w:t>
              </w:r>
            </w:hyperlink>
          </w:p>
        </w:tc>
        <w:tc>
          <w:tcPr>
            <w:tcW w:w="800" w:type="dxa"/>
            <w:vAlign w:val="bottom"/>
            <w:gridSpan w:val="4"/>
          </w:tcPr>
          <w:p>
            <w:pPr>
              <w:jc w:val="right"/>
              <w:ind w:right="20"/>
              <w:spacing w:after="0"/>
              <w:rPr>
                <w:rFonts w:ascii="Times New Roman" w:cs="Times New Roman" w:eastAsia="Times New Roman" w:hAnsi="Times New Roman"/>
                <w:sz w:val="18"/>
                <w:szCs w:val="18"/>
                <w:color w:val="0000FF"/>
              </w:rPr>
            </w:pPr>
            <w:hyperlink w:anchor="page4">
              <w:r>
                <w:rPr>
                  <w:rFonts w:ascii="Times New Roman" w:cs="Times New Roman" w:eastAsia="Times New Roman" w:hAnsi="Times New Roman"/>
                  <w:sz w:val="18"/>
                  <w:szCs w:val="18"/>
                  <w:color w:val="0000FF"/>
                </w:rPr>
                <w:t>2</w:t>
              </w:r>
            </w:hyperlink>
          </w:p>
        </w:tc>
      </w:tr>
      <w:tr>
        <w:trPr>
          <w:trHeight w:val="20"/>
        </w:trPr>
        <w:tc>
          <w:tcPr>
            <w:tcW w:w="8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580" w:type="dxa"/>
            <w:vAlign w:val="bottom"/>
            <w:gridSpan w:val="22"/>
          </w:tcPr>
          <w:p>
            <w:pPr>
              <w:spacing w:after="0"/>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Unaudited Consolidated Statements of Comprehensive Income</w:t>
              </w:r>
            </w:hyperlink>
          </w:p>
        </w:tc>
        <w:tc>
          <w:tcPr>
            <w:tcW w:w="800" w:type="dxa"/>
            <w:vAlign w:val="bottom"/>
            <w:gridSpan w:val="4"/>
          </w:tcPr>
          <w:p>
            <w:pPr>
              <w:jc w:val="right"/>
              <w:ind w:right="20"/>
              <w:spacing w:after="0"/>
              <w:rPr>
                <w:rFonts w:ascii="Times New Roman" w:cs="Times New Roman" w:eastAsia="Times New Roman" w:hAnsi="Times New Roman"/>
                <w:sz w:val="18"/>
                <w:szCs w:val="18"/>
                <w:color w:val="0000FF"/>
              </w:rPr>
            </w:pPr>
            <w:hyperlink w:anchor="page5">
              <w:r>
                <w:rPr>
                  <w:rFonts w:ascii="Times New Roman" w:cs="Times New Roman" w:eastAsia="Times New Roman" w:hAnsi="Times New Roman"/>
                  <w:sz w:val="18"/>
                  <w:szCs w:val="18"/>
                  <w:color w:val="0000FF"/>
                </w:rPr>
                <w:t>3</w:t>
              </w:r>
            </w:hyperlink>
          </w:p>
        </w:tc>
      </w:tr>
      <w:tr>
        <w:trPr>
          <w:trHeight w:val="250"/>
        </w:trPr>
        <w:tc>
          <w:tcPr>
            <w:tcW w:w="3660" w:type="dxa"/>
            <w:vAlign w:val="bottom"/>
            <w:tcBorders>
              <w:top w:val="single" w:sz="8" w:color="0000EE"/>
              <w:bottom w:val="single" w:sz="8" w:color="0000EE"/>
            </w:tcBorders>
            <w:gridSpan w:val="11"/>
          </w:tcPr>
          <w:p>
            <w:pPr>
              <w:spacing w:after="0"/>
              <w:rPr>
                <w:rFonts w:ascii="Times New Roman" w:cs="Times New Roman" w:eastAsia="Times New Roman" w:hAnsi="Times New Roman"/>
                <w:sz w:val="18"/>
                <w:szCs w:val="18"/>
                <w:color w:val="0000EE"/>
                <w:w w:val="99"/>
              </w:rPr>
            </w:pPr>
            <w:hyperlink w:anchor="page6">
              <w:r>
                <w:rPr>
                  <w:rFonts w:ascii="Times New Roman" w:cs="Times New Roman" w:eastAsia="Times New Roman" w:hAnsi="Times New Roman"/>
                  <w:sz w:val="18"/>
                  <w:szCs w:val="18"/>
                  <w:color w:val="0000EE"/>
                  <w:w w:val="99"/>
                </w:rPr>
                <w:t>Unaudited Consolidated Statements of Cash Flows</w:t>
              </w:r>
            </w:hyperlink>
          </w:p>
        </w:tc>
        <w:tc>
          <w:tcPr>
            <w:tcW w:w="860" w:type="dxa"/>
            <w:vAlign w:val="bottom"/>
            <w:tcBorders>
              <w:top w:val="single" w:sz="8" w:color="0000EE"/>
            </w:tcBorders>
            <w:gridSpan w:val="5"/>
          </w:tcPr>
          <w:p>
            <w:pPr>
              <w:spacing w:after="0"/>
              <w:rPr>
                <w:sz w:val="21"/>
                <w:szCs w:val="21"/>
                <w:color w:val="auto"/>
              </w:rPr>
            </w:pPr>
          </w:p>
        </w:tc>
        <w:tc>
          <w:tcPr>
            <w:tcW w:w="6060" w:type="dxa"/>
            <w:vAlign w:val="bottom"/>
            <w:gridSpan w:val="6"/>
          </w:tcPr>
          <w:p>
            <w:pPr>
              <w:spacing w:after="0"/>
              <w:rPr>
                <w:sz w:val="21"/>
                <w:szCs w:val="21"/>
                <w:color w:val="auto"/>
              </w:rPr>
            </w:pPr>
          </w:p>
        </w:tc>
        <w:tc>
          <w:tcPr>
            <w:tcW w:w="680" w:type="dxa"/>
            <w:vAlign w:val="bottom"/>
            <w:gridSpan w:val="2"/>
          </w:tcPr>
          <w:p>
            <w:pPr>
              <w:spacing w:after="0"/>
              <w:rPr>
                <w:sz w:val="21"/>
                <w:szCs w:val="21"/>
                <w:color w:val="auto"/>
              </w:rPr>
            </w:pPr>
          </w:p>
        </w:tc>
        <w:tc>
          <w:tcPr>
            <w:tcW w:w="100" w:type="dxa"/>
            <w:vAlign w:val="bottom"/>
            <w:tcBorders>
              <w:top w:val="single" w:sz="8" w:color="0000FF"/>
              <w:bottom w:val="single" w:sz="8" w:color="0000FF"/>
            </w:tcBorders>
          </w:tcPr>
          <w:p>
            <w:pPr>
              <w:jc w:val="right"/>
              <w:spacing w:after="0"/>
              <w:rPr>
                <w:rFonts w:ascii="Times New Roman" w:cs="Times New Roman" w:eastAsia="Times New Roman" w:hAnsi="Times New Roman"/>
                <w:sz w:val="18"/>
                <w:szCs w:val="18"/>
                <w:color w:val="0000FF"/>
                <w:w w:val="88"/>
              </w:rPr>
            </w:pPr>
            <w:hyperlink w:anchor="page6">
              <w:r>
                <w:rPr>
                  <w:rFonts w:ascii="Times New Roman" w:cs="Times New Roman" w:eastAsia="Times New Roman" w:hAnsi="Times New Roman"/>
                  <w:sz w:val="18"/>
                  <w:szCs w:val="18"/>
                  <w:color w:val="0000FF"/>
                  <w:w w:val="88"/>
                </w:rPr>
                <w:t>4</w:t>
              </w:r>
            </w:hyperlink>
          </w:p>
        </w:tc>
        <w:tc>
          <w:tcPr>
            <w:tcW w:w="20" w:type="dxa"/>
            <w:vAlign w:val="bottom"/>
          </w:tcPr>
          <w:p>
            <w:pPr>
              <w:spacing w:after="0"/>
              <w:rPr>
                <w:sz w:val="21"/>
                <w:szCs w:val="21"/>
                <w:color w:val="auto"/>
              </w:rPr>
            </w:pPr>
          </w:p>
        </w:tc>
      </w:tr>
      <w:tr>
        <w:trPr>
          <w:trHeight w:val="250"/>
        </w:trPr>
        <w:tc>
          <w:tcPr>
            <w:tcW w:w="434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9"/>
              </w:rPr>
            </w:pPr>
            <w:hyperlink w:anchor="page8">
              <w:r>
                <w:rPr>
                  <w:rFonts w:ascii="Times New Roman" w:cs="Times New Roman" w:eastAsia="Times New Roman" w:hAnsi="Times New Roman"/>
                  <w:sz w:val="18"/>
                  <w:szCs w:val="18"/>
                  <w:color w:val="0000EE"/>
                  <w:w w:val="99"/>
                </w:rPr>
                <w:t>Unaudited Consolidated Statements of Stockholders’ Equity</w:t>
              </w:r>
            </w:hyperlink>
          </w:p>
        </w:tc>
        <w:tc>
          <w:tcPr>
            <w:tcW w:w="6240" w:type="dxa"/>
            <w:vAlign w:val="bottom"/>
            <w:gridSpan w:val="7"/>
          </w:tcPr>
          <w:p>
            <w:pPr>
              <w:spacing w:after="0"/>
              <w:rPr>
                <w:sz w:val="21"/>
                <w:szCs w:val="21"/>
                <w:color w:val="auto"/>
              </w:rPr>
            </w:pPr>
          </w:p>
        </w:tc>
        <w:tc>
          <w:tcPr>
            <w:tcW w:w="68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Times New Roman" w:cs="Times New Roman" w:eastAsia="Times New Roman" w:hAnsi="Times New Roman"/>
                <w:sz w:val="18"/>
                <w:szCs w:val="18"/>
                <w:color w:val="0000EE"/>
                <w:w w:val="88"/>
              </w:rPr>
            </w:pPr>
            <w:hyperlink w:anchor="page8">
              <w:r>
                <w:rPr>
                  <w:rFonts w:ascii="Times New Roman" w:cs="Times New Roman" w:eastAsia="Times New Roman" w:hAnsi="Times New Roman"/>
                  <w:sz w:val="18"/>
                  <w:szCs w:val="18"/>
                  <w:color w:val="0000EE"/>
                  <w:w w:val="88"/>
                </w:rPr>
                <w:t>5</w:t>
              </w:r>
            </w:hyperlink>
          </w:p>
        </w:tc>
        <w:tc>
          <w:tcPr>
            <w:tcW w:w="20" w:type="dxa"/>
            <w:vAlign w:val="bottom"/>
          </w:tcPr>
          <w:p>
            <w:pPr>
              <w:spacing w:after="0"/>
              <w:rPr>
                <w:sz w:val="21"/>
                <w:szCs w:val="21"/>
                <w:color w:val="auto"/>
              </w:rPr>
            </w:pPr>
          </w:p>
        </w:tc>
      </w:tr>
      <w:tr>
        <w:trPr>
          <w:trHeight w:val="250"/>
        </w:trPr>
        <w:tc>
          <w:tcPr>
            <w:tcW w:w="3940" w:type="dxa"/>
            <w:vAlign w:val="bottom"/>
            <w:tcBorders>
              <w:bottom w:val="single" w:sz="8" w:color="0000FF"/>
            </w:tcBorders>
            <w:gridSpan w:val="14"/>
          </w:tcPr>
          <w:p>
            <w:pPr>
              <w:spacing w:after="0"/>
              <w:rPr>
                <w:rFonts w:ascii="Times New Roman" w:cs="Times New Roman" w:eastAsia="Times New Roman" w:hAnsi="Times New Roman"/>
                <w:sz w:val="18"/>
                <w:szCs w:val="18"/>
                <w:color w:val="0000FF"/>
                <w:w w:val="99"/>
              </w:rPr>
            </w:pPr>
            <w:hyperlink w:anchor="page10">
              <w:r>
                <w:rPr>
                  <w:rFonts w:ascii="Times New Roman" w:cs="Times New Roman" w:eastAsia="Times New Roman" w:hAnsi="Times New Roman"/>
                  <w:sz w:val="18"/>
                  <w:szCs w:val="18"/>
                  <w:color w:val="0000FF"/>
                  <w:w w:val="99"/>
                </w:rPr>
                <w:t>Notes to Unaudited Consolidated Financial Statements</w:t>
              </w:r>
            </w:hyperlink>
          </w:p>
        </w:tc>
        <w:tc>
          <w:tcPr>
            <w:tcW w:w="6640" w:type="dxa"/>
            <w:vAlign w:val="bottom"/>
            <w:gridSpan w:val="8"/>
          </w:tcPr>
          <w:p>
            <w:pPr>
              <w:spacing w:after="0"/>
              <w:rPr>
                <w:sz w:val="21"/>
                <w:szCs w:val="21"/>
                <w:color w:val="auto"/>
              </w:rPr>
            </w:pPr>
          </w:p>
        </w:tc>
        <w:tc>
          <w:tcPr>
            <w:tcW w:w="68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Times New Roman" w:cs="Times New Roman" w:eastAsia="Times New Roman" w:hAnsi="Times New Roman"/>
                <w:sz w:val="18"/>
                <w:szCs w:val="18"/>
                <w:color w:val="0000EE"/>
                <w:w w:val="88"/>
              </w:rPr>
            </w:pPr>
            <w:hyperlink w:anchor="page10">
              <w:r>
                <w:rPr>
                  <w:rFonts w:ascii="Times New Roman" w:cs="Times New Roman" w:eastAsia="Times New Roman" w:hAnsi="Times New Roman"/>
                  <w:sz w:val="18"/>
                  <w:szCs w:val="18"/>
                  <w:color w:val="0000EE"/>
                  <w:w w:val="88"/>
                </w:rPr>
                <w:t>7</w:t>
              </w:r>
            </w:hyperlink>
          </w:p>
        </w:tc>
        <w:tc>
          <w:tcPr>
            <w:tcW w:w="20" w:type="dxa"/>
            <w:vAlign w:val="bottom"/>
          </w:tcPr>
          <w:p>
            <w:pPr>
              <w:spacing w:after="0"/>
              <w:rPr>
                <w:sz w:val="21"/>
                <w:szCs w:val="21"/>
                <w:color w:val="auto"/>
              </w:rPr>
            </w:pPr>
          </w:p>
        </w:tc>
      </w:tr>
      <w:tr>
        <w:trPr>
          <w:trHeight w:val="372"/>
        </w:trPr>
        <w:tc>
          <w:tcPr>
            <w:tcW w:w="10580" w:type="dxa"/>
            <w:vAlign w:val="bottom"/>
            <w:gridSpan w:val="22"/>
          </w:tcPr>
          <w:p>
            <w:pPr>
              <w:spacing w:after="0"/>
              <w:rPr>
                <w:rFonts w:ascii="Times New Roman" w:cs="Times New Roman" w:eastAsia="Times New Roman" w:hAnsi="Times New Roman"/>
                <w:sz w:val="18"/>
                <w:szCs w:val="18"/>
                <w:b w:val="1"/>
                <w:bCs w:val="1"/>
                <w:color w:val="0000FF"/>
              </w:rPr>
            </w:pPr>
            <w:hyperlink w:anchor="page28">
              <w:r>
                <w:rPr>
                  <w:rFonts w:ascii="Times New Roman" w:cs="Times New Roman" w:eastAsia="Times New Roman" w:hAnsi="Times New Roman"/>
                  <w:sz w:val="18"/>
                  <w:szCs w:val="18"/>
                  <w:b w:val="1"/>
                  <w:bCs w:val="1"/>
                  <w:color w:val="0000FF"/>
                </w:rPr>
                <w:t>ITEM 2: Management’s Discussion and Analysis of Financial Condition and Results of Operations</w:t>
              </w:r>
            </w:hyperlink>
          </w:p>
        </w:tc>
        <w:tc>
          <w:tcPr>
            <w:tcW w:w="800" w:type="dxa"/>
            <w:vAlign w:val="bottom"/>
            <w:gridSpan w:val="4"/>
          </w:tcPr>
          <w:p>
            <w:pPr>
              <w:jc w:val="right"/>
              <w:ind w:right="20"/>
              <w:spacing w:after="0"/>
              <w:rPr>
                <w:rFonts w:ascii="Times New Roman" w:cs="Times New Roman" w:eastAsia="Times New Roman" w:hAnsi="Times New Roman"/>
                <w:sz w:val="18"/>
                <w:szCs w:val="18"/>
                <w:color w:val="0000FF"/>
              </w:rPr>
            </w:pPr>
            <w:hyperlink w:anchor="page28">
              <w:r>
                <w:rPr>
                  <w:rFonts w:ascii="Times New Roman" w:cs="Times New Roman" w:eastAsia="Times New Roman" w:hAnsi="Times New Roman"/>
                  <w:sz w:val="18"/>
                  <w:szCs w:val="18"/>
                  <w:color w:val="0000FF"/>
                </w:rPr>
                <w:t>25</w:t>
              </w:r>
            </w:hyperlink>
          </w:p>
        </w:tc>
      </w:tr>
      <w:tr>
        <w:trPr>
          <w:trHeight w:val="20"/>
        </w:trPr>
        <w:tc>
          <w:tcPr>
            <w:tcW w:w="8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720" w:type="dxa"/>
            <w:vAlign w:val="bottom"/>
            <w:gridSpan w:val="5"/>
            <w:shd w:val="clear" w:color="auto" w:fill="0000FF"/>
          </w:tcPr>
          <w:p>
            <w:pPr>
              <w:spacing w:after="0" w:line="20" w:lineRule="exact"/>
              <w:rPr>
                <w:sz w:val="1"/>
                <w:szCs w:val="1"/>
                <w:color w:val="auto"/>
              </w:rPr>
            </w:pPr>
          </w:p>
        </w:tc>
        <w:tc>
          <w:tcPr>
            <w:tcW w:w="1400" w:type="dxa"/>
            <w:vAlign w:val="bottom"/>
            <w:gridSpan w:val="4"/>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7540" w:type="dxa"/>
            <w:vAlign w:val="bottom"/>
            <w:gridSpan w:val="21"/>
          </w:tcPr>
          <w:p>
            <w:pPr>
              <w:spacing w:after="0"/>
              <w:rPr>
                <w:rFonts w:ascii="Times New Roman" w:cs="Times New Roman" w:eastAsia="Times New Roman" w:hAnsi="Times New Roman"/>
                <w:sz w:val="18"/>
                <w:szCs w:val="18"/>
                <w:b w:val="1"/>
                <w:bCs w:val="1"/>
                <w:color w:val="0000FF"/>
              </w:rPr>
            </w:pPr>
            <w:hyperlink w:anchor="page38">
              <w:r>
                <w:rPr>
                  <w:rFonts w:ascii="Times New Roman" w:cs="Times New Roman" w:eastAsia="Times New Roman" w:hAnsi="Times New Roman"/>
                  <w:sz w:val="18"/>
                  <w:szCs w:val="18"/>
                  <w:b w:val="1"/>
                  <w:bCs w:val="1"/>
                  <w:color w:val="0000FF"/>
                </w:rPr>
                <w:t>ITEM 3: Quantitative and Qualitative Disclosures About Market Risk</w:t>
              </w:r>
            </w:hyperlink>
          </w:p>
        </w:tc>
        <w:tc>
          <w:tcPr>
            <w:tcW w:w="3040" w:type="dxa"/>
            <w:vAlign w:val="bottom"/>
          </w:tcPr>
          <w:p>
            <w:pPr>
              <w:spacing w:after="0"/>
              <w:rPr>
                <w:sz w:val="24"/>
                <w:szCs w:val="24"/>
                <w:color w:val="auto"/>
              </w:rPr>
            </w:pPr>
          </w:p>
        </w:tc>
        <w:tc>
          <w:tcPr>
            <w:tcW w:w="800" w:type="dxa"/>
            <w:vAlign w:val="bottom"/>
            <w:gridSpan w:val="4"/>
          </w:tcPr>
          <w:p>
            <w:pPr>
              <w:jc w:val="right"/>
              <w:ind w:right="20"/>
              <w:spacing w:after="0"/>
              <w:rPr>
                <w:rFonts w:ascii="Times New Roman" w:cs="Times New Roman" w:eastAsia="Times New Roman" w:hAnsi="Times New Roman"/>
                <w:sz w:val="18"/>
                <w:szCs w:val="18"/>
                <w:color w:val="0000FF"/>
              </w:rPr>
            </w:pPr>
            <w:hyperlink w:anchor="page38">
              <w:r>
                <w:rPr>
                  <w:rFonts w:ascii="Times New Roman" w:cs="Times New Roman" w:eastAsia="Times New Roman" w:hAnsi="Times New Roman"/>
                  <w:sz w:val="18"/>
                  <w:szCs w:val="18"/>
                  <w:color w:val="0000FF"/>
                </w:rPr>
                <w:t>35</w:t>
              </w:r>
            </w:hyperlink>
          </w:p>
        </w:tc>
      </w:tr>
      <w:tr>
        <w:trPr>
          <w:trHeight w:val="20"/>
        </w:trPr>
        <w:tc>
          <w:tcPr>
            <w:tcW w:w="8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720" w:type="dxa"/>
            <w:vAlign w:val="bottom"/>
            <w:gridSpan w:val="5"/>
            <w:shd w:val="clear" w:color="auto" w:fill="0000FF"/>
          </w:tcPr>
          <w:p>
            <w:pPr>
              <w:spacing w:after="0" w:line="20" w:lineRule="exact"/>
              <w:rPr>
                <w:sz w:val="1"/>
                <w:szCs w:val="1"/>
                <w:color w:val="auto"/>
              </w:rPr>
            </w:pPr>
          </w:p>
        </w:tc>
        <w:tc>
          <w:tcPr>
            <w:tcW w:w="1400" w:type="dxa"/>
            <w:vAlign w:val="bottom"/>
            <w:gridSpan w:val="4"/>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92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5380" w:type="dxa"/>
            <w:vAlign w:val="bottom"/>
            <w:gridSpan w:val="18"/>
          </w:tcPr>
          <w:p>
            <w:pPr>
              <w:spacing w:after="0"/>
              <w:rPr>
                <w:rFonts w:ascii="Times New Roman" w:cs="Times New Roman" w:eastAsia="Times New Roman" w:hAnsi="Times New Roman"/>
                <w:sz w:val="18"/>
                <w:szCs w:val="18"/>
                <w:b w:val="1"/>
                <w:bCs w:val="1"/>
                <w:color w:val="0000FF"/>
              </w:rPr>
            </w:pPr>
            <w:hyperlink w:anchor="page38">
              <w:r>
                <w:rPr>
                  <w:rFonts w:ascii="Times New Roman" w:cs="Times New Roman" w:eastAsia="Times New Roman" w:hAnsi="Times New Roman"/>
                  <w:sz w:val="18"/>
                  <w:szCs w:val="18"/>
                  <w:b w:val="1"/>
                  <w:bCs w:val="1"/>
                  <w:color w:val="0000FF"/>
                </w:rPr>
                <w:t>ITEM 4: Controls and Procedures</w:t>
              </w:r>
            </w:hyperlink>
          </w:p>
        </w:tc>
        <w:tc>
          <w:tcPr>
            <w:tcW w:w="5200" w:type="dxa"/>
            <w:vAlign w:val="bottom"/>
            <w:gridSpan w:val="4"/>
          </w:tcPr>
          <w:p>
            <w:pPr>
              <w:spacing w:after="0"/>
              <w:rPr>
                <w:sz w:val="24"/>
                <w:szCs w:val="24"/>
                <w:color w:val="auto"/>
              </w:rPr>
            </w:pPr>
          </w:p>
        </w:tc>
        <w:tc>
          <w:tcPr>
            <w:tcW w:w="800" w:type="dxa"/>
            <w:vAlign w:val="bottom"/>
            <w:gridSpan w:val="4"/>
          </w:tcPr>
          <w:p>
            <w:pPr>
              <w:jc w:val="right"/>
              <w:ind w:right="20"/>
              <w:spacing w:after="0"/>
              <w:rPr>
                <w:rFonts w:ascii="Times New Roman" w:cs="Times New Roman" w:eastAsia="Times New Roman" w:hAnsi="Times New Roman"/>
                <w:sz w:val="18"/>
                <w:szCs w:val="18"/>
                <w:color w:val="0000FF"/>
              </w:rPr>
            </w:pPr>
            <w:hyperlink w:anchor="page38">
              <w:r>
                <w:rPr>
                  <w:rFonts w:ascii="Times New Roman" w:cs="Times New Roman" w:eastAsia="Times New Roman" w:hAnsi="Times New Roman"/>
                  <w:sz w:val="18"/>
                  <w:szCs w:val="18"/>
                  <w:color w:val="0000FF"/>
                </w:rPr>
                <w:t>35</w:t>
              </w:r>
            </w:hyperlink>
          </w:p>
        </w:tc>
      </w:tr>
      <w:tr>
        <w:trPr>
          <w:trHeight w:val="372"/>
        </w:trPr>
        <w:tc>
          <w:tcPr>
            <w:tcW w:w="82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700" w:type="dxa"/>
            <w:vAlign w:val="bottom"/>
            <w:gridSpan w:val="9"/>
          </w:tcPr>
          <w:p>
            <w:pPr>
              <w:jc w:val="center"/>
              <w:ind w:right="3920"/>
              <w:spacing w:after="0"/>
              <w:rPr>
                <w:rFonts w:ascii="Times New Roman" w:cs="Times New Roman" w:eastAsia="Times New Roman" w:hAnsi="Times New Roman"/>
                <w:sz w:val="18"/>
                <w:szCs w:val="18"/>
                <w:b w:val="1"/>
                <w:bCs w:val="1"/>
                <w:color w:val="0000FF"/>
                <w:w w:val="98"/>
              </w:rPr>
            </w:pPr>
            <w:hyperlink w:anchor="page39">
              <w:r>
                <w:rPr>
                  <w:rFonts w:ascii="Times New Roman" w:cs="Times New Roman" w:eastAsia="Times New Roman" w:hAnsi="Times New Roman"/>
                  <w:sz w:val="18"/>
                  <w:szCs w:val="18"/>
                  <w:b w:val="1"/>
                  <w:bCs w:val="1"/>
                  <w:color w:val="0000FF"/>
                  <w:w w:val="98"/>
                </w:rPr>
                <w:t>PART II: OTHER INFORMATION</w:t>
              </w:r>
            </w:hyperlink>
          </w:p>
        </w:tc>
        <w:tc>
          <w:tcPr>
            <w:tcW w:w="60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372"/>
        </w:trPr>
        <w:tc>
          <w:tcPr>
            <w:tcW w:w="2080" w:type="dxa"/>
            <w:vAlign w:val="bottom"/>
            <w:gridSpan w:val="4"/>
          </w:tcPr>
          <w:p>
            <w:pPr>
              <w:spacing w:after="0"/>
              <w:rPr>
                <w:rFonts w:ascii="Times New Roman" w:cs="Times New Roman" w:eastAsia="Times New Roman" w:hAnsi="Times New Roman"/>
                <w:sz w:val="18"/>
                <w:szCs w:val="18"/>
                <w:b w:val="1"/>
                <w:bCs w:val="1"/>
                <w:color w:val="0000FF"/>
                <w:w w:val="95"/>
              </w:rPr>
            </w:pPr>
            <w:hyperlink w:anchor="page39">
              <w:r>
                <w:rPr>
                  <w:rFonts w:ascii="Times New Roman" w:cs="Times New Roman" w:eastAsia="Times New Roman" w:hAnsi="Times New Roman"/>
                  <w:sz w:val="18"/>
                  <w:szCs w:val="18"/>
                  <w:b w:val="1"/>
                  <w:bCs w:val="1"/>
                  <w:color w:val="0000FF"/>
                  <w:w w:val="95"/>
                </w:rPr>
                <w:t>ITEM 1: Legal Proceedings</w:t>
              </w:r>
            </w:hyperlink>
          </w:p>
        </w:tc>
        <w:tc>
          <w:tcPr>
            <w:tcW w:w="1800" w:type="dxa"/>
            <w:vAlign w:val="bottom"/>
            <w:gridSpan w:val="9"/>
          </w:tcPr>
          <w:p>
            <w:pPr>
              <w:spacing w:after="0"/>
              <w:rPr>
                <w:sz w:val="24"/>
                <w:szCs w:val="24"/>
                <w:color w:val="auto"/>
              </w:rPr>
            </w:pPr>
          </w:p>
        </w:tc>
        <w:tc>
          <w:tcPr>
            <w:tcW w:w="2780" w:type="dxa"/>
            <w:vAlign w:val="bottom"/>
            <w:tcBorders>
              <w:top w:val="single" w:sz="8" w:color="0000FF"/>
            </w:tcBorders>
            <w:gridSpan w:val="6"/>
          </w:tcPr>
          <w:p>
            <w:pPr>
              <w:spacing w:after="0"/>
              <w:rPr>
                <w:sz w:val="24"/>
                <w:szCs w:val="24"/>
                <w:color w:val="auto"/>
              </w:rPr>
            </w:pPr>
          </w:p>
        </w:tc>
        <w:tc>
          <w:tcPr>
            <w:tcW w:w="3920" w:type="dxa"/>
            <w:vAlign w:val="bottom"/>
            <w:gridSpan w:val="3"/>
          </w:tcPr>
          <w:p>
            <w:pPr>
              <w:spacing w:after="0"/>
              <w:rPr>
                <w:sz w:val="24"/>
                <w:szCs w:val="24"/>
                <w:color w:val="auto"/>
              </w:rPr>
            </w:pPr>
          </w:p>
        </w:tc>
        <w:tc>
          <w:tcPr>
            <w:tcW w:w="800" w:type="dxa"/>
            <w:vAlign w:val="bottom"/>
            <w:gridSpan w:val="4"/>
          </w:tcPr>
          <w:p>
            <w:pPr>
              <w:jc w:val="right"/>
              <w:ind w:right="20"/>
              <w:spacing w:after="0"/>
              <w:rPr>
                <w:rFonts w:ascii="Times New Roman" w:cs="Times New Roman" w:eastAsia="Times New Roman" w:hAnsi="Times New Roman"/>
                <w:sz w:val="18"/>
                <w:szCs w:val="18"/>
                <w:color w:val="0000FF"/>
              </w:rPr>
            </w:pPr>
            <w:hyperlink w:anchor="page39">
              <w:r>
                <w:rPr>
                  <w:rFonts w:ascii="Times New Roman" w:cs="Times New Roman" w:eastAsia="Times New Roman" w:hAnsi="Times New Roman"/>
                  <w:sz w:val="18"/>
                  <w:szCs w:val="18"/>
                  <w:color w:val="0000FF"/>
                </w:rPr>
                <w:t>36</w:t>
              </w:r>
            </w:hyperlink>
          </w:p>
        </w:tc>
      </w:tr>
      <w:tr>
        <w:trPr>
          <w:trHeight w:val="20"/>
        </w:trPr>
        <w:tc>
          <w:tcPr>
            <w:tcW w:w="8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820" w:type="dxa"/>
            <w:vAlign w:val="bottom"/>
            <w:gridSpan w:val="3"/>
          </w:tcPr>
          <w:p>
            <w:pPr>
              <w:spacing w:after="0"/>
              <w:rPr>
                <w:rFonts w:ascii="Times New Roman" w:cs="Times New Roman" w:eastAsia="Times New Roman" w:hAnsi="Times New Roman"/>
                <w:sz w:val="18"/>
                <w:szCs w:val="18"/>
                <w:b w:val="1"/>
                <w:bCs w:val="1"/>
                <w:color w:val="0000FF"/>
                <w:w w:val="98"/>
              </w:rPr>
            </w:pPr>
            <w:hyperlink w:anchor="page39">
              <w:r>
                <w:rPr>
                  <w:rFonts w:ascii="Times New Roman" w:cs="Times New Roman" w:eastAsia="Times New Roman" w:hAnsi="Times New Roman"/>
                  <w:sz w:val="18"/>
                  <w:szCs w:val="18"/>
                  <w:b w:val="1"/>
                  <w:bCs w:val="1"/>
                  <w:color w:val="0000FF"/>
                  <w:w w:val="98"/>
                </w:rPr>
                <w:t>ITEM 1A: Risk Factors</w:t>
              </w:r>
            </w:hyperlink>
          </w:p>
        </w:tc>
        <w:tc>
          <w:tcPr>
            <w:tcW w:w="260" w:type="dxa"/>
            <w:vAlign w:val="bottom"/>
          </w:tcPr>
          <w:p>
            <w:pPr>
              <w:spacing w:after="0"/>
              <w:rPr>
                <w:sz w:val="21"/>
                <w:szCs w:val="21"/>
                <w:color w:val="auto"/>
              </w:rPr>
            </w:pPr>
          </w:p>
        </w:tc>
        <w:tc>
          <w:tcPr>
            <w:tcW w:w="8500" w:type="dxa"/>
            <w:vAlign w:val="bottom"/>
            <w:gridSpan w:val="18"/>
          </w:tcPr>
          <w:p>
            <w:pPr>
              <w:spacing w:after="0"/>
              <w:rPr>
                <w:sz w:val="21"/>
                <w:szCs w:val="21"/>
                <w:color w:val="auto"/>
              </w:rPr>
            </w:pPr>
          </w:p>
        </w:tc>
        <w:tc>
          <w:tcPr>
            <w:tcW w:w="800" w:type="dxa"/>
            <w:vAlign w:val="bottom"/>
            <w:gridSpan w:val="4"/>
          </w:tcPr>
          <w:p>
            <w:pPr>
              <w:jc w:val="right"/>
              <w:ind w:right="20"/>
              <w:spacing w:after="0"/>
              <w:rPr>
                <w:rFonts w:ascii="Times New Roman" w:cs="Times New Roman" w:eastAsia="Times New Roman" w:hAnsi="Times New Roman"/>
                <w:sz w:val="18"/>
                <w:szCs w:val="18"/>
                <w:color w:val="0000FF"/>
              </w:rPr>
            </w:pPr>
            <w:hyperlink w:anchor="page39">
              <w:r>
                <w:rPr>
                  <w:rFonts w:ascii="Times New Roman" w:cs="Times New Roman" w:eastAsia="Times New Roman" w:hAnsi="Times New Roman"/>
                  <w:sz w:val="18"/>
                  <w:szCs w:val="18"/>
                  <w:color w:val="0000FF"/>
                </w:rPr>
                <w:t>36</w:t>
              </w:r>
            </w:hyperlink>
          </w:p>
        </w:tc>
      </w:tr>
      <w:tr>
        <w:trPr>
          <w:trHeight w:val="20"/>
        </w:trPr>
        <w:tc>
          <w:tcPr>
            <w:tcW w:w="8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120" w:type="dxa"/>
            <w:vAlign w:val="bottom"/>
            <w:gridSpan w:val="9"/>
          </w:tcPr>
          <w:p>
            <w:pPr>
              <w:spacing w:after="0" w:line="20" w:lineRule="exact"/>
              <w:rPr>
                <w:sz w:val="1"/>
                <w:szCs w:val="1"/>
                <w:color w:val="auto"/>
              </w:rPr>
            </w:pPr>
          </w:p>
        </w:tc>
        <w:tc>
          <w:tcPr>
            <w:tcW w:w="5300" w:type="dxa"/>
            <w:vAlign w:val="bottom"/>
            <w:gridSpan w:val="5"/>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580" w:type="dxa"/>
            <w:vAlign w:val="bottom"/>
            <w:gridSpan w:val="22"/>
          </w:tcPr>
          <w:p>
            <w:pPr>
              <w:spacing w:after="0"/>
              <w:rPr>
                <w:rFonts w:ascii="Times New Roman" w:cs="Times New Roman" w:eastAsia="Times New Roman" w:hAnsi="Times New Roman"/>
                <w:sz w:val="18"/>
                <w:szCs w:val="18"/>
                <w:b w:val="1"/>
                <w:bCs w:val="1"/>
                <w:color w:val="0000EE"/>
              </w:rPr>
            </w:pPr>
            <w:hyperlink w:anchor="page39">
              <w:r>
                <w:rPr>
                  <w:rFonts w:ascii="Times New Roman" w:cs="Times New Roman" w:eastAsia="Times New Roman" w:hAnsi="Times New Roman"/>
                  <w:sz w:val="18"/>
                  <w:szCs w:val="18"/>
                  <w:b w:val="1"/>
                  <w:bCs w:val="1"/>
                  <w:color w:val="0000EE"/>
                </w:rPr>
                <w:t>ITEM 2: Unregistered Sales of Equity Securities and Use of Proceeds</w:t>
              </w:r>
            </w:hyperlink>
          </w:p>
        </w:tc>
        <w:tc>
          <w:tcPr>
            <w:tcW w:w="80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39">
              <w:r>
                <w:rPr>
                  <w:rFonts w:ascii="Times New Roman" w:cs="Times New Roman" w:eastAsia="Times New Roman" w:hAnsi="Times New Roman"/>
                  <w:sz w:val="18"/>
                  <w:szCs w:val="18"/>
                  <w:color w:val="0000EE"/>
                </w:rPr>
                <w:t>36</w:t>
              </w:r>
            </w:hyperlink>
          </w:p>
        </w:tc>
      </w:tr>
      <w:tr>
        <w:trPr>
          <w:trHeight w:val="20"/>
        </w:trPr>
        <w:tc>
          <w:tcPr>
            <w:tcW w:w="8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160" w:type="dxa"/>
            <w:vAlign w:val="bottom"/>
            <w:gridSpan w:val="8"/>
          </w:tcPr>
          <w:p>
            <w:pPr>
              <w:spacing w:after="0"/>
              <w:rPr>
                <w:rFonts w:ascii="Times New Roman" w:cs="Times New Roman" w:eastAsia="Times New Roman" w:hAnsi="Times New Roman"/>
                <w:sz w:val="18"/>
                <w:szCs w:val="18"/>
                <w:b w:val="1"/>
                <w:bCs w:val="1"/>
                <w:color w:val="0000EE"/>
                <w:w w:val="99"/>
              </w:rPr>
            </w:pPr>
            <w:hyperlink w:anchor="page39">
              <w:r>
                <w:rPr>
                  <w:rFonts w:ascii="Times New Roman" w:cs="Times New Roman" w:eastAsia="Times New Roman" w:hAnsi="Times New Roman"/>
                  <w:sz w:val="18"/>
                  <w:szCs w:val="18"/>
                  <w:b w:val="1"/>
                  <w:bCs w:val="1"/>
                  <w:color w:val="0000EE"/>
                  <w:w w:val="99"/>
                </w:rPr>
                <w:t>ITEM 3: Defaults Upon Senior Securities</w:t>
              </w:r>
            </w:hyperlink>
          </w:p>
        </w:tc>
        <w:tc>
          <w:tcPr>
            <w:tcW w:w="2120" w:type="dxa"/>
            <w:vAlign w:val="bottom"/>
            <w:gridSpan w:val="9"/>
          </w:tcPr>
          <w:p>
            <w:pPr>
              <w:spacing w:after="0"/>
              <w:rPr>
                <w:sz w:val="21"/>
                <w:szCs w:val="21"/>
                <w:color w:val="auto"/>
              </w:rPr>
            </w:pPr>
          </w:p>
        </w:tc>
        <w:tc>
          <w:tcPr>
            <w:tcW w:w="5300" w:type="dxa"/>
            <w:vAlign w:val="bottom"/>
            <w:gridSpan w:val="5"/>
          </w:tcPr>
          <w:p>
            <w:pPr>
              <w:spacing w:after="0"/>
              <w:rPr>
                <w:sz w:val="21"/>
                <w:szCs w:val="21"/>
                <w:color w:val="auto"/>
              </w:rPr>
            </w:pPr>
          </w:p>
        </w:tc>
        <w:tc>
          <w:tcPr>
            <w:tcW w:w="80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39">
              <w:r>
                <w:rPr>
                  <w:rFonts w:ascii="Times New Roman" w:cs="Times New Roman" w:eastAsia="Times New Roman" w:hAnsi="Times New Roman"/>
                  <w:sz w:val="18"/>
                  <w:szCs w:val="18"/>
                  <w:color w:val="0000EE"/>
                </w:rPr>
                <w:t>36</w:t>
              </w:r>
            </w:hyperlink>
          </w:p>
        </w:tc>
      </w:tr>
      <w:tr>
        <w:trPr>
          <w:trHeight w:val="20"/>
        </w:trPr>
        <w:tc>
          <w:tcPr>
            <w:tcW w:w="8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7420" w:type="dxa"/>
            <w:vAlign w:val="bottom"/>
            <w:gridSpan w:val="14"/>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560" w:type="dxa"/>
            <w:vAlign w:val="bottom"/>
            <w:gridSpan w:val="6"/>
          </w:tcPr>
          <w:p>
            <w:pPr>
              <w:spacing w:after="0"/>
              <w:rPr>
                <w:rFonts w:ascii="Times New Roman" w:cs="Times New Roman" w:eastAsia="Times New Roman" w:hAnsi="Times New Roman"/>
                <w:sz w:val="18"/>
                <w:szCs w:val="18"/>
                <w:b w:val="1"/>
                <w:bCs w:val="1"/>
                <w:color w:val="0000EE"/>
                <w:w w:val="99"/>
              </w:rPr>
            </w:pPr>
            <w:hyperlink w:anchor="page39">
              <w:r>
                <w:rPr>
                  <w:rFonts w:ascii="Times New Roman" w:cs="Times New Roman" w:eastAsia="Times New Roman" w:hAnsi="Times New Roman"/>
                  <w:sz w:val="18"/>
                  <w:szCs w:val="18"/>
                  <w:b w:val="1"/>
                  <w:bCs w:val="1"/>
                  <w:color w:val="0000EE"/>
                  <w:w w:val="99"/>
                </w:rPr>
                <w:t>ITEM 4: Mine Safety Disclosures</w:t>
              </w:r>
            </w:hyperlink>
          </w:p>
        </w:tc>
        <w:tc>
          <w:tcPr>
            <w:tcW w:w="600" w:type="dxa"/>
            <w:vAlign w:val="bottom"/>
            <w:gridSpan w:val="2"/>
          </w:tcPr>
          <w:p>
            <w:pPr>
              <w:spacing w:after="0"/>
              <w:rPr>
                <w:sz w:val="21"/>
                <w:szCs w:val="21"/>
                <w:color w:val="auto"/>
              </w:rPr>
            </w:pPr>
          </w:p>
        </w:tc>
        <w:tc>
          <w:tcPr>
            <w:tcW w:w="7420" w:type="dxa"/>
            <w:vAlign w:val="bottom"/>
            <w:gridSpan w:val="14"/>
          </w:tcPr>
          <w:p>
            <w:pPr>
              <w:spacing w:after="0"/>
              <w:rPr>
                <w:sz w:val="21"/>
                <w:szCs w:val="21"/>
                <w:color w:val="auto"/>
              </w:rPr>
            </w:pPr>
          </w:p>
        </w:tc>
        <w:tc>
          <w:tcPr>
            <w:tcW w:w="80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39">
              <w:r>
                <w:rPr>
                  <w:rFonts w:ascii="Times New Roman" w:cs="Times New Roman" w:eastAsia="Times New Roman" w:hAnsi="Times New Roman"/>
                  <w:sz w:val="18"/>
                  <w:szCs w:val="18"/>
                  <w:color w:val="0000EE"/>
                </w:rPr>
                <w:t>36</w:t>
              </w:r>
            </w:hyperlink>
          </w:p>
        </w:tc>
      </w:tr>
      <w:tr>
        <w:trPr>
          <w:trHeight w:val="20"/>
        </w:trPr>
        <w:tc>
          <w:tcPr>
            <w:tcW w:w="8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20" w:type="dxa"/>
            <w:vAlign w:val="bottom"/>
            <w:gridSpan w:val="16"/>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160" w:type="dxa"/>
            <w:vAlign w:val="bottom"/>
            <w:gridSpan w:val="5"/>
          </w:tcPr>
          <w:p>
            <w:pPr>
              <w:spacing w:after="0"/>
              <w:rPr>
                <w:rFonts w:ascii="Times New Roman" w:cs="Times New Roman" w:eastAsia="Times New Roman" w:hAnsi="Times New Roman"/>
                <w:sz w:val="18"/>
                <w:szCs w:val="18"/>
                <w:b w:val="1"/>
                <w:bCs w:val="1"/>
                <w:color w:val="0000EE"/>
                <w:w w:val="98"/>
              </w:rPr>
            </w:pPr>
            <w:hyperlink w:anchor="page39">
              <w:r>
                <w:rPr>
                  <w:rFonts w:ascii="Times New Roman" w:cs="Times New Roman" w:eastAsia="Times New Roman" w:hAnsi="Times New Roman"/>
                  <w:sz w:val="18"/>
                  <w:szCs w:val="18"/>
                  <w:b w:val="1"/>
                  <w:bCs w:val="1"/>
                  <w:color w:val="0000EE"/>
                  <w:w w:val="98"/>
                </w:rPr>
                <w:t>ITEM 5: Other Information</w:t>
              </w:r>
            </w:hyperlink>
          </w:p>
        </w:tc>
        <w:tc>
          <w:tcPr>
            <w:tcW w:w="400" w:type="dxa"/>
            <w:vAlign w:val="bottom"/>
          </w:tcPr>
          <w:p>
            <w:pPr>
              <w:spacing w:after="0"/>
              <w:rPr>
                <w:sz w:val="21"/>
                <w:szCs w:val="21"/>
                <w:color w:val="auto"/>
              </w:rPr>
            </w:pPr>
          </w:p>
        </w:tc>
        <w:tc>
          <w:tcPr>
            <w:tcW w:w="8020" w:type="dxa"/>
            <w:vAlign w:val="bottom"/>
            <w:gridSpan w:val="16"/>
          </w:tcPr>
          <w:p>
            <w:pPr>
              <w:spacing w:after="0"/>
              <w:rPr>
                <w:sz w:val="21"/>
                <w:szCs w:val="21"/>
                <w:color w:val="auto"/>
              </w:rPr>
            </w:pPr>
          </w:p>
        </w:tc>
        <w:tc>
          <w:tcPr>
            <w:tcW w:w="80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39">
              <w:r>
                <w:rPr>
                  <w:rFonts w:ascii="Times New Roman" w:cs="Times New Roman" w:eastAsia="Times New Roman" w:hAnsi="Times New Roman"/>
                  <w:sz w:val="18"/>
                  <w:szCs w:val="18"/>
                  <w:color w:val="0000EE"/>
                </w:rPr>
                <w:t>36</w:t>
              </w:r>
            </w:hyperlink>
          </w:p>
        </w:tc>
      </w:tr>
      <w:tr>
        <w:trPr>
          <w:trHeight w:val="20"/>
        </w:trPr>
        <w:tc>
          <w:tcPr>
            <w:tcW w:w="8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8420" w:type="dxa"/>
            <w:vAlign w:val="bottom"/>
            <w:gridSpan w:val="17"/>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360" w:type="dxa"/>
            <w:vAlign w:val="bottom"/>
            <w:gridSpan w:val="2"/>
          </w:tcPr>
          <w:p>
            <w:pPr>
              <w:spacing w:after="0"/>
              <w:rPr>
                <w:rFonts w:ascii="Times New Roman" w:cs="Times New Roman" w:eastAsia="Times New Roman" w:hAnsi="Times New Roman"/>
                <w:sz w:val="18"/>
                <w:szCs w:val="18"/>
                <w:b w:val="1"/>
                <w:bCs w:val="1"/>
                <w:color w:val="0000FF"/>
                <w:w w:val="98"/>
              </w:rPr>
            </w:pPr>
            <w:hyperlink w:anchor="page40">
              <w:r>
                <w:rPr>
                  <w:rFonts w:ascii="Times New Roman" w:cs="Times New Roman" w:eastAsia="Times New Roman" w:hAnsi="Times New Roman"/>
                  <w:sz w:val="18"/>
                  <w:szCs w:val="18"/>
                  <w:b w:val="1"/>
                  <w:bCs w:val="1"/>
                  <w:color w:val="0000FF"/>
                  <w:w w:val="98"/>
                </w:rPr>
                <w:t>ITEM 6: Exhibits</w:t>
              </w:r>
            </w:hyperlink>
          </w:p>
        </w:tc>
        <w:tc>
          <w:tcPr>
            <w:tcW w:w="800" w:type="dxa"/>
            <w:vAlign w:val="bottom"/>
            <w:gridSpan w:val="3"/>
          </w:tcPr>
          <w:p>
            <w:pPr>
              <w:spacing w:after="0"/>
              <w:rPr>
                <w:sz w:val="21"/>
                <w:szCs w:val="21"/>
                <w:color w:val="auto"/>
              </w:rPr>
            </w:pPr>
          </w:p>
        </w:tc>
        <w:tc>
          <w:tcPr>
            <w:tcW w:w="8420" w:type="dxa"/>
            <w:vAlign w:val="bottom"/>
            <w:gridSpan w:val="17"/>
          </w:tcPr>
          <w:p>
            <w:pPr>
              <w:spacing w:after="0"/>
              <w:rPr>
                <w:sz w:val="21"/>
                <w:szCs w:val="21"/>
                <w:color w:val="auto"/>
              </w:rPr>
            </w:pPr>
          </w:p>
        </w:tc>
        <w:tc>
          <w:tcPr>
            <w:tcW w:w="80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40">
              <w:r>
                <w:rPr>
                  <w:rFonts w:ascii="Times New Roman" w:cs="Times New Roman" w:eastAsia="Times New Roman" w:hAnsi="Times New Roman"/>
                  <w:sz w:val="18"/>
                  <w:szCs w:val="18"/>
                  <w:color w:val="0000EE"/>
                </w:rPr>
                <w:t>37</w:t>
              </w:r>
            </w:hyperlink>
          </w:p>
        </w:tc>
      </w:tr>
      <w:tr>
        <w:trPr>
          <w:trHeight w:val="20"/>
        </w:trPr>
        <w:tc>
          <w:tcPr>
            <w:tcW w:w="8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9220" w:type="dxa"/>
            <w:vAlign w:val="bottom"/>
            <w:gridSpan w:val="2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820" w:type="dxa"/>
            <w:vAlign w:val="bottom"/>
          </w:tcPr>
          <w:p>
            <w:pPr>
              <w:spacing w:after="0"/>
              <w:rPr>
                <w:rFonts w:ascii="Times New Roman" w:cs="Times New Roman" w:eastAsia="Times New Roman" w:hAnsi="Times New Roman"/>
                <w:sz w:val="18"/>
                <w:szCs w:val="18"/>
                <w:b w:val="1"/>
                <w:bCs w:val="1"/>
                <w:color w:val="0000FF"/>
                <w:w w:val="97"/>
              </w:rPr>
            </w:pPr>
            <w:hyperlink w:anchor="page41">
              <w:r>
                <w:rPr>
                  <w:rFonts w:ascii="Times New Roman" w:cs="Times New Roman" w:eastAsia="Times New Roman" w:hAnsi="Times New Roman"/>
                  <w:sz w:val="18"/>
                  <w:szCs w:val="18"/>
                  <w:b w:val="1"/>
                  <w:bCs w:val="1"/>
                  <w:color w:val="0000FF"/>
                  <w:w w:val="97"/>
                </w:rPr>
                <w:t>Signatures</w:t>
              </w:r>
            </w:hyperlink>
          </w:p>
        </w:tc>
        <w:tc>
          <w:tcPr>
            <w:tcW w:w="540" w:type="dxa"/>
            <w:vAlign w:val="bottom"/>
          </w:tcPr>
          <w:p>
            <w:pPr>
              <w:spacing w:after="0"/>
              <w:rPr>
                <w:sz w:val="21"/>
                <w:szCs w:val="21"/>
                <w:color w:val="auto"/>
              </w:rPr>
            </w:pPr>
          </w:p>
        </w:tc>
        <w:tc>
          <w:tcPr>
            <w:tcW w:w="9220" w:type="dxa"/>
            <w:vAlign w:val="bottom"/>
            <w:gridSpan w:val="20"/>
          </w:tcPr>
          <w:p>
            <w:pPr>
              <w:spacing w:after="0"/>
              <w:rPr>
                <w:sz w:val="21"/>
                <w:szCs w:val="21"/>
                <w:color w:val="auto"/>
              </w:rPr>
            </w:pPr>
          </w:p>
        </w:tc>
        <w:tc>
          <w:tcPr>
            <w:tcW w:w="80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41">
              <w:r>
                <w:rPr>
                  <w:rFonts w:ascii="Times New Roman" w:cs="Times New Roman" w:eastAsia="Times New Roman" w:hAnsi="Times New Roman"/>
                  <w:sz w:val="18"/>
                  <w:szCs w:val="18"/>
                  <w:color w:val="0000EE"/>
                </w:rPr>
                <w:t>38</w:t>
              </w:r>
            </w:hyperlink>
          </w:p>
        </w:tc>
      </w:tr>
      <w:tr>
        <w:trPr>
          <w:trHeight w:val="20"/>
        </w:trPr>
        <w:tc>
          <w:tcPr>
            <w:tcW w:w="82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ectPr>
          <w:pgSz w:w="11900" w:h="16838" w:orient="portrait"/>
          <w:cols w:equalWidth="0" w:num="1">
            <w:col w:w="11380"/>
          </w:cols>
          <w:pgMar w:left="280" w:top="360" w:right="239" w:bottom="1440" w:gutter="0" w:footer="0" w:header="0"/>
        </w:sectPr>
      </w:pPr>
    </w:p>
    <w:bookmarkStart w:id="2" w:name="page3"/>
    <w:bookmarkEnd w:id="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CLEAN HARBORS, INC.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8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71"/>
              <w:spacing w:after="0"/>
              <w:rPr>
                <w:sz w:val="20"/>
                <w:szCs w:val="20"/>
                <w:color w:val="auto"/>
              </w:rPr>
            </w:pPr>
            <w:r>
              <w:rPr>
                <w:rFonts w:ascii="Times New Roman" w:cs="Times New Roman" w:eastAsia="Times New Roman" w:hAnsi="Times New Roman"/>
                <w:sz w:val="14"/>
                <w:szCs w:val="14"/>
                <w:b w:val="1"/>
                <w:bCs w:val="1"/>
                <w:color w:val="auto"/>
              </w:rPr>
              <w:t>September 30, 2019</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December 31, 2018</w:t>
            </w:r>
          </w:p>
        </w:tc>
      </w:tr>
      <w:tr>
        <w:trPr>
          <w:trHeight w:val="265"/>
        </w:trPr>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tcPr>
          <w:p>
            <w:pPr>
              <w:spacing w:after="0"/>
              <w:rPr>
                <w:sz w:val="23"/>
                <w:szCs w:val="23"/>
                <w:color w:val="auto"/>
              </w:rPr>
            </w:pPr>
          </w:p>
        </w:tc>
        <w:tc>
          <w:tcPr>
            <w:tcW w:w="15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4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255"/>
        </w:trPr>
        <w:tc>
          <w:tcPr>
            <w:tcW w:w="82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r>
      <w:tr>
        <w:trPr>
          <w:trHeight w:val="243"/>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282,233</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226,507</w:t>
            </w:r>
          </w:p>
        </w:tc>
      </w:tr>
      <w:tr>
        <w:trPr>
          <w:trHeight w:val="27"/>
        </w:trPr>
        <w:tc>
          <w:tcPr>
            <w:tcW w:w="8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Short-term marketable securities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46,877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52,856</w:t>
            </w:r>
          </w:p>
        </w:tc>
      </w:tr>
      <w:tr>
        <w:trPr>
          <w:trHeight w:val="243"/>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 net of allowances aggregating $37,998 and $44,315, respectively</w:t>
            </w: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641,667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606,952</w:t>
            </w:r>
          </w:p>
        </w:tc>
      </w:tr>
      <w:tr>
        <w:trPr>
          <w:trHeight w:val="27"/>
        </w:trPr>
        <w:tc>
          <w:tcPr>
            <w:tcW w:w="8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Unbilled accounts receivable</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58,842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54,794</w:t>
            </w:r>
          </w:p>
        </w:tc>
      </w:tr>
      <w:tr>
        <w:trPr>
          <w:trHeight w:val="243"/>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costs</w:t>
            </w: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21,939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18,770</w:t>
            </w:r>
          </w:p>
        </w:tc>
      </w:tr>
      <w:tr>
        <w:trPr>
          <w:trHeight w:val="27"/>
        </w:trPr>
        <w:tc>
          <w:tcPr>
            <w:tcW w:w="8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Inventories and supplies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210,827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199,479</w:t>
            </w:r>
          </w:p>
        </w:tc>
      </w:tr>
      <w:tr>
        <w:trPr>
          <w:trHeight w:val="243"/>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38,199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42,800</w:t>
            </w:r>
          </w:p>
        </w:tc>
      </w:tr>
      <w:tr>
        <w:trPr>
          <w:trHeight w:val="27"/>
        </w:trPr>
        <w:tc>
          <w:tcPr>
            <w:tcW w:w="8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4"/>
        </w:trPr>
        <w:tc>
          <w:tcPr>
            <w:tcW w:w="824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1,300,584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1,202,158</w:t>
            </w:r>
          </w:p>
        </w:tc>
      </w:tr>
      <w:tr>
        <w:trPr>
          <w:trHeight w:val="237"/>
        </w:trPr>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1,593,993</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1,561,978</w:t>
            </w:r>
          </w:p>
        </w:tc>
      </w:tr>
      <w:tr>
        <w:trPr>
          <w:trHeight w:val="27"/>
        </w:trPr>
        <w:tc>
          <w:tcPr>
            <w:tcW w:w="8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82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Other assets: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82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164,302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524,581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514,189</w:t>
            </w:r>
          </w:p>
        </w:tc>
      </w:tr>
      <w:tr>
        <w:trPr>
          <w:trHeight w:val="243"/>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Permits and other intangibles, net</w:t>
            </w: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425,863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441,875</w:t>
            </w:r>
          </w:p>
        </w:tc>
      </w:tr>
      <w:tr>
        <w:trPr>
          <w:trHeight w:val="27"/>
        </w:trPr>
        <w:tc>
          <w:tcPr>
            <w:tcW w:w="8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82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12,539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18,121</w:t>
            </w:r>
          </w:p>
        </w:tc>
      </w:tr>
      <w:tr>
        <w:trPr>
          <w:trHeight w:val="237"/>
        </w:trPr>
        <w:tc>
          <w:tcPr>
            <w:tcW w:w="82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Total other assets</w:t>
            </w:r>
          </w:p>
        </w:tc>
        <w:tc>
          <w:tcPr>
            <w:tcW w:w="1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1,127,285</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974,185</w:t>
            </w:r>
          </w:p>
        </w:tc>
      </w:tr>
      <w:tr>
        <w:trPr>
          <w:trHeight w:val="27"/>
        </w:trPr>
        <w:tc>
          <w:tcPr>
            <w:tcW w:w="8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7"/>
        </w:trPr>
        <w:tc>
          <w:tcPr>
            <w:tcW w:w="824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4,021,862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3,738,321</w:t>
            </w:r>
          </w:p>
        </w:tc>
      </w:tr>
      <w:tr>
        <w:trPr>
          <w:trHeight w:val="20"/>
        </w:trPr>
        <w:tc>
          <w:tcPr>
            <w:tcW w:w="8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63"/>
        </w:trPr>
        <w:tc>
          <w:tcPr>
            <w:tcW w:w="8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250"/>
        </w:trPr>
        <w:tc>
          <w:tcPr>
            <w:tcW w:w="82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8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Current portion of long-term obligations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7,535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7,535</w:t>
            </w:r>
          </w:p>
        </w:tc>
      </w:tr>
      <w:tr>
        <w:trPr>
          <w:trHeight w:val="243"/>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277,545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276,461</w:t>
            </w:r>
          </w:p>
        </w:tc>
      </w:tr>
      <w:tr>
        <w:trPr>
          <w:trHeight w:val="27"/>
        </w:trPr>
        <w:tc>
          <w:tcPr>
            <w:tcW w:w="8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revenue</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73,157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61,843</w:t>
            </w:r>
          </w:p>
        </w:tc>
      </w:tr>
      <w:tr>
        <w:trPr>
          <w:trHeight w:val="243"/>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expenses</w:t>
            </w: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253,455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233,405</w:t>
            </w:r>
          </w:p>
        </w:tc>
      </w:tr>
      <w:tr>
        <w:trPr>
          <w:trHeight w:val="27"/>
        </w:trPr>
        <w:tc>
          <w:tcPr>
            <w:tcW w:w="8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Current portion of closure, post-closure and remedial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26,986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23,034</w:t>
            </w:r>
          </w:p>
        </w:tc>
      </w:tr>
      <w:tr>
        <w:trPr>
          <w:trHeight w:val="243"/>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41,364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4"/>
        </w:trPr>
        <w:tc>
          <w:tcPr>
            <w:tcW w:w="824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680,042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602,278</w:t>
            </w:r>
          </w:p>
        </w:tc>
      </w:tr>
      <w:tr>
        <w:trPr>
          <w:trHeight w:val="237"/>
        </w:trPr>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Other liabilities:</w:t>
            </w:r>
          </w:p>
        </w:tc>
        <w:tc>
          <w:tcPr>
            <w:tcW w:w="1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r>
      <w:tr>
        <w:trPr>
          <w:trHeight w:val="27"/>
        </w:trPr>
        <w:tc>
          <w:tcPr>
            <w:tcW w:w="8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Closure and post-closure liabilities, less current portion of $9,896 and $9,592, respectively</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64,263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60,339</w:t>
            </w:r>
          </w:p>
        </w:tc>
      </w:tr>
      <w:tr>
        <w:trPr>
          <w:trHeight w:val="243"/>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Remedial liabilities, less current portion of $17,090 and $13,442, respectively</w:t>
            </w: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100,179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107,575</w:t>
            </w:r>
          </w:p>
        </w:tc>
      </w:tr>
      <w:tr>
        <w:trPr>
          <w:trHeight w:val="27"/>
        </w:trPr>
        <w:tc>
          <w:tcPr>
            <w:tcW w:w="8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Long-term obligations, less current portion</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1,555,257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1,565,021</w:t>
            </w:r>
          </w:p>
        </w:tc>
      </w:tr>
      <w:tr>
        <w:trPr>
          <w:trHeight w:val="243"/>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 liabilities, less current portion</w:t>
            </w: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122,668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82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taxes, unrecognized tax benefits and other long-term liabilities</w:t>
            </w: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263,658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233,352</w:t>
            </w:r>
          </w:p>
        </w:tc>
      </w:tr>
      <w:tr>
        <w:trPr>
          <w:trHeight w:val="237"/>
        </w:trPr>
        <w:tc>
          <w:tcPr>
            <w:tcW w:w="82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Total other liabilities</w:t>
            </w:r>
          </w:p>
        </w:tc>
        <w:tc>
          <w:tcPr>
            <w:tcW w:w="1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2,106,025</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1,966,287</w:t>
            </w:r>
          </w:p>
        </w:tc>
      </w:tr>
      <w:tr>
        <w:trPr>
          <w:trHeight w:val="27"/>
        </w:trPr>
        <w:tc>
          <w:tcPr>
            <w:tcW w:w="8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82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Commitments and contingent liabilities (See Note 16)</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8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Common stock, $.01 par value:</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Authorized 80,000,000 shares; issued and outstanding 55,807,524 and 55,847,261 shares, respectively</w:t>
            </w: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558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558</w:t>
            </w:r>
          </w:p>
        </w:tc>
      </w:tr>
      <w:tr>
        <w:trPr>
          <w:trHeight w:val="27"/>
        </w:trPr>
        <w:tc>
          <w:tcPr>
            <w:tcW w:w="8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648,184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655,415</w:t>
            </w:r>
          </w:p>
        </w:tc>
      </w:tr>
      <w:tr>
        <w:trPr>
          <w:trHeight w:val="243"/>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(223,690)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(223,371)</w:t>
            </w:r>
          </w:p>
        </w:tc>
      </w:tr>
      <w:tr>
        <w:trPr>
          <w:trHeight w:val="27"/>
        </w:trPr>
        <w:tc>
          <w:tcPr>
            <w:tcW w:w="8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82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earnings</w:t>
            </w: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810,743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737,154</w:t>
            </w:r>
          </w:p>
        </w:tc>
      </w:tr>
      <w:tr>
        <w:trPr>
          <w:trHeight w:val="237"/>
        </w:trPr>
        <w:tc>
          <w:tcPr>
            <w:tcW w:w="82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1,235,795</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1,169,756</w:t>
            </w:r>
          </w:p>
        </w:tc>
      </w:tr>
      <w:tr>
        <w:trPr>
          <w:trHeight w:val="27"/>
        </w:trPr>
        <w:tc>
          <w:tcPr>
            <w:tcW w:w="8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7"/>
        </w:trPr>
        <w:tc>
          <w:tcPr>
            <w:tcW w:w="8240" w:type="dxa"/>
            <w:vAlign w:val="bottom"/>
            <w:tcBorders>
              <w:bottom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4,021,862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3,738,321</w:t>
            </w:r>
          </w:p>
        </w:tc>
      </w:tr>
      <w:tr>
        <w:trPr>
          <w:trHeight w:val="20"/>
        </w:trPr>
        <w:tc>
          <w:tcPr>
            <w:tcW w:w="8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consolidated financial statements.</w:t>
      </w:r>
    </w:p>
    <w:p>
      <w:pPr>
        <w:sectPr>
          <w:pgSz w:w="11900" w:h="16838" w:orient="portrait"/>
          <w:cols w:equalWidth="0" w:num="1">
            <w:col w:w="11420"/>
          </w:cols>
          <w:pgMar w:left="240" w:top="121" w:right="239" w:bottom="968" w:gutter="0" w:footer="0" w:header="0"/>
        </w:sect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121" w:right="239" w:bottom="968" w:gutter="0" w:footer="0" w:header="0"/>
          <w:type w:val="continuous"/>
        </w:sectPr>
      </w:pPr>
    </w:p>
    <w:bookmarkStart w:id="3" w:name="page4"/>
    <w:bookmarkEnd w:id="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CLEAN HARBORS, INC.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OPERATIONS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80" w:type="dxa"/>
            <w:vAlign w:val="bottom"/>
          </w:tcPr>
          <w:p>
            <w:pPr>
              <w:spacing w:after="0"/>
              <w:rPr>
                <w:sz w:val="16"/>
                <w:szCs w:val="16"/>
                <w:color w:val="auto"/>
              </w:rPr>
            </w:pPr>
          </w:p>
        </w:tc>
      </w:tr>
      <w:tr>
        <w:trPr>
          <w:trHeight w:val="275"/>
        </w:trPr>
        <w:tc>
          <w:tcPr>
            <w:tcW w:w="516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86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82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Borders>
              <w:bottom w:val="single" w:sz="8" w:color="auto"/>
            </w:tcBorders>
          </w:tcPr>
          <w:p>
            <w:pPr>
              <w:spacing w:after="0"/>
              <w:rPr>
                <w:sz w:val="23"/>
                <w:szCs w:val="23"/>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w w:val="92"/>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w w:val="92"/>
              </w:rPr>
              <w:t>2018</w:t>
            </w:r>
          </w:p>
        </w:tc>
      </w:tr>
      <w:tr>
        <w:trPr>
          <w:trHeight w:val="249"/>
        </w:trPr>
        <w:tc>
          <w:tcPr>
            <w:tcW w:w="51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Service revenues</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739,919</w:t>
            </w:r>
          </w:p>
        </w:tc>
        <w:tc>
          <w:tcPr>
            <w:tcW w:w="120" w:type="dxa"/>
            <w:vAlign w:val="bottom"/>
          </w:tcPr>
          <w:p>
            <w:pPr>
              <w:spacing w:after="0"/>
              <w:rPr>
                <w:sz w:val="21"/>
                <w:szCs w:val="21"/>
                <w:color w:val="auto"/>
              </w:rPr>
            </w:pPr>
          </w:p>
        </w:tc>
        <w:tc>
          <w:tcPr>
            <w:tcW w:w="6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685,183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2,111,662</w:t>
            </w:r>
          </w:p>
        </w:tc>
        <w:tc>
          <w:tcPr>
            <w:tcW w:w="100" w:type="dxa"/>
            <w:vAlign w:val="bottom"/>
          </w:tcPr>
          <w:p>
            <w:pPr>
              <w:spacing w:after="0"/>
              <w:rPr>
                <w:sz w:val="21"/>
                <w:szCs w:val="21"/>
                <w:color w:val="auto"/>
              </w:rPr>
            </w:pPr>
          </w:p>
        </w:tc>
        <w:tc>
          <w:tcPr>
            <w:tcW w:w="6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2,001,681</w:t>
            </w: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Product revenues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151,749</w:t>
            </w:r>
          </w:p>
        </w:tc>
        <w:tc>
          <w:tcPr>
            <w:tcW w:w="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157,998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429,523</w:t>
            </w: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440,418</w:t>
            </w:r>
          </w:p>
        </w:tc>
      </w:tr>
      <w:tr>
        <w:trPr>
          <w:trHeight w:val="237"/>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revenues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891,668</w:t>
            </w:r>
          </w:p>
        </w:tc>
        <w:tc>
          <w:tcPr>
            <w:tcW w:w="12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843,181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2,541,185</w:t>
            </w:r>
          </w:p>
        </w:tc>
        <w:tc>
          <w:tcPr>
            <w:tcW w:w="10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2,442,099</w:t>
            </w:r>
          </w:p>
        </w:tc>
      </w:tr>
      <w:tr>
        <w:trPr>
          <w:trHeight w:val="27"/>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Cost of revenues: (exclusive of items shown separately below)</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Service revenues</w:t>
            </w:r>
          </w:p>
        </w:tc>
        <w:tc>
          <w:tcPr>
            <w:tcW w:w="36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496,005</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464,612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1,439,717</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1,385,684</w:t>
            </w: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Product revenues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116,749</w:t>
            </w:r>
          </w:p>
        </w:tc>
        <w:tc>
          <w:tcPr>
            <w:tcW w:w="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116,073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332,334</w:t>
            </w: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325,010</w:t>
            </w:r>
          </w:p>
        </w:tc>
      </w:tr>
      <w:tr>
        <w:trPr>
          <w:trHeight w:val="237"/>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cost of revenues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612,754</w:t>
            </w:r>
          </w:p>
        </w:tc>
        <w:tc>
          <w:tcPr>
            <w:tcW w:w="12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580,685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1,772,051</w:t>
            </w:r>
          </w:p>
        </w:tc>
        <w:tc>
          <w:tcPr>
            <w:tcW w:w="10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1,710,694</w:t>
            </w:r>
          </w:p>
        </w:tc>
      </w:tr>
      <w:tr>
        <w:trPr>
          <w:trHeight w:val="27"/>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122,301</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121,219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361,033</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362,302</w:t>
            </w:r>
          </w:p>
        </w:tc>
      </w:tr>
      <w:tr>
        <w:trPr>
          <w:trHeight w:val="243"/>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Accretion of environmental liabilities</w:t>
            </w:r>
          </w:p>
        </w:tc>
        <w:tc>
          <w:tcPr>
            <w:tcW w:w="36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2,490</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2,450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7,624</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7,328</w:t>
            </w: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73,756</w:t>
            </w:r>
          </w:p>
        </w:tc>
        <w:tc>
          <w:tcPr>
            <w:tcW w:w="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73,082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223,328</w:t>
            </w: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220,686</w:t>
            </w:r>
          </w:p>
        </w:tc>
      </w:tr>
      <w:tr>
        <w:trPr>
          <w:trHeight w:val="237"/>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80,367</w:t>
            </w:r>
          </w:p>
        </w:tc>
        <w:tc>
          <w:tcPr>
            <w:tcW w:w="12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65,745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177,149</w:t>
            </w:r>
          </w:p>
        </w:tc>
        <w:tc>
          <w:tcPr>
            <w:tcW w:w="10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141,089</w:t>
            </w: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(expense) income, net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1,992</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w:t>
            </w:r>
          </w:p>
        </w:tc>
      </w:tr>
      <w:tr>
        <w:trPr>
          <w:trHeight w:val="243"/>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on early extinguishment of debt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(6,119)</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(6,119)</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(2,469)</w:t>
            </w: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5"/>
        </w:trPr>
        <w:tc>
          <w:tcPr>
            <w:tcW w:w="5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 net of interest income of $1,152, $736, $2,981</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61"/>
        </w:trPr>
        <w:tc>
          <w:tcPr>
            <w:tcW w:w="51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and $2,086, respectively</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(19,702)</w:t>
            </w: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(19,916)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(59,681)</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(60,955)</w:t>
            </w:r>
          </w:p>
        </w:tc>
      </w:tr>
      <w:tr>
        <w:trPr>
          <w:trHeight w:val="237"/>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Income before provision for income taxes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54,119</w:t>
            </w:r>
          </w:p>
        </w:tc>
        <w:tc>
          <w:tcPr>
            <w:tcW w:w="12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42,364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113,341</w:t>
            </w:r>
          </w:p>
        </w:tc>
        <w:tc>
          <w:tcPr>
            <w:tcW w:w="10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77,216</w:t>
            </w: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17,750</w:t>
            </w:r>
          </w:p>
        </w:tc>
        <w:tc>
          <w:tcPr>
            <w:tcW w:w="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11,275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39,752</w:t>
            </w: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28,011</w:t>
            </w:r>
          </w:p>
        </w:tc>
      </w:tr>
      <w:tr>
        <w:trPr>
          <w:trHeight w:val="297"/>
        </w:trPr>
        <w:tc>
          <w:tcPr>
            <w:tcW w:w="51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36,369</w:t>
            </w:r>
          </w:p>
        </w:tc>
        <w:tc>
          <w:tcPr>
            <w:tcW w:w="120" w:type="dxa"/>
            <w:vAlign w:val="bottom"/>
            <w:tcBorders>
              <w:bottom w:val="single" w:sz="8" w:color="CCEEFF"/>
            </w:tcBorders>
          </w:tcPr>
          <w:p>
            <w:pPr>
              <w:spacing w:after="0"/>
              <w:rPr>
                <w:sz w:val="24"/>
                <w:szCs w:val="24"/>
                <w:color w:val="auto"/>
              </w:rPr>
            </w:pPr>
          </w:p>
        </w:tc>
        <w:tc>
          <w:tcPr>
            <w:tcW w:w="60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31,089</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73,589</w:t>
            </w:r>
          </w:p>
        </w:tc>
        <w:tc>
          <w:tcPr>
            <w:tcW w:w="100" w:type="dxa"/>
            <w:vAlign w:val="bottom"/>
            <w:tcBorders>
              <w:bottom w:val="single" w:sz="8" w:color="CCEEFF"/>
            </w:tcBorders>
          </w:tcPr>
          <w:p>
            <w:pPr>
              <w:spacing w:after="0"/>
              <w:rPr>
                <w:sz w:val="24"/>
                <w:szCs w:val="24"/>
                <w:color w:val="auto"/>
              </w:rPr>
            </w:pPr>
          </w:p>
        </w:tc>
        <w:tc>
          <w:tcPr>
            <w:tcW w:w="60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49,205</w:t>
            </w:r>
          </w:p>
        </w:tc>
      </w:tr>
      <w:tr>
        <w:trPr>
          <w:trHeight w:val="237"/>
        </w:trPr>
        <w:tc>
          <w:tcPr>
            <w:tcW w:w="51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Earnings per share:</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r>
      <w:tr>
        <w:trPr>
          <w:trHeight w:val="304"/>
        </w:trPr>
        <w:tc>
          <w:tcPr>
            <w:tcW w:w="51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0.65</w:t>
            </w:r>
          </w:p>
        </w:tc>
        <w:tc>
          <w:tcPr>
            <w:tcW w:w="120" w:type="dxa"/>
            <w:vAlign w:val="bottom"/>
            <w:tcBorders>
              <w:bottom w:val="single" w:sz="8" w:color="CCEEFF"/>
            </w:tcBorders>
          </w:tcPr>
          <w:p>
            <w:pPr>
              <w:spacing w:after="0"/>
              <w:rPr>
                <w:sz w:val="24"/>
                <w:szCs w:val="24"/>
                <w:color w:val="auto"/>
              </w:rPr>
            </w:pPr>
          </w:p>
        </w:tc>
        <w:tc>
          <w:tcPr>
            <w:tcW w:w="6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0.55</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tcBorders>
              <w:bottom w:val="single" w:sz="8" w:color="CCEEFF"/>
            </w:tcBorders>
          </w:tcPr>
          <w:p>
            <w:pPr>
              <w:spacing w:after="0"/>
              <w:rPr>
                <w:sz w:val="24"/>
                <w:szCs w:val="24"/>
                <w:color w:val="auto"/>
              </w:rPr>
            </w:pPr>
          </w:p>
        </w:tc>
        <w:tc>
          <w:tcPr>
            <w:tcW w:w="6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0.88</w:t>
            </w:r>
          </w:p>
        </w:tc>
      </w:tr>
      <w:tr>
        <w:trPr>
          <w:trHeight w:val="251"/>
        </w:trPr>
        <w:tc>
          <w:tcPr>
            <w:tcW w:w="51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0.65</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0.55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0.87</w:t>
            </w:r>
          </w:p>
        </w:tc>
      </w:tr>
      <w:tr>
        <w:trPr>
          <w:trHeight w:val="20"/>
        </w:trPr>
        <w:tc>
          <w:tcPr>
            <w:tcW w:w="5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91"/>
        </w:trPr>
        <w:tc>
          <w:tcPr>
            <w:tcW w:w="51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Shares used to compute earnings per share - Basic</w:t>
            </w:r>
          </w:p>
        </w:tc>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55,850</w:t>
            </w:r>
          </w:p>
        </w:tc>
        <w:tc>
          <w:tcPr>
            <w:tcW w:w="120" w:type="dxa"/>
            <w:vAlign w:val="bottom"/>
            <w:tcBorders>
              <w:bottom w:val="single" w:sz="8" w:color="CCEEFF"/>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56,059</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55,858</w:t>
            </w:r>
          </w:p>
        </w:tc>
        <w:tc>
          <w:tcPr>
            <w:tcW w:w="100" w:type="dxa"/>
            <w:vAlign w:val="bottom"/>
            <w:tcBorders>
              <w:bottom w:val="single" w:sz="8" w:color="CCEEFF"/>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56,222</w:t>
            </w:r>
          </w:p>
        </w:tc>
      </w:tr>
      <w:tr>
        <w:trPr>
          <w:trHeight w:val="251"/>
        </w:trPr>
        <w:tc>
          <w:tcPr>
            <w:tcW w:w="51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Shares used to compute earnings per share - Diluted</w:t>
            </w:r>
          </w:p>
        </w:tc>
        <w:tc>
          <w:tcPr>
            <w:tcW w:w="3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56,165</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56,291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56,109</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56,360</w:t>
            </w:r>
          </w:p>
        </w:tc>
      </w:tr>
      <w:tr>
        <w:trPr>
          <w:trHeight w:val="20"/>
        </w:trPr>
        <w:tc>
          <w:tcPr>
            <w:tcW w:w="5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121" w:right="239" w:bottom="1440" w:gutter="0" w:footer="0" w:header="0"/>
        </w:sectPr>
      </w:pPr>
    </w:p>
    <w:bookmarkStart w:id="4" w:name="page5"/>
    <w:bookmarkEnd w:id="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CLEAN HARBORS, INC.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COMPREHENSIVE INCOME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80" w:type="dxa"/>
            <w:vAlign w:val="bottom"/>
          </w:tcPr>
          <w:p>
            <w:pPr>
              <w:spacing w:after="0"/>
              <w:rPr>
                <w:sz w:val="16"/>
                <w:szCs w:val="16"/>
                <w:color w:val="auto"/>
              </w:rPr>
            </w:pPr>
          </w:p>
        </w:tc>
      </w:tr>
      <w:tr>
        <w:trPr>
          <w:trHeight w:val="275"/>
        </w:trPr>
        <w:tc>
          <w:tcPr>
            <w:tcW w:w="516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86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82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Borders>
              <w:bottom w:val="single" w:sz="8" w:color="auto"/>
            </w:tcBorders>
          </w:tcPr>
          <w:p>
            <w:pPr>
              <w:spacing w:after="0"/>
              <w:rPr>
                <w:sz w:val="23"/>
                <w:szCs w:val="23"/>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w w:val="92"/>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w w:val="92"/>
              </w:rPr>
              <w:t>2018</w:t>
            </w:r>
          </w:p>
        </w:tc>
      </w:tr>
      <w:tr>
        <w:trPr>
          <w:trHeight w:val="249"/>
        </w:trPr>
        <w:tc>
          <w:tcPr>
            <w:tcW w:w="51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36,369</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31,089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73,589</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49,205</w:t>
            </w:r>
          </w:p>
        </w:tc>
      </w:tr>
      <w:tr>
        <w:trPr>
          <w:trHeight w:val="243"/>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5"/>
        </w:trPr>
        <w:tc>
          <w:tcPr>
            <w:tcW w:w="5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Unrealized gains (losses) on available-for-sale securities (net of</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41"/>
        </w:trPr>
        <w:tc>
          <w:tcPr>
            <w:tcW w:w="51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tax of $2, $7, $60 and $95, respectively)</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w:t>
            </w:r>
          </w:p>
        </w:tc>
      </w:tr>
      <w:tr>
        <w:trPr>
          <w:trHeight w:val="225"/>
        </w:trPr>
        <w:tc>
          <w:tcPr>
            <w:tcW w:w="5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Reclassification adjustment for losses on available-for-sale</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4"/>
        </w:trPr>
        <w:tc>
          <w:tcPr>
            <w:tcW w:w="5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securities included in net income</w:t>
            </w:r>
          </w:p>
        </w:tc>
        <w:tc>
          <w:tcPr>
            <w:tcW w:w="360" w:type="dxa"/>
            <w:vAlign w:val="bottom"/>
          </w:tcPr>
          <w:p>
            <w:pPr>
              <w:spacing w:after="0"/>
              <w:rPr>
                <w:sz w:val="20"/>
                <w:szCs w:val="20"/>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11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332</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Unrealized loss on interest rate hedge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(3,865)</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(17,896)</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r>
      <w:tr>
        <w:trPr>
          <w:trHeight w:val="225"/>
        </w:trPr>
        <w:tc>
          <w:tcPr>
            <w:tcW w:w="5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Reclassification adjustment for losses on interest rate hedge</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4"/>
        </w:trPr>
        <w:tc>
          <w:tcPr>
            <w:tcW w:w="5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included in net income</w:t>
            </w:r>
          </w:p>
        </w:tc>
        <w:tc>
          <w:tcPr>
            <w:tcW w:w="360" w:type="dxa"/>
            <w:vAlign w:val="bottom"/>
          </w:tcPr>
          <w:p>
            <w:pPr>
              <w:spacing w:after="0"/>
              <w:rPr>
                <w:sz w:val="20"/>
                <w:szCs w:val="20"/>
                <w:color w:val="auto"/>
              </w:rPr>
            </w:pPr>
          </w:p>
        </w:tc>
        <w:tc>
          <w:tcPr>
            <w:tcW w:w="11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614</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11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1,369</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5"/>
        </w:trPr>
        <w:tc>
          <w:tcPr>
            <w:tcW w:w="5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 adjustments (including a tax</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16"/>
        </w:trPr>
        <w:tc>
          <w:tcPr>
            <w:tcW w:w="5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benefit of $5.6 million in the nine months ended September 30,</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61"/>
        </w:trPr>
        <w:tc>
          <w:tcPr>
            <w:tcW w:w="51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2018)</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(6,177)</w:t>
            </w: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9,832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15,960</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(11,650)</w:t>
            </w:r>
          </w:p>
        </w:tc>
      </w:tr>
      <w:tr>
        <w:trPr>
          <w:trHeight w:val="237"/>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(9,419)</w:t>
            </w:r>
          </w:p>
        </w:tc>
        <w:tc>
          <w:tcPr>
            <w:tcW w:w="12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8,590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10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(13,098)</w:t>
            </w:r>
          </w:p>
        </w:tc>
      </w:tr>
      <w:tr>
        <w:trPr>
          <w:trHeight w:val="27"/>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51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Comprehensive income</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26,950</w:t>
            </w: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39,679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73,270</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36,107</w:t>
            </w:r>
          </w:p>
        </w:tc>
      </w:tr>
      <w:tr>
        <w:trPr>
          <w:trHeight w:val="20"/>
        </w:trPr>
        <w:tc>
          <w:tcPr>
            <w:tcW w:w="5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121" w:right="239" w:bottom="1440" w:gutter="0" w:footer="0" w:header="0"/>
        </w:sectPr>
      </w:pPr>
    </w:p>
    <w:bookmarkStart w:id="5" w:name="page6"/>
    <w:bookmarkEnd w:id="5"/>
    <w:p>
      <w:pPr>
        <w:spacing w:after="0" w:line="62"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CLEAN HARBORS, INC. AND SUBSIDIARIES</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CASH FLOWS</w:t>
      </w:r>
    </w:p>
    <w:p>
      <w:pPr>
        <w:spacing w:after="0" w:line="9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36" w:lineRule="exact"/>
        <w:rPr>
          <w:sz w:val="20"/>
          <w:szCs w:val="20"/>
          <w:color w:val="auto"/>
        </w:rPr>
      </w:pPr>
    </w:p>
    <w:tbl>
      <w:tblPr>
        <w:tblLayout w:type="fixed"/>
        <w:tblInd w:w="60" w:type="dxa"/>
        <w:tblCellMar>
          <w:top w:w="0" w:type="dxa"/>
          <w:left w:w="0" w:type="dxa"/>
          <w:bottom w:w="0" w:type="dxa"/>
          <w:right w:w="0" w:type="dxa"/>
        </w:tblCellMar>
      </w:tblPr>
      <w:tr>
        <w:trPr>
          <w:trHeight w:val="190"/>
        </w:trPr>
        <w:tc>
          <w:tcPr>
            <w:tcW w:w="8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80" w:type="dxa"/>
            <w:vAlign w:val="bottom"/>
          </w:tcPr>
          <w:p>
            <w:pPr>
              <w:spacing w:after="0"/>
              <w:rPr>
                <w:sz w:val="16"/>
                <w:szCs w:val="16"/>
                <w:color w:val="auto"/>
              </w:rPr>
            </w:pPr>
          </w:p>
        </w:tc>
      </w:tr>
      <w:tr>
        <w:trPr>
          <w:trHeight w:val="275"/>
        </w:trPr>
        <w:tc>
          <w:tcPr>
            <w:tcW w:w="826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800" w:type="dxa"/>
            <w:vAlign w:val="bottom"/>
            <w:tcBorders>
              <w:bottom w:val="single" w:sz="8" w:color="auto"/>
            </w:tcBorders>
            <w:gridSpan w:val="3"/>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Borders>
              <w:bottom w:val="single" w:sz="8" w:color="auto"/>
            </w:tcBorders>
          </w:tcPr>
          <w:p>
            <w:pPr>
              <w:spacing w:after="0"/>
              <w:rPr>
                <w:sz w:val="23"/>
                <w:szCs w:val="23"/>
                <w:color w:val="auto"/>
              </w:rPr>
            </w:pPr>
          </w:p>
        </w:tc>
      </w:tr>
      <w:tr>
        <w:trPr>
          <w:trHeight w:val="264"/>
        </w:trPr>
        <w:tc>
          <w:tcPr>
            <w:tcW w:w="826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w w:val="99"/>
              </w:rPr>
              <w:t>2018</w:t>
            </w:r>
          </w:p>
        </w:tc>
      </w:tr>
      <w:tr>
        <w:trPr>
          <w:trHeight w:val="269"/>
        </w:trPr>
        <w:tc>
          <w:tcPr>
            <w:tcW w:w="8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Cash flows from operating activities:</w:t>
            </w: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r>
      <w:tr>
        <w:trPr>
          <w:trHeight w:val="265"/>
        </w:trPr>
        <w:tc>
          <w:tcPr>
            <w:tcW w:w="82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Net income</w:t>
            </w:r>
          </w:p>
        </w:tc>
        <w:tc>
          <w:tcPr>
            <w:tcW w:w="36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73,589</w:t>
            </w:r>
          </w:p>
        </w:tc>
        <w:tc>
          <w:tcPr>
            <w:tcW w:w="100" w:type="dxa"/>
            <w:vAlign w:val="bottom"/>
          </w:tcPr>
          <w:p>
            <w:pPr>
              <w:spacing w:after="0"/>
              <w:rPr>
                <w:sz w:val="23"/>
                <w:szCs w:val="23"/>
                <w:color w:val="auto"/>
              </w:rPr>
            </w:pPr>
          </w:p>
        </w:tc>
        <w:tc>
          <w:tcPr>
            <w:tcW w:w="580" w:type="dxa"/>
            <w:vAlign w:val="bottom"/>
          </w:tcPr>
          <w:p>
            <w:pPr>
              <w:jc w:val="right"/>
              <w:ind w:right="40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49,205</w:t>
            </w:r>
          </w:p>
        </w:tc>
      </w:tr>
      <w:tr>
        <w:trPr>
          <w:trHeight w:val="275"/>
        </w:trPr>
        <w:tc>
          <w:tcPr>
            <w:tcW w:w="8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Adjustments to reconcile net income to net cash from operating activities:</w:t>
            </w: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r>
      <w:tr>
        <w:trPr>
          <w:trHeight w:val="265"/>
        </w:trPr>
        <w:tc>
          <w:tcPr>
            <w:tcW w:w="82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36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223,328</w:t>
            </w: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220,686</w:t>
            </w:r>
          </w:p>
        </w:tc>
      </w:tr>
      <w:tr>
        <w:trPr>
          <w:trHeight w:val="275"/>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Allowance for doubtful accounts</w:t>
            </w: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(745)</w:t>
            </w: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6,869</w:t>
            </w:r>
          </w:p>
        </w:tc>
      </w:tr>
      <w:tr>
        <w:trPr>
          <w:trHeight w:val="265"/>
        </w:trPr>
        <w:tc>
          <w:tcPr>
            <w:tcW w:w="82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Amortization of deferred financing costs and debt discount</w:t>
            </w:r>
          </w:p>
        </w:tc>
        <w:tc>
          <w:tcPr>
            <w:tcW w:w="36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2,908</w:t>
            </w: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2,841</w:t>
            </w:r>
          </w:p>
        </w:tc>
      </w:tr>
      <w:tr>
        <w:trPr>
          <w:trHeight w:val="275"/>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Accretion of environmental liabilities</w:t>
            </w: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7,624</w:t>
            </w: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7,328</w:t>
            </w:r>
          </w:p>
        </w:tc>
      </w:tr>
      <w:tr>
        <w:trPr>
          <w:trHeight w:val="265"/>
        </w:trPr>
        <w:tc>
          <w:tcPr>
            <w:tcW w:w="82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Changes in environmental liability estimates</w:t>
            </w:r>
          </w:p>
        </w:tc>
        <w:tc>
          <w:tcPr>
            <w:tcW w:w="3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(585)</w:t>
            </w: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(301)</w:t>
            </w:r>
          </w:p>
        </w:tc>
      </w:tr>
      <w:tr>
        <w:trPr>
          <w:trHeight w:val="275"/>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Deferred income taxes</w:t>
            </w: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(973)</w:t>
            </w: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61</w:t>
            </w:r>
          </w:p>
        </w:tc>
      </w:tr>
      <w:tr>
        <w:trPr>
          <w:trHeight w:val="265"/>
        </w:trPr>
        <w:tc>
          <w:tcPr>
            <w:tcW w:w="82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Other (income) expense, net</w:t>
            </w:r>
          </w:p>
        </w:tc>
        <w:tc>
          <w:tcPr>
            <w:tcW w:w="3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(1,992)</w:t>
            </w: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449</w:t>
            </w:r>
          </w:p>
        </w:tc>
      </w:tr>
      <w:tr>
        <w:trPr>
          <w:trHeight w:val="275"/>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Stock-based compensation</w:t>
            </w: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14,664</w:t>
            </w: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10,726</w:t>
            </w:r>
          </w:p>
        </w:tc>
      </w:tr>
      <w:tr>
        <w:trPr>
          <w:trHeight w:val="265"/>
        </w:trPr>
        <w:tc>
          <w:tcPr>
            <w:tcW w:w="82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Loss on early extinguishment of debt</w:t>
            </w:r>
          </w:p>
        </w:tc>
        <w:tc>
          <w:tcPr>
            <w:tcW w:w="36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6,119</w:t>
            </w: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2,469</w:t>
            </w:r>
          </w:p>
        </w:tc>
      </w:tr>
      <w:tr>
        <w:trPr>
          <w:trHeight w:val="275"/>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Environmental expenditures</w:t>
            </w: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(12,804)</w:t>
            </w: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(7,238)</w:t>
            </w:r>
          </w:p>
        </w:tc>
      </w:tr>
      <w:tr>
        <w:trPr>
          <w:trHeight w:val="265"/>
        </w:trPr>
        <w:tc>
          <w:tcPr>
            <w:tcW w:w="82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Changes in assets and liabilities, net of acquisitions</w:t>
            </w:r>
          </w:p>
        </w:tc>
        <w:tc>
          <w:tcPr>
            <w:tcW w:w="3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75"/>
        </w:trPr>
        <w:tc>
          <w:tcPr>
            <w:tcW w:w="82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Accounts receivable and unbilled accounts receivable</w:t>
            </w: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(31,408)</w:t>
            </w: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(76,249)</w:t>
            </w:r>
          </w:p>
        </w:tc>
      </w:tr>
      <w:tr>
        <w:trPr>
          <w:trHeight w:val="265"/>
        </w:trPr>
        <w:tc>
          <w:tcPr>
            <w:tcW w:w="826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Inventories and supplies</w:t>
            </w:r>
          </w:p>
        </w:tc>
        <w:tc>
          <w:tcPr>
            <w:tcW w:w="3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(11,982)</w:t>
            </w: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(20,534)</w:t>
            </w:r>
          </w:p>
        </w:tc>
      </w:tr>
      <w:tr>
        <w:trPr>
          <w:trHeight w:val="275"/>
        </w:trPr>
        <w:tc>
          <w:tcPr>
            <w:tcW w:w="82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Other current and non-current assets</w:t>
            </w: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(5,425)</w:t>
            </w: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(523)</w:t>
            </w:r>
          </w:p>
        </w:tc>
      </w:tr>
      <w:tr>
        <w:trPr>
          <w:trHeight w:val="265"/>
        </w:trPr>
        <w:tc>
          <w:tcPr>
            <w:tcW w:w="826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Accounts payable</w:t>
            </w:r>
          </w:p>
        </w:tc>
        <w:tc>
          <w:tcPr>
            <w:tcW w:w="36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3,035</w:t>
            </w: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22,041</w:t>
            </w:r>
          </w:p>
        </w:tc>
      </w:tr>
      <w:tr>
        <w:trPr>
          <w:trHeight w:val="270"/>
        </w:trPr>
        <w:tc>
          <w:tcPr>
            <w:tcW w:w="82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Other current and long-term liabilities</w:t>
            </w: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19,322</w:t>
            </w:r>
          </w:p>
        </w:tc>
        <w:tc>
          <w:tcPr>
            <w:tcW w:w="100" w:type="dxa"/>
            <w:vAlign w:val="bottom"/>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29,385</w:t>
            </w:r>
          </w:p>
        </w:tc>
      </w:tr>
      <w:tr>
        <w:trPr>
          <w:trHeight w:val="250"/>
        </w:trPr>
        <w:tc>
          <w:tcPr>
            <w:tcW w:w="826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4"/>
                <w:szCs w:val="14"/>
                <w:color w:val="auto"/>
              </w:rPr>
              <w:t>Net cash from operating activities</w:t>
            </w: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284,675</w:t>
            </w:r>
          </w:p>
        </w:tc>
        <w:tc>
          <w:tcPr>
            <w:tcW w:w="100" w:type="dxa"/>
            <w:vAlign w:val="bottom"/>
            <w:tcBorders>
              <w:bottom w:val="single" w:sz="8" w:color="CCEEFF"/>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247,215</w:t>
            </w:r>
          </w:p>
        </w:tc>
      </w:tr>
      <w:tr>
        <w:trPr>
          <w:trHeight w:val="269"/>
        </w:trPr>
        <w:tc>
          <w:tcPr>
            <w:tcW w:w="8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Cash flows used in investing activities:</w:t>
            </w: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r>
      <w:tr>
        <w:trPr>
          <w:trHeight w:val="265"/>
        </w:trPr>
        <w:tc>
          <w:tcPr>
            <w:tcW w:w="82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Additions to property, plant and equipment</w:t>
            </w:r>
          </w:p>
        </w:tc>
        <w:tc>
          <w:tcPr>
            <w:tcW w:w="3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(174,533)</w:t>
            </w: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(150,722)</w:t>
            </w:r>
          </w:p>
        </w:tc>
      </w:tr>
      <w:tr>
        <w:trPr>
          <w:trHeight w:val="275"/>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Proceeds from sale and disposal of fixed assets</w:t>
            </w: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8,948</w:t>
            </w: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6,111</w:t>
            </w:r>
          </w:p>
        </w:tc>
      </w:tr>
      <w:tr>
        <w:trPr>
          <w:trHeight w:val="265"/>
        </w:trPr>
        <w:tc>
          <w:tcPr>
            <w:tcW w:w="82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Acquisitions, net of cash acquired</w:t>
            </w:r>
          </w:p>
        </w:tc>
        <w:tc>
          <w:tcPr>
            <w:tcW w:w="3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(29,479)</w:t>
            </w: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(151,023)</w:t>
            </w:r>
          </w:p>
        </w:tc>
      </w:tr>
      <w:tr>
        <w:trPr>
          <w:trHeight w:val="275"/>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Additions to intangible assets including costs to obtain or renew permits</w:t>
            </w: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(2,896)</w:t>
            </w: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(3,500)</w:t>
            </w:r>
          </w:p>
        </w:tc>
      </w:tr>
      <w:tr>
        <w:trPr>
          <w:trHeight w:val="265"/>
        </w:trPr>
        <w:tc>
          <w:tcPr>
            <w:tcW w:w="82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Proceeds from sale of available-for-sale securities</w:t>
            </w:r>
          </w:p>
        </w:tc>
        <w:tc>
          <w:tcPr>
            <w:tcW w:w="36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41,612</w:t>
            </w: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20,123</w:t>
            </w:r>
          </w:p>
        </w:tc>
      </w:tr>
      <w:tr>
        <w:trPr>
          <w:trHeight w:val="270"/>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Purchases of available-for-sale securities</w:t>
            </w: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(30,761)</w:t>
            </w:r>
          </w:p>
        </w:tc>
        <w:tc>
          <w:tcPr>
            <w:tcW w:w="100" w:type="dxa"/>
            <w:vAlign w:val="bottom"/>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(20,471)</w:t>
            </w:r>
          </w:p>
        </w:tc>
      </w:tr>
      <w:tr>
        <w:trPr>
          <w:trHeight w:val="250"/>
        </w:trPr>
        <w:tc>
          <w:tcPr>
            <w:tcW w:w="826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(187,109)</w:t>
            </w:r>
          </w:p>
        </w:tc>
        <w:tc>
          <w:tcPr>
            <w:tcW w:w="100" w:type="dxa"/>
            <w:vAlign w:val="bottom"/>
            <w:tcBorders>
              <w:bottom w:val="single" w:sz="8" w:color="CCEEFF"/>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(299,482)</w:t>
            </w:r>
          </w:p>
        </w:tc>
      </w:tr>
      <w:tr>
        <w:trPr>
          <w:trHeight w:val="269"/>
        </w:trPr>
        <w:tc>
          <w:tcPr>
            <w:tcW w:w="8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Cash flows used in financing activities:</w:t>
            </w: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r>
      <w:tr>
        <w:trPr>
          <w:trHeight w:val="265"/>
        </w:trPr>
        <w:tc>
          <w:tcPr>
            <w:tcW w:w="82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Change in uncashed checks</w:t>
            </w:r>
          </w:p>
        </w:tc>
        <w:tc>
          <w:tcPr>
            <w:tcW w:w="3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(3,516)</w:t>
            </w: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(3,476)</w:t>
            </w:r>
          </w:p>
        </w:tc>
      </w:tr>
      <w:tr>
        <w:trPr>
          <w:trHeight w:val="275"/>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Tax payments related to withholdings on vested restricted stock</w:t>
            </w: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(5,505)</w:t>
            </w: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(2,566)</w:t>
            </w:r>
          </w:p>
        </w:tc>
      </w:tr>
      <w:tr>
        <w:trPr>
          <w:trHeight w:val="265"/>
        </w:trPr>
        <w:tc>
          <w:tcPr>
            <w:tcW w:w="82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Repurchases of common stock</w:t>
            </w:r>
          </w:p>
        </w:tc>
        <w:tc>
          <w:tcPr>
            <w:tcW w:w="3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(16,390)</w:t>
            </w: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(33,581)</w:t>
            </w:r>
          </w:p>
        </w:tc>
      </w:tr>
      <w:tr>
        <w:trPr>
          <w:trHeight w:val="275"/>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Deferred financing costs paid</w:t>
            </w: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(10,053)</w:t>
            </w: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(3,938)</w:t>
            </w:r>
          </w:p>
        </w:tc>
      </w:tr>
      <w:tr>
        <w:trPr>
          <w:trHeight w:val="265"/>
        </w:trPr>
        <w:tc>
          <w:tcPr>
            <w:tcW w:w="82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Premiums paid on early extinguishment of debt</w:t>
            </w:r>
          </w:p>
        </w:tc>
        <w:tc>
          <w:tcPr>
            <w:tcW w:w="3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(2,689)</w:t>
            </w: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(1,219)</w:t>
            </w:r>
          </w:p>
        </w:tc>
      </w:tr>
      <w:tr>
        <w:trPr>
          <w:trHeight w:val="275"/>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Payments on finance lease</w:t>
            </w: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w:t>
            </w: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65"/>
        </w:trPr>
        <w:tc>
          <w:tcPr>
            <w:tcW w:w="82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Principal payments on debt</w:t>
            </w:r>
          </w:p>
        </w:tc>
        <w:tc>
          <w:tcPr>
            <w:tcW w:w="3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(850,652)</w:t>
            </w: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(403,884)</w:t>
            </w:r>
          </w:p>
        </w:tc>
      </w:tr>
      <w:tr>
        <w:trPr>
          <w:trHeight w:val="275"/>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Issuance of unsecured senior notes</w:t>
            </w: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845,000</w:t>
            </w: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65"/>
        </w:trPr>
        <w:tc>
          <w:tcPr>
            <w:tcW w:w="82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Issuance of secured senior notes, net of discount</w:t>
            </w:r>
          </w:p>
        </w:tc>
        <w:tc>
          <w:tcPr>
            <w:tcW w:w="360" w:type="dxa"/>
            <w:vAlign w:val="bottom"/>
          </w:tcPr>
          <w:p>
            <w:pPr>
              <w:spacing w:after="0"/>
              <w:rPr>
                <w:sz w:val="23"/>
                <w:szCs w:val="23"/>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spacing w:after="0"/>
              <w:rPr>
                <w:sz w:val="23"/>
                <w:szCs w:val="23"/>
                <w:color w:val="auto"/>
              </w:rPr>
            </w:pPr>
          </w:p>
        </w:tc>
        <w:tc>
          <w:tcPr>
            <w:tcW w:w="8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348,250</w:t>
            </w:r>
          </w:p>
        </w:tc>
      </w:tr>
      <w:tr>
        <w:trPr>
          <w:trHeight w:val="270"/>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Borrowing from revolving credit facility</w:t>
            </w:r>
          </w:p>
        </w:tc>
        <w:tc>
          <w:tcPr>
            <w:tcW w:w="36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50,000</w:t>
            </w:r>
          </w:p>
        </w:tc>
      </w:tr>
      <w:tr>
        <w:trPr>
          <w:trHeight w:val="250"/>
        </w:trPr>
        <w:tc>
          <w:tcPr>
            <w:tcW w:w="826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4"/>
                <w:szCs w:val="14"/>
                <w:color w:val="auto"/>
              </w:rPr>
              <w:t>Net cash used in financing activities</w:t>
            </w:r>
          </w:p>
        </w:tc>
        <w:tc>
          <w:tcPr>
            <w:tcW w:w="36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(44,132)</w:t>
            </w:r>
          </w:p>
        </w:tc>
        <w:tc>
          <w:tcPr>
            <w:tcW w:w="100" w:type="dxa"/>
            <w:vAlign w:val="bottom"/>
            <w:tcBorders>
              <w:bottom w:val="single" w:sz="8" w:color="CCEEFF"/>
            </w:tcBorders>
          </w:tcPr>
          <w:p>
            <w:pPr>
              <w:spacing w:after="0"/>
              <w:rPr>
                <w:sz w:val="21"/>
                <w:szCs w:val="21"/>
                <w:color w:val="auto"/>
              </w:rPr>
            </w:pPr>
          </w:p>
        </w:tc>
        <w:tc>
          <w:tcPr>
            <w:tcW w:w="58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(50,414)</w:t>
            </w:r>
          </w:p>
        </w:tc>
      </w:tr>
      <w:tr>
        <w:trPr>
          <w:trHeight w:val="250"/>
        </w:trPr>
        <w:tc>
          <w:tcPr>
            <w:tcW w:w="8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Effect of exchange rate change on cash</w:t>
            </w:r>
          </w:p>
        </w:tc>
        <w:tc>
          <w:tcPr>
            <w:tcW w:w="3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2,292</w:t>
            </w:r>
          </w:p>
        </w:tc>
        <w:tc>
          <w:tcPr>
            <w:tcW w:w="100" w:type="dxa"/>
            <w:vAlign w:val="bottom"/>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(1,221)</w:t>
            </w:r>
          </w:p>
        </w:tc>
      </w:tr>
      <w:tr>
        <w:trPr>
          <w:trHeight w:val="250"/>
        </w:trPr>
        <w:tc>
          <w:tcPr>
            <w:tcW w:w="82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Increase (decrease) in cash and cash equivalents</w:t>
            </w:r>
          </w:p>
        </w:tc>
        <w:tc>
          <w:tcPr>
            <w:tcW w:w="360" w:type="dxa"/>
            <w:vAlign w:val="bottom"/>
          </w:tcPr>
          <w:p>
            <w:pPr>
              <w:spacing w:after="0"/>
              <w:rPr>
                <w:sz w:val="21"/>
                <w:szCs w:val="21"/>
                <w:color w:val="auto"/>
              </w:rPr>
            </w:pP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55,726</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(103,902)</w:t>
            </w:r>
          </w:p>
        </w:tc>
      </w:tr>
      <w:tr>
        <w:trPr>
          <w:trHeight w:val="270"/>
        </w:trPr>
        <w:tc>
          <w:tcPr>
            <w:tcW w:w="8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Cash and cash equivalents, beginning of period</w:t>
            </w: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226,507</w:t>
            </w:r>
          </w:p>
        </w:tc>
        <w:tc>
          <w:tcPr>
            <w:tcW w:w="100" w:type="dxa"/>
            <w:vAlign w:val="bottom"/>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319,399</w:t>
            </w:r>
          </w:p>
        </w:tc>
      </w:tr>
      <w:tr>
        <w:trPr>
          <w:trHeight w:val="282"/>
        </w:trPr>
        <w:tc>
          <w:tcPr>
            <w:tcW w:w="82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Cash and cash equivalents, end of period</w:t>
            </w:r>
          </w:p>
        </w:tc>
        <w:tc>
          <w:tcPr>
            <w:tcW w:w="36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282,233</w:t>
            </w:r>
          </w:p>
        </w:tc>
        <w:tc>
          <w:tcPr>
            <w:tcW w:w="100" w:type="dxa"/>
            <w:vAlign w:val="bottom"/>
            <w:tcBorders>
              <w:bottom w:val="single" w:sz="8" w:color="CCEEFF"/>
            </w:tcBorders>
          </w:tcPr>
          <w:p>
            <w:pPr>
              <w:spacing w:after="0"/>
              <w:rPr>
                <w:sz w:val="24"/>
                <w:szCs w:val="24"/>
                <w:color w:val="auto"/>
              </w:rPr>
            </w:pPr>
          </w:p>
        </w:tc>
        <w:tc>
          <w:tcPr>
            <w:tcW w:w="58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215,497</w:t>
            </w:r>
          </w:p>
        </w:tc>
      </w:tr>
      <w:tr>
        <w:trPr>
          <w:trHeight w:val="251"/>
        </w:trPr>
        <w:tc>
          <w:tcPr>
            <w:tcW w:w="8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Supplemental information:</w:t>
            </w: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r>
      <w:tr>
        <w:trPr>
          <w:trHeight w:val="265"/>
        </w:trPr>
        <w:tc>
          <w:tcPr>
            <w:tcW w:w="82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Cash payments for interest and income taxes:</w:t>
            </w:r>
          </w:p>
        </w:tc>
        <w:tc>
          <w:tcPr>
            <w:tcW w:w="3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75"/>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Interest paid</w:t>
            </w:r>
          </w:p>
        </w:tc>
        <w:tc>
          <w:tcPr>
            <w:tcW w:w="36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52,440</w:t>
            </w: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40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58,312</w:t>
            </w:r>
          </w:p>
        </w:tc>
      </w:tr>
      <w:tr>
        <w:trPr>
          <w:trHeight w:val="265"/>
        </w:trPr>
        <w:tc>
          <w:tcPr>
            <w:tcW w:w="82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Income taxes paid</w:t>
            </w:r>
          </w:p>
        </w:tc>
        <w:tc>
          <w:tcPr>
            <w:tcW w:w="36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23,797</w:t>
            </w: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16,071</w:t>
            </w:r>
          </w:p>
        </w:tc>
      </w:tr>
      <w:tr>
        <w:trPr>
          <w:trHeight w:val="275"/>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Cash paid for amounts included in the measurement of lease liabilities:</w:t>
            </w: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r>
      <w:tr>
        <w:trPr>
          <w:trHeight w:val="265"/>
        </w:trPr>
        <w:tc>
          <w:tcPr>
            <w:tcW w:w="82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Operating cash flows from operating leases</w:t>
            </w:r>
          </w:p>
        </w:tc>
        <w:tc>
          <w:tcPr>
            <w:tcW w:w="36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42,105</w:t>
            </w: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75"/>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Operating cash flows from finance lease</w:t>
            </w: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979</w:t>
            </w: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65"/>
        </w:trPr>
        <w:tc>
          <w:tcPr>
            <w:tcW w:w="82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Financing cash flows from finance lease</w:t>
            </w:r>
          </w:p>
        </w:tc>
        <w:tc>
          <w:tcPr>
            <w:tcW w:w="36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327</w:t>
            </w: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89"/>
        </w:trPr>
        <w:tc>
          <w:tcPr>
            <w:tcW w:w="826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1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r>
    </w:tbl>
    <w:p>
      <w:pPr>
        <w:sectPr>
          <w:pgSz w:w="11900" w:h="16900" w:orient="portrait"/>
          <w:cols w:equalWidth="0" w:num="1">
            <w:col w:w="11360"/>
          </w:cols>
          <w:pgMar w:left="240" w:top="121" w:right="299" w:bottom="0" w:gutter="0" w:footer="0" w:header="0"/>
        </w:sectPr>
      </w:pPr>
    </w:p>
    <w:bookmarkStart w:id="6" w:name="page7"/>
    <w:bookmarkEnd w:id="6"/>
    <w:p>
      <w:pPr>
        <w:ind w:left="180"/>
        <w:spacing w:after="0"/>
        <w:rPr>
          <w:sz w:val="20"/>
          <w:szCs w:val="20"/>
          <w:color w:val="auto"/>
        </w:rPr>
      </w:pPr>
      <w:r>
        <w:rPr>
          <w:rFonts w:ascii="Times New Roman" w:cs="Times New Roman" w:eastAsia="Times New Roman" w:hAnsi="Times New Roman"/>
          <w:sz w:val="14"/>
          <w:szCs w:val="14"/>
          <w:color w:val="auto"/>
        </w:rPr>
        <w:t>Non-cash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-87630</wp:posOffset>
            </wp:positionV>
            <wp:extent cx="7178040" cy="1543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154305"/>
                    </a:xfrm>
                    <a:prstGeom prst="rect">
                      <a:avLst/>
                    </a:prstGeom>
                    <a:noFill/>
                  </pic:spPr>
                </pic:pic>
              </a:graphicData>
            </a:graphic>
          </wp:anchor>
        </w:drawing>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6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Property, plant and equipment accrued</w:t>
            </w:r>
          </w:p>
        </w:tc>
        <w:tc>
          <w:tcPr>
            <w:tcW w:w="3580" w:type="dxa"/>
            <w:vAlign w:val="bottom"/>
          </w:tcPr>
          <w:p>
            <w:pPr>
              <w:jc w:val="right"/>
              <w:ind w:right="508"/>
              <w:spacing w:after="0"/>
              <w:rPr>
                <w:sz w:val="20"/>
                <w:szCs w:val="20"/>
                <w:color w:val="auto"/>
              </w:rPr>
            </w:pPr>
            <w:r>
              <w:rPr>
                <w:rFonts w:ascii="Times New Roman" w:cs="Times New Roman" w:eastAsia="Times New Roman" w:hAnsi="Times New Roman"/>
                <w:sz w:val="14"/>
                <w:szCs w:val="14"/>
                <w:color w:val="auto"/>
              </w:rPr>
              <w:t>14,875</w:t>
            </w: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13,834</w:t>
            </w:r>
          </w:p>
        </w:tc>
      </w:tr>
      <w:tr>
        <w:trPr>
          <w:trHeight w:val="275"/>
        </w:trPr>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ROU assets obtained in exchange for new operating lease liabilities</w:t>
            </w:r>
          </w:p>
        </w:tc>
        <w:tc>
          <w:tcPr>
            <w:tcW w:w="3580" w:type="dxa"/>
            <w:vAlign w:val="bottom"/>
            <w:shd w:val="clear" w:color="auto" w:fill="CCEEFF"/>
          </w:tcPr>
          <w:p>
            <w:pPr>
              <w:jc w:val="right"/>
              <w:ind w:right="508"/>
              <w:spacing w:after="0"/>
              <w:rPr>
                <w:sz w:val="20"/>
                <w:szCs w:val="20"/>
                <w:color w:val="auto"/>
              </w:rPr>
            </w:pPr>
            <w:r>
              <w:rPr>
                <w:rFonts w:ascii="Times New Roman" w:cs="Times New Roman" w:eastAsia="Times New Roman" w:hAnsi="Times New Roman"/>
                <w:sz w:val="14"/>
                <w:szCs w:val="14"/>
                <w:color w:val="auto"/>
              </w:rPr>
              <w:t>8,008</w:t>
            </w: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60"/>
        </w:trPr>
        <w:tc>
          <w:tcPr>
            <w:tcW w:w="66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ROU assets obtained in exchange for new finance lease liabilities</w:t>
            </w:r>
          </w:p>
        </w:tc>
        <w:tc>
          <w:tcPr>
            <w:tcW w:w="3580" w:type="dxa"/>
            <w:vAlign w:val="bottom"/>
          </w:tcPr>
          <w:p>
            <w:pPr>
              <w:jc w:val="right"/>
              <w:ind w:right="508"/>
              <w:spacing w:after="0"/>
              <w:rPr>
                <w:sz w:val="20"/>
                <w:szCs w:val="20"/>
                <w:color w:val="auto"/>
              </w:rPr>
            </w:pPr>
            <w:r>
              <w:rPr>
                <w:rFonts w:ascii="Times New Roman" w:cs="Times New Roman" w:eastAsia="Times New Roman" w:hAnsi="Times New Roman"/>
                <w:sz w:val="14"/>
                <w:szCs w:val="14"/>
                <w:color w:val="auto"/>
              </w:rPr>
              <w:t>31,011</w:t>
            </w: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bl>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300"/>
          </w:cols>
          <w:pgMar w:left="300" w:top="118" w:right="299" w:bottom="1440" w:gutter="0" w:footer="0" w:header="0"/>
        </w:sectPr>
      </w:pPr>
    </w:p>
    <w:bookmarkStart w:id="7" w:name="page8"/>
    <w:bookmarkEnd w:id="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CLEAN HARBORS, INC.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STOCKHOLDERS’ EQUITY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3340" w:type="dxa"/>
            <w:vAlign w:val="bottom"/>
          </w:tcPr>
          <w:p>
            <w:pPr>
              <w:spacing w:after="0"/>
              <w:rPr>
                <w:sz w:val="16"/>
                <w:szCs w:val="16"/>
                <w:color w:val="auto"/>
              </w:rPr>
            </w:pPr>
          </w:p>
        </w:tc>
        <w:tc>
          <w:tcPr>
            <w:tcW w:w="18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3340" w:type="dxa"/>
            <w:vAlign w:val="bottom"/>
          </w:tcPr>
          <w:p>
            <w:pPr>
              <w:spacing w:after="0"/>
              <w:rPr>
                <w:sz w:val="13"/>
                <w:szCs w:val="13"/>
                <w:color w:val="auto"/>
              </w:rPr>
            </w:pPr>
          </w:p>
        </w:tc>
        <w:tc>
          <w:tcPr>
            <w:tcW w:w="1380" w:type="dxa"/>
            <w:vAlign w:val="bottom"/>
            <w:gridSpan w:val="2"/>
          </w:tcPr>
          <w:p>
            <w:pPr>
              <w:jc w:val="center"/>
              <w:ind w:right="160"/>
              <w:spacing w:after="0" w:line="151" w:lineRule="exact"/>
              <w:rPr>
                <w:sz w:val="20"/>
                <w:szCs w:val="20"/>
                <w:color w:val="auto"/>
              </w:rPr>
            </w:pPr>
            <w:r>
              <w:rPr>
                <w:rFonts w:ascii="Times New Roman" w:cs="Times New Roman" w:eastAsia="Times New Roman" w:hAnsi="Times New Roman"/>
                <w:sz w:val="14"/>
                <w:szCs w:val="14"/>
                <w:b w:val="1"/>
                <w:bCs w:val="1"/>
                <w:color w:val="auto"/>
              </w:rPr>
              <w:t>Number</w:t>
            </w:r>
          </w:p>
        </w:tc>
        <w:tc>
          <w:tcPr>
            <w:tcW w:w="420" w:type="dxa"/>
            <w:vAlign w:val="bottom"/>
          </w:tcPr>
          <w:p>
            <w:pPr>
              <w:spacing w:after="0"/>
              <w:rPr>
                <w:sz w:val="13"/>
                <w:szCs w:val="13"/>
                <w:color w:val="auto"/>
              </w:rPr>
            </w:pPr>
          </w:p>
        </w:tc>
        <w:tc>
          <w:tcPr>
            <w:tcW w:w="840" w:type="dxa"/>
            <w:vAlign w:val="bottom"/>
          </w:tcPr>
          <w:p>
            <w:pPr>
              <w:jc w:val="center"/>
              <w:ind w:right="352"/>
              <w:spacing w:after="0" w:line="151" w:lineRule="exact"/>
              <w:rPr>
                <w:sz w:val="20"/>
                <w:szCs w:val="20"/>
                <w:color w:val="auto"/>
              </w:rPr>
            </w:pPr>
            <w:r>
              <w:rPr>
                <w:rFonts w:ascii="Times New Roman" w:cs="Times New Roman" w:eastAsia="Times New Roman" w:hAnsi="Times New Roman"/>
                <w:sz w:val="14"/>
                <w:szCs w:val="14"/>
                <w:b w:val="1"/>
                <w:bCs w:val="1"/>
                <w:color w:val="auto"/>
              </w:rPr>
              <w:t>$ 0.01</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tcPr>
          <w:p>
            <w:pPr>
              <w:jc w:val="center"/>
              <w:ind w:right="320"/>
              <w:spacing w:after="0" w:line="151"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200" w:type="dxa"/>
            <w:vAlign w:val="bottom"/>
          </w:tcPr>
          <w:p>
            <w:pPr>
              <w:spacing w:after="0"/>
              <w:rPr>
                <w:sz w:val="13"/>
                <w:szCs w:val="13"/>
                <w:color w:val="auto"/>
              </w:rPr>
            </w:pPr>
          </w:p>
        </w:tc>
        <w:tc>
          <w:tcPr>
            <w:tcW w:w="1280" w:type="dxa"/>
            <w:vAlign w:val="bottom"/>
            <w:gridSpan w:val="2"/>
          </w:tcPr>
          <w:p>
            <w:pPr>
              <w:jc w:val="center"/>
              <w:ind w:right="300"/>
              <w:spacing w:after="0" w:line="15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3"/>
                <w:szCs w:val="13"/>
                <w:color w:val="auto"/>
              </w:rPr>
            </w:pPr>
          </w:p>
        </w:tc>
        <w:tc>
          <w:tcPr>
            <w:tcW w:w="12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3"/>
                <w:szCs w:val="13"/>
                <w:color w:val="auto"/>
              </w:rPr>
            </w:pPr>
          </w:p>
        </w:tc>
        <w:tc>
          <w:tcPr>
            <w:tcW w:w="1100" w:type="dxa"/>
            <w:vAlign w:val="bottom"/>
          </w:tcPr>
          <w:p>
            <w:pPr>
              <w:jc w:val="center"/>
              <w:ind w:right="92"/>
              <w:spacing w:after="0" w:line="151"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138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420" w:type="dxa"/>
            <w:vAlign w:val="bottom"/>
          </w:tcPr>
          <w:p>
            <w:pPr>
              <w:spacing w:after="0"/>
              <w:rPr>
                <w:sz w:val="12"/>
                <w:szCs w:val="12"/>
                <w:color w:val="auto"/>
              </w:rPr>
            </w:pPr>
          </w:p>
        </w:tc>
        <w:tc>
          <w:tcPr>
            <w:tcW w:w="940" w:type="dxa"/>
            <w:vAlign w:val="bottom"/>
            <w:gridSpan w:val="2"/>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rPr>
              <w:t>Par</w:t>
            </w:r>
          </w:p>
        </w:tc>
        <w:tc>
          <w:tcPr>
            <w:tcW w:w="18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200" w:type="dxa"/>
            <w:vAlign w:val="bottom"/>
          </w:tcPr>
          <w:p>
            <w:pPr>
              <w:spacing w:after="0"/>
              <w:rPr>
                <w:sz w:val="12"/>
                <w:szCs w:val="12"/>
                <w:color w:val="auto"/>
              </w:rPr>
            </w:pPr>
          </w:p>
        </w:tc>
        <w:tc>
          <w:tcPr>
            <w:tcW w:w="12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jc w:val="center"/>
              <w:ind w:right="92"/>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95"/>
        </w:trPr>
        <w:tc>
          <w:tcPr>
            <w:tcW w:w="3340" w:type="dxa"/>
            <w:vAlign w:val="bottom"/>
          </w:tcPr>
          <w:p>
            <w:pPr>
              <w:spacing w:after="0"/>
              <w:rPr>
                <w:sz w:val="16"/>
                <w:szCs w:val="16"/>
                <w:color w:val="auto"/>
              </w:rPr>
            </w:pPr>
          </w:p>
        </w:tc>
        <w:tc>
          <w:tcPr>
            <w:tcW w:w="13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20" w:type="dxa"/>
            <w:vAlign w:val="bottom"/>
          </w:tcPr>
          <w:p>
            <w:pPr>
              <w:spacing w:after="0"/>
              <w:rPr>
                <w:sz w:val="16"/>
                <w:szCs w:val="16"/>
                <w:color w:val="auto"/>
              </w:rPr>
            </w:pPr>
          </w:p>
        </w:tc>
        <w:tc>
          <w:tcPr>
            <w:tcW w:w="94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80" w:type="dxa"/>
            <w:vAlign w:val="bottom"/>
          </w:tcPr>
          <w:p>
            <w:pPr>
              <w:spacing w:after="0"/>
              <w:rPr>
                <w:sz w:val="16"/>
                <w:szCs w:val="16"/>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8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160" w:type="dxa"/>
            <w:vAlign w:val="bottom"/>
          </w:tcPr>
          <w:p>
            <w:pPr>
              <w:spacing w:after="0"/>
              <w:rPr>
                <w:sz w:val="16"/>
                <w:szCs w:val="16"/>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60" w:type="dxa"/>
            <w:vAlign w:val="bottom"/>
          </w:tcPr>
          <w:p>
            <w:pPr>
              <w:spacing w:after="0"/>
              <w:rPr>
                <w:sz w:val="16"/>
                <w:szCs w:val="16"/>
                <w:color w:val="auto"/>
              </w:rPr>
            </w:pPr>
          </w:p>
        </w:tc>
        <w:tc>
          <w:tcPr>
            <w:tcW w:w="1100" w:type="dxa"/>
            <w:vAlign w:val="bottom"/>
          </w:tcPr>
          <w:p>
            <w:pPr>
              <w:jc w:val="center"/>
              <w:ind w:right="72"/>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49"/>
        </w:trPr>
        <w:tc>
          <w:tcPr>
            <w:tcW w:w="3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January 1, 2019</w:t>
            </w:r>
          </w:p>
        </w:tc>
        <w:tc>
          <w:tcPr>
            <w:tcW w:w="126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55,847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558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655,415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(223,371)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737,154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1,169,756</w:t>
            </w:r>
          </w:p>
        </w:tc>
        <w:tc>
          <w:tcPr>
            <w:tcW w:w="0" w:type="dxa"/>
            <w:vAlign w:val="bottom"/>
          </w:tcPr>
          <w:p>
            <w:pPr>
              <w:spacing w:after="0"/>
              <w:rPr>
                <w:sz w:val="1"/>
                <w:szCs w:val="1"/>
                <w:color w:val="auto"/>
              </w:rPr>
            </w:pPr>
          </w:p>
        </w:tc>
      </w:tr>
      <w:tr>
        <w:trPr>
          <w:trHeight w:val="243"/>
        </w:trPr>
        <w:tc>
          <w:tcPr>
            <w:tcW w:w="3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976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976</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4,024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4,024</w:t>
            </w:r>
          </w:p>
        </w:tc>
        <w:tc>
          <w:tcPr>
            <w:tcW w:w="0" w:type="dxa"/>
            <w:vAlign w:val="bottom"/>
          </w:tcPr>
          <w:p>
            <w:pPr>
              <w:spacing w:after="0"/>
              <w:rPr>
                <w:sz w:val="1"/>
                <w:szCs w:val="1"/>
                <w:color w:val="auto"/>
              </w:rPr>
            </w:pPr>
          </w:p>
        </w:tc>
      </w:tr>
      <w:tr>
        <w:trPr>
          <w:trHeight w:val="243"/>
        </w:trPr>
        <w:tc>
          <w:tcPr>
            <w:tcW w:w="3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5,809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5,809</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Issuance of restricted shares, net of shares</w:t>
            </w: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remitted and tax withholdings</w:t>
            </w: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78</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(2,276)</w:t>
            </w:r>
          </w:p>
        </w:tc>
        <w:tc>
          <w:tcPr>
            <w:tcW w:w="0" w:type="dxa"/>
            <w:vAlign w:val="bottom"/>
          </w:tcPr>
          <w:p>
            <w:pPr>
              <w:spacing w:after="0"/>
              <w:rPr>
                <w:sz w:val="1"/>
                <w:szCs w:val="1"/>
                <w:color w:val="auto"/>
              </w:rPr>
            </w:pPr>
          </w:p>
        </w:tc>
      </w:tr>
      <w:tr>
        <w:trPr>
          <w:trHeight w:val="243"/>
        </w:trPr>
        <w:tc>
          <w:tcPr>
            <w:tcW w:w="3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(6,324)</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March 31, 2019</w:t>
            </w: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55,828</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558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652,624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(219,347)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738,130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1,171,965</w:t>
            </w:r>
          </w:p>
        </w:tc>
        <w:tc>
          <w:tcPr>
            <w:tcW w:w="0" w:type="dxa"/>
            <w:vAlign w:val="bottom"/>
          </w:tcPr>
          <w:p>
            <w:pPr>
              <w:spacing w:after="0"/>
              <w:rPr>
                <w:sz w:val="1"/>
                <w:szCs w:val="1"/>
                <w:color w:val="auto"/>
              </w:rPr>
            </w:pPr>
          </w:p>
        </w:tc>
      </w:tr>
      <w:tr>
        <w:trPr>
          <w:trHeight w:val="243"/>
        </w:trPr>
        <w:tc>
          <w:tcPr>
            <w:tcW w:w="3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36,244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36,244</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5,076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5,076</w:t>
            </w:r>
          </w:p>
        </w:tc>
        <w:tc>
          <w:tcPr>
            <w:tcW w:w="0" w:type="dxa"/>
            <w:vAlign w:val="bottom"/>
          </w:tcPr>
          <w:p>
            <w:pPr>
              <w:spacing w:after="0"/>
              <w:rPr>
                <w:sz w:val="1"/>
                <w:szCs w:val="1"/>
                <w:color w:val="auto"/>
              </w:rPr>
            </w:pPr>
          </w:p>
        </w:tc>
      </w:tr>
      <w:tr>
        <w:trPr>
          <w:trHeight w:val="243"/>
        </w:trPr>
        <w:tc>
          <w:tcPr>
            <w:tcW w:w="3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3,834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3,834</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Issuance of restricted shares, net of shares</w:t>
            </w: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remitted and tax withholdings</w:t>
            </w: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(2,704)</w:t>
            </w:r>
          </w:p>
        </w:tc>
        <w:tc>
          <w:tcPr>
            <w:tcW w:w="0" w:type="dxa"/>
            <w:vAlign w:val="bottom"/>
          </w:tcPr>
          <w:p>
            <w:pPr>
              <w:spacing w:after="0"/>
              <w:rPr>
                <w:sz w:val="1"/>
                <w:szCs w:val="1"/>
                <w:color w:val="auto"/>
              </w:rPr>
            </w:pPr>
          </w:p>
        </w:tc>
      </w:tr>
      <w:tr>
        <w:trPr>
          <w:trHeight w:val="243"/>
        </w:trPr>
        <w:tc>
          <w:tcPr>
            <w:tcW w:w="3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(4,948)</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June 30, 2019</w:t>
            </w: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55,859</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559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648,805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(214,271)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774,374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1,209,467</w:t>
            </w:r>
          </w:p>
        </w:tc>
        <w:tc>
          <w:tcPr>
            <w:tcW w:w="0" w:type="dxa"/>
            <w:vAlign w:val="bottom"/>
          </w:tcPr>
          <w:p>
            <w:pPr>
              <w:spacing w:after="0"/>
              <w:rPr>
                <w:sz w:val="1"/>
                <w:szCs w:val="1"/>
                <w:color w:val="auto"/>
              </w:rPr>
            </w:pPr>
          </w:p>
        </w:tc>
      </w:tr>
      <w:tr>
        <w:trPr>
          <w:trHeight w:val="243"/>
        </w:trPr>
        <w:tc>
          <w:tcPr>
            <w:tcW w:w="3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36,369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36,369</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(9,419)</w:t>
            </w:r>
          </w:p>
        </w:tc>
        <w:tc>
          <w:tcPr>
            <w:tcW w:w="0" w:type="dxa"/>
            <w:vAlign w:val="bottom"/>
          </w:tcPr>
          <w:p>
            <w:pPr>
              <w:spacing w:after="0"/>
              <w:rPr>
                <w:sz w:val="1"/>
                <w:szCs w:val="1"/>
                <w:color w:val="auto"/>
              </w:rPr>
            </w:pPr>
          </w:p>
        </w:tc>
      </w:tr>
      <w:tr>
        <w:trPr>
          <w:trHeight w:val="243"/>
        </w:trPr>
        <w:tc>
          <w:tcPr>
            <w:tcW w:w="3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5,021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5,021</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Issuance of restricted shares, net of shares</w:t>
            </w: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remitted and tax withholdings</w:t>
            </w: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0" w:type="dxa"/>
            <w:vAlign w:val="bottom"/>
          </w:tcPr>
          <w:p>
            <w:pPr>
              <w:spacing w:after="0"/>
              <w:rPr>
                <w:sz w:val="1"/>
                <w:szCs w:val="1"/>
                <w:color w:val="auto"/>
              </w:rPr>
            </w:pPr>
          </w:p>
        </w:tc>
      </w:tr>
      <w:tr>
        <w:trPr>
          <w:trHeight w:val="243"/>
        </w:trPr>
        <w:tc>
          <w:tcPr>
            <w:tcW w:w="3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(5,118)</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September 30, 2019</w:t>
            </w:r>
          </w:p>
        </w:tc>
        <w:tc>
          <w:tcPr>
            <w:tcW w:w="126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55,808</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558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648,184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(223,690)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810,743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1,235,795</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CLEAN HARBORS, INC.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STOCKHOLDERS’ EQUITY (CONTINUED)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3340" w:type="dxa"/>
            <w:vAlign w:val="bottom"/>
          </w:tcPr>
          <w:p>
            <w:pPr>
              <w:spacing w:after="0"/>
              <w:rPr>
                <w:sz w:val="16"/>
                <w:szCs w:val="16"/>
                <w:color w:val="auto"/>
              </w:rPr>
            </w:pPr>
          </w:p>
        </w:tc>
        <w:tc>
          <w:tcPr>
            <w:tcW w:w="18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3340" w:type="dxa"/>
            <w:vAlign w:val="bottom"/>
          </w:tcPr>
          <w:p>
            <w:pPr>
              <w:spacing w:after="0"/>
              <w:rPr>
                <w:sz w:val="13"/>
                <w:szCs w:val="13"/>
                <w:color w:val="auto"/>
              </w:rPr>
            </w:pPr>
          </w:p>
        </w:tc>
        <w:tc>
          <w:tcPr>
            <w:tcW w:w="1380" w:type="dxa"/>
            <w:vAlign w:val="bottom"/>
            <w:gridSpan w:val="2"/>
          </w:tcPr>
          <w:p>
            <w:pPr>
              <w:jc w:val="center"/>
              <w:ind w:right="160"/>
              <w:spacing w:after="0" w:line="151" w:lineRule="exact"/>
              <w:rPr>
                <w:sz w:val="20"/>
                <w:szCs w:val="20"/>
                <w:color w:val="auto"/>
              </w:rPr>
            </w:pPr>
            <w:r>
              <w:rPr>
                <w:rFonts w:ascii="Times New Roman" w:cs="Times New Roman" w:eastAsia="Times New Roman" w:hAnsi="Times New Roman"/>
                <w:sz w:val="14"/>
                <w:szCs w:val="14"/>
                <w:b w:val="1"/>
                <w:bCs w:val="1"/>
                <w:color w:val="auto"/>
              </w:rPr>
              <w:t>Number</w:t>
            </w:r>
          </w:p>
        </w:tc>
        <w:tc>
          <w:tcPr>
            <w:tcW w:w="420" w:type="dxa"/>
            <w:vAlign w:val="bottom"/>
          </w:tcPr>
          <w:p>
            <w:pPr>
              <w:spacing w:after="0"/>
              <w:rPr>
                <w:sz w:val="13"/>
                <w:szCs w:val="13"/>
                <w:color w:val="auto"/>
              </w:rPr>
            </w:pPr>
          </w:p>
        </w:tc>
        <w:tc>
          <w:tcPr>
            <w:tcW w:w="840" w:type="dxa"/>
            <w:vAlign w:val="bottom"/>
          </w:tcPr>
          <w:p>
            <w:pPr>
              <w:jc w:val="center"/>
              <w:ind w:right="352"/>
              <w:spacing w:after="0" w:line="151" w:lineRule="exact"/>
              <w:rPr>
                <w:sz w:val="20"/>
                <w:szCs w:val="20"/>
                <w:color w:val="auto"/>
              </w:rPr>
            </w:pPr>
            <w:r>
              <w:rPr>
                <w:rFonts w:ascii="Times New Roman" w:cs="Times New Roman" w:eastAsia="Times New Roman" w:hAnsi="Times New Roman"/>
                <w:sz w:val="14"/>
                <w:szCs w:val="14"/>
                <w:b w:val="1"/>
                <w:bCs w:val="1"/>
                <w:color w:val="auto"/>
              </w:rPr>
              <w:t>$ 0.01</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tcPr>
          <w:p>
            <w:pPr>
              <w:jc w:val="center"/>
              <w:ind w:right="320"/>
              <w:spacing w:after="0" w:line="151"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200" w:type="dxa"/>
            <w:vAlign w:val="bottom"/>
          </w:tcPr>
          <w:p>
            <w:pPr>
              <w:spacing w:after="0"/>
              <w:rPr>
                <w:sz w:val="13"/>
                <w:szCs w:val="13"/>
                <w:color w:val="auto"/>
              </w:rPr>
            </w:pPr>
          </w:p>
        </w:tc>
        <w:tc>
          <w:tcPr>
            <w:tcW w:w="1280" w:type="dxa"/>
            <w:vAlign w:val="bottom"/>
            <w:gridSpan w:val="2"/>
          </w:tcPr>
          <w:p>
            <w:pPr>
              <w:jc w:val="center"/>
              <w:ind w:right="300"/>
              <w:spacing w:after="0" w:line="15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3"/>
                <w:szCs w:val="13"/>
                <w:color w:val="auto"/>
              </w:rPr>
            </w:pPr>
          </w:p>
        </w:tc>
        <w:tc>
          <w:tcPr>
            <w:tcW w:w="12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3"/>
                <w:szCs w:val="13"/>
                <w:color w:val="auto"/>
              </w:rPr>
            </w:pPr>
          </w:p>
        </w:tc>
        <w:tc>
          <w:tcPr>
            <w:tcW w:w="1100" w:type="dxa"/>
            <w:vAlign w:val="bottom"/>
          </w:tcPr>
          <w:p>
            <w:pPr>
              <w:jc w:val="center"/>
              <w:ind w:right="92"/>
              <w:spacing w:after="0" w:line="151"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138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420" w:type="dxa"/>
            <w:vAlign w:val="bottom"/>
          </w:tcPr>
          <w:p>
            <w:pPr>
              <w:spacing w:after="0"/>
              <w:rPr>
                <w:sz w:val="12"/>
                <w:szCs w:val="12"/>
                <w:color w:val="auto"/>
              </w:rPr>
            </w:pPr>
          </w:p>
        </w:tc>
        <w:tc>
          <w:tcPr>
            <w:tcW w:w="940" w:type="dxa"/>
            <w:vAlign w:val="bottom"/>
            <w:gridSpan w:val="2"/>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rPr>
              <w:t>Par</w:t>
            </w:r>
          </w:p>
        </w:tc>
        <w:tc>
          <w:tcPr>
            <w:tcW w:w="18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200" w:type="dxa"/>
            <w:vAlign w:val="bottom"/>
          </w:tcPr>
          <w:p>
            <w:pPr>
              <w:spacing w:after="0"/>
              <w:rPr>
                <w:sz w:val="12"/>
                <w:szCs w:val="12"/>
                <w:color w:val="auto"/>
              </w:rPr>
            </w:pPr>
          </w:p>
        </w:tc>
        <w:tc>
          <w:tcPr>
            <w:tcW w:w="12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jc w:val="center"/>
              <w:ind w:right="92"/>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95"/>
        </w:trPr>
        <w:tc>
          <w:tcPr>
            <w:tcW w:w="3340" w:type="dxa"/>
            <w:vAlign w:val="bottom"/>
          </w:tcPr>
          <w:p>
            <w:pPr>
              <w:spacing w:after="0"/>
              <w:rPr>
                <w:sz w:val="16"/>
                <w:szCs w:val="16"/>
                <w:color w:val="auto"/>
              </w:rPr>
            </w:pPr>
          </w:p>
        </w:tc>
        <w:tc>
          <w:tcPr>
            <w:tcW w:w="13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20" w:type="dxa"/>
            <w:vAlign w:val="bottom"/>
          </w:tcPr>
          <w:p>
            <w:pPr>
              <w:spacing w:after="0"/>
              <w:rPr>
                <w:sz w:val="16"/>
                <w:szCs w:val="16"/>
                <w:color w:val="auto"/>
              </w:rPr>
            </w:pPr>
          </w:p>
        </w:tc>
        <w:tc>
          <w:tcPr>
            <w:tcW w:w="94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80" w:type="dxa"/>
            <w:vAlign w:val="bottom"/>
          </w:tcPr>
          <w:p>
            <w:pPr>
              <w:spacing w:after="0"/>
              <w:rPr>
                <w:sz w:val="16"/>
                <w:szCs w:val="16"/>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8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160" w:type="dxa"/>
            <w:vAlign w:val="bottom"/>
          </w:tcPr>
          <w:p>
            <w:pPr>
              <w:spacing w:after="0"/>
              <w:rPr>
                <w:sz w:val="16"/>
                <w:szCs w:val="16"/>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60" w:type="dxa"/>
            <w:vAlign w:val="bottom"/>
          </w:tcPr>
          <w:p>
            <w:pPr>
              <w:spacing w:after="0"/>
              <w:rPr>
                <w:sz w:val="16"/>
                <w:szCs w:val="16"/>
                <w:color w:val="auto"/>
              </w:rPr>
            </w:pPr>
          </w:p>
        </w:tc>
        <w:tc>
          <w:tcPr>
            <w:tcW w:w="1100" w:type="dxa"/>
            <w:vAlign w:val="bottom"/>
          </w:tcPr>
          <w:p>
            <w:pPr>
              <w:jc w:val="center"/>
              <w:ind w:right="72"/>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49"/>
        </w:trPr>
        <w:tc>
          <w:tcPr>
            <w:tcW w:w="3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January 1, 2018</w:t>
            </w:r>
          </w:p>
        </w:tc>
        <w:tc>
          <w:tcPr>
            <w:tcW w:w="126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56,501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565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686,962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(172,407)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673,082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1,188,202</w:t>
            </w:r>
          </w:p>
        </w:tc>
        <w:tc>
          <w:tcPr>
            <w:tcW w:w="0" w:type="dxa"/>
            <w:vAlign w:val="bottom"/>
          </w:tcPr>
          <w:p>
            <w:pPr>
              <w:spacing w:after="0"/>
              <w:rPr>
                <w:sz w:val="1"/>
                <w:szCs w:val="1"/>
                <w:color w:val="auto"/>
              </w:rPr>
            </w:pPr>
          </w:p>
        </w:tc>
      </w:tr>
      <w:tr>
        <w:trPr>
          <w:trHeight w:val="225"/>
        </w:trPr>
        <w:tc>
          <w:tcPr>
            <w:tcW w:w="3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Cumulative effect of change in accounting</w:t>
            </w: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principle</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(1,564)</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(12,631)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(12,631)</w:t>
            </w:r>
          </w:p>
        </w:tc>
        <w:tc>
          <w:tcPr>
            <w:tcW w:w="0" w:type="dxa"/>
            <w:vAlign w:val="bottom"/>
          </w:tcPr>
          <w:p>
            <w:pPr>
              <w:spacing w:after="0"/>
              <w:rPr>
                <w:sz w:val="1"/>
                <w:szCs w:val="1"/>
                <w:color w:val="auto"/>
              </w:rPr>
            </w:pPr>
          </w:p>
        </w:tc>
      </w:tr>
      <w:tr>
        <w:trPr>
          <w:trHeight w:val="243"/>
        </w:trPr>
        <w:tc>
          <w:tcPr>
            <w:tcW w:w="3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(16,746)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(16,746)</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3,077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3,077</w:t>
            </w:r>
          </w:p>
        </w:tc>
        <w:tc>
          <w:tcPr>
            <w:tcW w:w="0" w:type="dxa"/>
            <w:vAlign w:val="bottom"/>
          </w:tcPr>
          <w:p>
            <w:pPr>
              <w:spacing w:after="0"/>
              <w:rPr>
                <w:sz w:val="1"/>
                <w:szCs w:val="1"/>
                <w:color w:val="auto"/>
              </w:rPr>
            </w:pPr>
          </w:p>
        </w:tc>
      </w:tr>
      <w:tr>
        <w:trPr>
          <w:trHeight w:val="225"/>
        </w:trPr>
        <w:tc>
          <w:tcPr>
            <w:tcW w:w="3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Issuance of restricted shares, net of shares</w:t>
            </w: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remitted and tax withholdings</w:t>
            </w:r>
          </w:p>
        </w:tc>
        <w:tc>
          <w:tcPr>
            <w:tcW w:w="12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(14,261)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(14,264)</w:t>
            </w:r>
          </w:p>
        </w:tc>
        <w:tc>
          <w:tcPr>
            <w:tcW w:w="0" w:type="dxa"/>
            <w:vAlign w:val="bottom"/>
          </w:tcPr>
          <w:p>
            <w:pPr>
              <w:spacing w:after="0"/>
              <w:rPr>
                <w:sz w:val="1"/>
                <w:szCs w:val="1"/>
                <w:color w:val="auto"/>
              </w:rPr>
            </w:pPr>
          </w:p>
        </w:tc>
      </w:tr>
      <w:tr>
        <w:trPr>
          <w:trHeight w:val="237"/>
        </w:trPr>
        <w:tc>
          <w:tcPr>
            <w:tcW w:w="3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Balance at March 31, 2018</w:t>
            </w:r>
          </w:p>
        </w:tc>
        <w:tc>
          <w:tcPr>
            <w:tcW w:w="126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56,245</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562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675,230</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(189,153)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658,887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1,145,526</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30,747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30,747</w:t>
            </w:r>
          </w:p>
        </w:tc>
        <w:tc>
          <w:tcPr>
            <w:tcW w:w="0" w:type="dxa"/>
            <w:vAlign w:val="bottom"/>
          </w:tcPr>
          <w:p>
            <w:pPr>
              <w:spacing w:after="0"/>
              <w:rPr>
                <w:sz w:val="1"/>
                <w:szCs w:val="1"/>
                <w:color w:val="auto"/>
              </w:rPr>
            </w:pPr>
          </w:p>
        </w:tc>
      </w:tr>
      <w:tr>
        <w:trPr>
          <w:trHeight w:val="243"/>
        </w:trPr>
        <w:tc>
          <w:tcPr>
            <w:tcW w:w="3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(4,942)</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3,562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3,562</w:t>
            </w:r>
          </w:p>
        </w:tc>
        <w:tc>
          <w:tcPr>
            <w:tcW w:w="0" w:type="dxa"/>
            <w:vAlign w:val="bottom"/>
          </w:tcPr>
          <w:p>
            <w:pPr>
              <w:spacing w:after="0"/>
              <w:rPr>
                <w:sz w:val="1"/>
                <w:szCs w:val="1"/>
                <w:color w:val="auto"/>
              </w:rPr>
            </w:pPr>
          </w:p>
        </w:tc>
      </w:tr>
      <w:tr>
        <w:trPr>
          <w:trHeight w:val="225"/>
        </w:trPr>
        <w:tc>
          <w:tcPr>
            <w:tcW w:w="3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Issuance of restricted shares, net of shares</w:t>
            </w: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remitted and tax withholdings</w:t>
            </w:r>
          </w:p>
        </w:tc>
        <w:tc>
          <w:tcPr>
            <w:tcW w:w="12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94</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(1,627)</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(12,218)</w:t>
            </w:r>
          </w:p>
        </w:tc>
        <w:tc>
          <w:tcPr>
            <w:tcW w:w="0" w:type="dxa"/>
            <w:vAlign w:val="bottom"/>
          </w:tcPr>
          <w:p>
            <w:pPr>
              <w:spacing w:after="0"/>
              <w:rPr>
                <w:sz w:val="1"/>
                <w:szCs w:val="1"/>
                <w:color w:val="auto"/>
              </w:rPr>
            </w:pPr>
          </w:p>
        </w:tc>
      </w:tr>
      <w:tr>
        <w:trPr>
          <w:trHeight w:val="237"/>
        </w:trPr>
        <w:tc>
          <w:tcPr>
            <w:tcW w:w="3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Balance at June 30, 2018</w:t>
            </w:r>
          </w:p>
        </w:tc>
        <w:tc>
          <w:tcPr>
            <w:tcW w:w="126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56,087</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561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664,948</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(194,095)</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689,634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1,161,048</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31,089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31,089</w:t>
            </w:r>
          </w:p>
        </w:tc>
        <w:tc>
          <w:tcPr>
            <w:tcW w:w="0" w:type="dxa"/>
            <w:vAlign w:val="bottom"/>
          </w:tcPr>
          <w:p>
            <w:pPr>
              <w:spacing w:after="0"/>
              <w:rPr>
                <w:sz w:val="1"/>
                <w:szCs w:val="1"/>
                <w:color w:val="auto"/>
              </w:rPr>
            </w:pPr>
          </w:p>
        </w:tc>
      </w:tr>
      <w:tr>
        <w:trPr>
          <w:trHeight w:val="243"/>
        </w:trPr>
        <w:tc>
          <w:tcPr>
            <w:tcW w:w="3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8,590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8,590</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4,087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4,087</w:t>
            </w:r>
          </w:p>
        </w:tc>
        <w:tc>
          <w:tcPr>
            <w:tcW w:w="0" w:type="dxa"/>
            <w:vAlign w:val="bottom"/>
          </w:tcPr>
          <w:p>
            <w:pPr>
              <w:spacing w:after="0"/>
              <w:rPr>
                <w:sz w:val="1"/>
                <w:szCs w:val="1"/>
                <w:color w:val="auto"/>
              </w:rPr>
            </w:pPr>
          </w:p>
        </w:tc>
      </w:tr>
      <w:tr>
        <w:trPr>
          <w:trHeight w:val="225"/>
        </w:trPr>
        <w:tc>
          <w:tcPr>
            <w:tcW w:w="3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Issuance of restricted shares, net of shares</w:t>
            </w: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remitted and tax withholdings</w:t>
            </w:r>
          </w:p>
        </w:tc>
        <w:tc>
          <w:tcPr>
            <w:tcW w:w="12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(7,099)</w:t>
            </w:r>
          </w:p>
        </w:tc>
        <w:tc>
          <w:tcPr>
            <w:tcW w:w="0" w:type="dxa"/>
            <w:vAlign w:val="bottom"/>
          </w:tcPr>
          <w:p>
            <w:pPr>
              <w:spacing w:after="0"/>
              <w:rPr>
                <w:sz w:val="1"/>
                <w:szCs w:val="1"/>
                <w:color w:val="auto"/>
              </w:rPr>
            </w:pPr>
          </w:p>
        </w:tc>
      </w:tr>
      <w:tr>
        <w:trPr>
          <w:trHeight w:val="257"/>
        </w:trPr>
        <w:tc>
          <w:tcPr>
            <w:tcW w:w="3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Balance at September 30, 2018</w:t>
            </w:r>
          </w:p>
        </w:tc>
        <w:tc>
          <w:tcPr>
            <w:tcW w:w="126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55,998</w:t>
            </w:r>
          </w:p>
        </w:tc>
        <w:tc>
          <w:tcPr>
            <w:tcW w:w="12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560</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661,546</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(185,505)</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720,723</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1,197,324</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CLEAN HARBORS, INC.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BASIS OF PRESENTATION</w:t>
      </w:r>
    </w:p>
    <w:p>
      <w:pPr>
        <w:spacing w:after="0" w:line="229" w:lineRule="exact"/>
        <w:rPr>
          <w:sz w:val="20"/>
          <w:szCs w:val="20"/>
          <w:color w:val="auto"/>
        </w:rPr>
      </w:pPr>
    </w:p>
    <w:p>
      <w:pPr>
        <w:ind w:right="60" w:firstLine="621"/>
        <w:spacing w:after="0" w:line="255" w:lineRule="auto"/>
        <w:rPr>
          <w:sz w:val="20"/>
          <w:szCs w:val="20"/>
          <w:color w:val="auto"/>
        </w:rPr>
      </w:pPr>
      <w:r>
        <w:rPr>
          <w:rFonts w:ascii="Times New Roman" w:cs="Times New Roman" w:eastAsia="Times New Roman" w:hAnsi="Times New Roman"/>
          <w:sz w:val="18"/>
          <w:szCs w:val="18"/>
          <w:color w:val="auto"/>
        </w:rPr>
        <w:t>The accompanying consolidated interim financial statements are unaudited and include the accounts of Clean Harbors, Inc. and its subsidiaries (collectively, “Clean Harbors,” the “Company” or "we") and have been prepared pursuant to the rules and regulations of the Securities and Exchange Commission (the “SEC”) and, in the opinion of management, include all adjustments which are of a normal recurring nature, necessary for a fair presentation of the financial position, results of operations and cash flows for the periods presented. Management has made estimates and assumptions affecting the amounts reported in the Company's consolidated interim financial statements and accompanying footnotes; actual results could differ from those estimates and judgments. The results for interim periods are not necessarily indicative of results for the entire year or any other interim periods. The financial statements presented herein should be read in conjunction with the financial statements included in the Company’s Annual Report on Form 10-K for the year ended December 31, 2018.</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SIGNIFICANT ACCOUNTING POLICIES</w:t>
      </w:r>
    </w:p>
    <w:p>
      <w:pPr>
        <w:spacing w:after="0" w:line="256"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The Company's significant accounting policies are described in Note 2, "Significant Accounting Policies," and Note 3, "Revenues," in the Company's Annual Report on Form 10-K for the year ended December 31, 2018. There have been no material changes in these policies or their application except for the changes described below.</w:t>
      </w:r>
    </w:p>
    <w:p>
      <w:pPr>
        <w:spacing w:after="0" w:line="20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Recent Accounting Pronouncements</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Standards implemented</w:t>
      </w:r>
    </w:p>
    <w:p>
      <w:pPr>
        <w:spacing w:after="0" w:line="252"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 xml:space="preserve">In February 2016, the Financial Accounting Standards Board ("FASB") issued ASU 2016-02, </w:t>
      </w:r>
      <w:r>
        <w:rPr>
          <w:rFonts w:ascii="Times New Roman" w:cs="Times New Roman" w:eastAsia="Times New Roman" w:hAnsi="Times New Roman"/>
          <w:sz w:val="18"/>
          <w:szCs w:val="18"/>
          <w:i w:val="1"/>
          <w:iCs w:val="1"/>
          <w:color w:val="auto"/>
        </w:rPr>
        <w:t>Leases (Topic 842)</w:t>
      </w:r>
      <w:r>
        <w:rPr>
          <w:rFonts w:ascii="Times New Roman" w:cs="Times New Roman" w:eastAsia="Times New Roman" w:hAnsi="Times New Roman"/>
          <w:sz w:val="18"/>
          <w:szCs w:val="18"/>
          <w:color w:val="auto"/>
        </w:rPr>
        <w:t xml:space="preserve">. The amendment increases transparency and comparability among organizations by recognizing lease assets and lease liabilities on the balance sheet and disclosing key information about leasing arrangements. The Company adopted Topic 842 on January 1, 2019 using the modified retrospective method of adoption. Prior period amounts have not been adjusted and continue to be reported in accordance with the Company's historical accounting methodology pursuant to ASC 840,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As permitted under the transition guidance, the Company elected to apply the package of three practical expedients for all existing leases which, among other things, allowed us to maintain the lease classification for all existing leases at the adoption date. The adoption of Topic 842 resulted in the recognition of right-of-use (“ROU”) assets of $185.5 million and total current and noncurrent lease liabilities of $188.5 million at adoption. Additionally, Topic 842 required new and expanded disclosures to enable users of financial statements to assess the amount, timing and uncertainty of cash flows arising from leases. The standard did not have a material impact on the consolidated statements of operations or cash flows.</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160"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The Company’s leases predominately relate to real estate and equipment such as vehicles and industrial equipment utilized in operations as well as rail cars utilized in connection with the Company’s transportation needs. Contracts are reviewed at inception to determine if the arrangement is a lease and, if so, whether it is an operating or finance lease. For all of its leases, the Company has elected not to separate lease and nonlease components, such as common area maintenance.</w:t>
      </w:r>
    </w:p>
    <w:p>
      <w:pPr>
        <w:spacing w:after="0" w:line="72" w:lineRule="exact"/>
        <w:rPr>
          <w:sz w:val="20"/>
          <w:szCs w:val="20"/>
          <w:color w:val="auto"/>
        </w:rPr>
      </w:pPr>
    </w:p>
    <w:p>
      <w:pPr>
        <w:ind w:right="320" w:firstLine="648"/>
        <w:spacing w:after="0" w:line="277" w:lineRule="auto"/>
        <w:rPr>
          <w:sz w:val="20"/>
          <w:szCs w:val="20"/>
          <w:color w:val="auto"/>
        </w:rPr>
      </w:pPr>
      <w:r>
        <w:rPr>
          <w:rFonts w:ascii="Times New Roman" w:cs="Times New Roman" w:eastAsia="Times New Roman" w:hAnsi="Times New Roman"/>
          <w:sz w:val="17"/>
          <w:szCs w:val="17"/>
          <w:color w:val="auto"/>
        </w:rPr>
        <w:t>The Company generally enters into real estate leases with five to ten-year terms and non-real estate leases with two to seven-year terms. In the normal course of business, the Company also enters into short-term leases having terms of less than one-year. These leases are generally equipment leases entered into for short periods of time (e.g. daily, weekly or monthly), and done so to satisfy immediate and/or short-term operational needs of the business which can arise based upon the nature of particular services performed or seasonality factors. The Company has elected not to recognize ROU assets and lease liabilities for these short-term leases. Expense for all such short-term leases is disclosed as short-term lease cost as shown in Note 17, "Leases."</w:t>
      </w:r>
    </w:p>
    <w:p>
      <w:pPr>
        <w:spacing w:after="0" w:line="60"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Operating and finance leases with terms exceeding one year are recognized as ROU assets and lease liabilities and measured based on the present value of the future lease payments over the lease term at commencement date. When applicable, the ROU asset includes any lease payments made at or before the commencement date and initial direct costs incurred and is reduced by lease incentives received under the lease agreement, if any.</w:t>
      </w:r>
    </w:p>
    <w:p>
      <w:pPr>
        <w:spacing w:after="0" w:line="6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Certain of the Company's real estate leases contain escalating future lease payments. Escalating lease payments that are based upon explicit amounts contained in the lease or an index (e.g., consumer price index) are included in its determination of future lease payments to determine the ROU asset and lease liability recognized at the commencement date. Any differences in the future lease</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payments from initial recognition are not anticipated to be material and will be recorded as variable lease cost in the period incurred. The variable lease cost will also include the Company’s portion of property tax, utilities and common area maintenance. A significant portion of the Company’s real estate lease agreements include renewal periods at the Company’s option. The Company includes these renewal periods in the lease term only when renewal is reasonably certain based upon facts and circumstances specific to the lease and known by the Company. The Company uses its incremental borrowing rate on collateralized debt based on the information available at the lease commencement date in determining the present value of future lease payments as the implicit rate is typically not readily determinable.</w:t>
      </w:r>
    </w:p>
    <w:p>
      <w:pPr>
        <w:spacing w:after="0" w:line="103" w:lineRule="exact"/>
        <w:rPr>
          <w:sz w:val="20"/>
          <w:szCs w:val="20"/>
          <w:color w:val="auto"/>
        </w:rPr>
      </w:pPr>
    </w:p>
    <w:p>
      <w:pPr>
        <w:ind w:right="9780" w:firstLine="8"/>
        <w:spacing w:after="0" w:line="393" w:lineRule="auto"/>
        <w:tabs>
          <w:tab w:leader="none" w:pos="255"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REVENUES Revenue Recognition</w:t>
      </w:r>
    </w:p>
    <w:p>
      <w:pPr>
        <w:spacing w:after="0" w:line="1"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The Company generates services and product revenues through the following operating segments: Environmental Services and Safety-Kleen. The Company recognizes revenue when control of the promised goods or services is transferred to the Company's customers, in an amount that reflects the consideration the Company expects to be entitled to in exchange for those goods or services. Product revenues are recognized when the products are delivered and control transfers to the customer.</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Nature of Goods and Services</w:t>
      </w:r>
    </w:p>
    <w:p>
      <w:pPr>
        <w:spacing w:after="0" w:line="121" w:lineRule="exact"/>
        <w:rPr>
          <w:sz w:val="20"/>
          <w:szCs w:val="20"/>
          <w:color w:val="auto"/>
        </w:rPr>
      </w:pPr>
    </w:p>
    <w:p>
      <w:pPr>
        <w:ind w:right="160" w:firstLine="648"/>
        <w:spacing w:after="0" w:line="256" w:lineRule="auto"/>
        <w:rPr>
          <w:sz w:val="20"/>
          <w:szCs w:val="20"/>
          <w:color w:val="auto"/>
        </w:rPr>
      </w:pPr>
      <w:r>
        <w:rPr>
          <w:rFonts w:ascii="Times New Roman" w:cs="Times New Roman" w:eastAsia="Times New Roman" w:hAnsi="Times New Roman"/>
          <w:sz w:val="18"/>
          <w:szCs w:val="18"/>
          <w:color w:val="auto"/>
        </w:rPr>
        <w:t>The majority of the Company’s contracts are for services, which are recognized based on time and materials incurred at contractually agreed-upon rates. The Company’s payment terms vary by the type and location of its customers and the products or services offered. The periods between invoicing and when payments are due are not significant. Any amounts billed to customers related to shipping and handling are classified as revenue and the Company's shipping and handling costs are included in costs of revenues. In the course of the Company's operations, it collects sales tax and other excise taxes from its customers and recognizes a current liability which is then relieved when the taxes are remitted to the appropriate governmental authorities. The Company excludes sales and other excise taxes that it collects from customers from its revenues.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Disaggregation of Revenue</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Company’s third-party revenues disaggregated by revenue source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44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 2019</w:t>
            </w:r>
          </w:p>
        </w:tc>
        <w:tc>
          <w:tcPr>
            <w:tcW w:w="4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r>
      <w:tr>
        <w:trPr>
          <w:trHeight w:val="264"/>
        </w:trPr>
        <w:tc>
          <w:tcPr>
            <w:tcW w:w="4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Environmental Services</w:t>
            </w:r>
          </w:p>
        </w:tc>
        <w:tc>
          <w:tcPr>
            <w:tcW w:w="180" w:type="dxa"/>
            <w:vAlign w:val="bottom"/>
          </w:tcPr>
          <w:p>
            <w:pPr>
              <w:spacing w:after="0"/>
              <w:rPr>
                <w:sz w:val="22"/>
                <w:szCs w:val="22"/>
                <w:color w:val="auto"/>
              </w:rPr>
            </w:pPr>
          </w:p>
        </w:tc>
        <w:tc>
          <w:tcPr>
            <w:tcW w:w="164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Safety-Kleen</w:t>
            </w:r>
          </w:p>
        </w:tc>
        <w:tc>
          <w:tcPr>
            <w:tcW w:w="320" w:type="dxa"/>
            <w:vAlign w:val="bottom"/>
          </w:tcPr>
          <w:p>
            <w:pPr>
              <w:spacing w:after="0"/>
              <w:rPr>
                <w:sz w:val="22"/>
                <w:szCs w:val="22"/>
                <w:color w:val="auto"/>
              </w:rPr>
            </w:pPr>
          </w:p>
        </w:tc>
        <w:tc>
          <w:tcPr>
            <w:tcW w:w="14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420" w:type="dxa"/>
            <w:vAlign w:val="bottom"/>
          </w:tcPr>
          <w:p>
            <w:pPr>
              <w:spacing w:after="0"/>
              <w:rPr>
                <w:sz w:val="22"/>
                <w:szCs w:val="22"/>
                <w:color w:val="auto"/>
              </w:rPr>
            </w:pPr>
          </w:p>
        </w:tc>
        <w:tc>
          <w:tcPr>
            <w:tcW w:w="1280" w:type="dxa"/>
            <w:vAlign w:val="bottom"/>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54"/>
        </w:trPr>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2420" w:type="dxa"/>
            <w:vAlign w:val="bottom"/>
            <w:tcBorders>
              <w:top w:val="single" w:sz="8" w:color="CCEEFF"/>
              <w:bottom w:val="single" w:sz="8" w:color="auto"/>
            </w:tcBorders>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b w:val="1"/>
                <w:bCs w:val="1"/>
                <w:color w:val="auto"/>
                <w:w w:val="98"/>
                <w:shd w:val="clear" w:color="auto" w:fill="CCEEFF"/>
              </w:rPr>
              <w:t>Primary Geographical Markets</w:t>
            </w:r>
          </w:p>
        </w:tc>
        <w:tc>
          <w:tcPr>
            <w:tcW w:w="17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6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240" w:type="dxa"/>
            <w:vAlign w:val="bottom"/>
            <w:tcBorders>
              <w:top w:val="single" w:sz="8" w:color="CCEEFF"/>
            </w:tcBorders>
            <w:gridSpan w:val="4"/>
          </w:tcPr>
          <w:p>
            <w:pPr>
              <w:ind w:left="40"/>
              <w:spacing w:after="0"/>
              <w:rPr>
                <w:sz w:val="20"/>
                <w:szCs w:val="20"/>
                <w:color w:val="auto"/>
              </w:rPr>
            </w:pPr>
            <w:r>
              <w:rPr>
                <w:rFonts w:ascii="Times New Roman" w:cs="Times New Roman" w:eastAsia="Times New Roman" w:hAnsi="Times New Roman"/>
                <w:sz w:val="18"/>
                <w:szCs w:val="18"/>
                <w:color w:val="auto"/>
              </w:rPr>
              <w:t>United States</w:t>
            </w:r>
          </w:p>
        </w:tc>
        <w:tc>
          <w:tcPr>
            <w:tcW w:w="1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top w:val="single" w:sz="8" w:color="CCEEFF"/>
            </w:tcBorders>
          </w:tcPr>
          <w:p>
            <w:pPr>
              <w:jc w:val="right"/>
              <w:ind w:right="31"/>
              <w:spacing w:after="0"/>
              <w:rPr>
                <w:sz w:val="20"/>
                <w:szCs w:val="20"/>
                <w:color w:val="auto"/>
              </w:rPr>
            </w:pPr>
            <w:r>
              <w:rPr>
                <w:rFonts w:ascii="Times New Roman" w:cs="Times New Roman" w:eastAsia="Times New Roman" w:hAnsi="Times New Roman"/>
                <w:sz w:val="18"/>
                <w:szCs w:val="18"/>
                <w:color w:val="auto"/>
              </w:rPr>
              <w:t>450,638</w:t>
            </w:r>
          </w:p>
        </w:tc>
        <w:tc>
          <w:tcPr>
            <w:tcW w:w="100" w:type="dxa"/>
            <w:vAlign w:val="bottom"/>
            <w:tcBorders>
              <w:top w:val="single" w:sz="8" w:color="CCEEFF"/>
            </w:tcBorders>
          </w:tcPr>
          <w:p>
            <w:pPr>
              <w:spacing w:after="0"/>
              <w:rPr>
                <w:sz w:val="21"/>
                <w:szCs w:val="21"/>
                <w:color w:val="auto"/>
              </w:rPr>
            </w:pPr>
          </w:p>
        </w:tc>
        <w:tc>
          <w:tcPr>
            <w:tcW w:w="1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CCEEFF"/>
            </w:tcBorders>
          </w:tcPr>
          <w:p>
            <w:pPr>
              <w:jc w:val="right"/>
              <w:ind w:right="13"/>
              <w:spacing w:after="0"/>
              <w:rPr>
                <w:sz w:val="20"/>
                <w:szCs w:val="20"/>
                <w:color w:val="auto"/>
              </w:rPr>
            </w:pPr>
            <w:r>
              <w:rPr>
                <w:rFonts w:ascii="Times New Roman" w:cs="Times New Roman" w:eastAsia="Times New Roman" w:hAnsi="Times New Roman"/>
                <w:sz w:val="18"/>
                <w:szCs w:val="18"/>
                <w:color w:val="auto"/>
              </w:rPr>
              <w:t>313,979</w:t>
            </w:r>
          </w:p>
        </w:tc>
        <w:tc>
          <w:tcPr>
            <w:tcW w:w="120" w:type="dxa"/>
            <w:vAlign w:val="bottom"/>
            <w:tcBorders>
              <w:top w:val="single" w:sz="8" w:color="CCEEFF"/>
            </w:tcBorders>
          </w:tcPr>
          <w:p>
            <w:pPr>
              <w:spacing w:after="0"/>
              <w:rPr>
                <w:sz w:val="21"/>
                <w:szCs w:val="21"/>
                <w:color w:val="auto"/>
              </w:rPr>
            </w:pPr>
          </w:p>
        </w:tc>
        <w:tc>
          <w:tcPr>
            <w:tcW w:w="320" w:type="dxa"/>
            <w:vAlign w:val="bottom"/>
            <w:tcBorders>
              <w:top w:val="single" w:sz="8" w:color="CCEEFF"/>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tcBorders>
              <w:top w:val="single" w:sz="8" w:color="CCEEFF"/>
            </w:tcBorders>
          </w:tcPr>
          <w:p>
            <w:pPr>
              <w:spacing w:after="0"/>
              <w:rPr>
                <w:sz w:val="21"/>
                <w:szCs w:val="21"/>
                <w:color w:val="auto"/>
              </w:rPr>
            </w:pPr>
          </w:p>
        </w:tc>
        <w:tc>
          <w:tcPr>
            <w:tcW w:w="420" w:type="dxa"/>
            <w:vAlign w:val="bottom"/>
            <w:tcBorders>
              <w:top w:val="single" w:sz="8" w:color="CCEEFF"/>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CCEEFF"/>
            </w:tcBorders>
          </w:tcPr>
          <w:p>
            <w:pPr>
              <w:jc w:val="right"/>
              <w:ind w:right="12"/>
              <w:spacing w:after="0"/>
              <w:rPr>
                <w:sz w:val="20"/>
                <w:szCs w:val="20"/>
                <w:color w:val="auto"/>
              </w:rPr>
            </w:pPr>
            <w:r>
              <w:rPr>
                <w:rFonts w:ascii="Times New Roman" w:cs="Times New Roman" w:eastAsia="Times New Roman" w:hAnsi="Times New Roman"/>
                <w:sz w:val="18"/>
                <w:szCs w:val="18"/>
                <w:color w:val="auto"/>
              </w:rPr>
              <w:t>764,352</w:t>
            </w:r>
          </w:p>
        </w:tc>
      </w:tr>
      <w:tr>
        <w:trPr>
          <w:trHeight w:val="27"/>
        </w:trPr>
        <w:tc>
          <w:tcPr>
            <w:tcW w:w="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shd w:val="clear" w:color="auto" w:fill="CCEEFF"/>
              </w:rPr>
              <w:t>Canada</w:t>
            </w:r>
          </w:p>
        </w:tc>
        <w:tc>
          <w:tcPr>
            <w:tcW w:w="2700" w:type="dxa"/>
            <w:vAlign w:val="bottom"/>
            <w:tcBorders>
              <w:bottom w:val="single" w:sz="8" w:color="CCEEFF"/>
            </w:tcBorders>
            <w:gridSpan w:val="2"/>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99,484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27,438</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394</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127,316</w:t>
            </w:r>
          </w:p>
        </w:tc>
      </w:tr>
      <w:tr>
        <w:trPr>
          <w:trHeight w:val="237"/>
        </w:trPr>
        <w:tc>
          <w:tcPr>
            <w:tcW w:w="424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Total third-party revenues</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550,122</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341,417</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891,668</w:t>
            </w:r>
          </w:p>
        </w:tc>
      </w:tr>
      <w:tr>
        <w:trPr>
          <w:trHeight w:val="27"/>
        </w:trPr>
        <w:tc>
          <w:tcPr>
            <w:tcW w:w="4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77"/>
        </w:trPr>
        <w:tc>
          <w:tcPr>
            <w:tcW w:w="4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r>
      <w:tr>
        <w:trPr>
          <w:trHeight w:val="203"/>
        </w:trPr>
        <w:tc>
          <w:tcPr>
            <w:tcW w:w="4240" w:type="dxa"/>
            <w:vAlign w:val="bottom"/>
            <w:gridSpan w:val="4"/>
          </w:tcPr>
          <w:p>
            <w:pPr>
              <w:ind w:left="40"/>
              <w:spacing w:after="0" w:line="202" w:lineRule="exact"/>
              <w:rPr>
                <w:sz w:val="20"/>
                <w:szCs w:val="20"/>
                <w:color w:val="auto"/>
              </w:rPr>
            </w:pPr>
            <w:r>
              <w:rPr>
                <w:rFonts w:ascii="Times New Roman" w:cs="Times New Roman" w:eastAsia="Times New Roman" w:hAnsi="Times New Roman"/>
                <w:sz w:val="17"/>
                <w:szCs w:val="17"/>
                <w:b w:val="1"/>
                <w:bCs w:val="1"/>
                <w:color w:val="auto"/>
              </w:rPr>
              <w:t xml:space="preserve">Sources of Revenue </w:t>
            </w:r>
            <w:r>
              <w:rPr>
                <w:rFonts w:ascii="Times New Roman" w:cs="Times New Roman" w:eastAsia="Times New Roman" w:hAnsi="Times New Roman"/>
                <w:sz w:val="23"/>
                <w:szCs w:val="23"/>
                <w:color w:val="auto"/>
                <w:vertAlign w:val="superscript"/>
              </w:rPr>
              <w:t>(1)</w:t>
            </w:r>
          </w:p>
        </w:tc>
        <w:tc>
          <w:tcPr>
            <w:tcW w:w="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500" w:type="dxa"/>
            <w:vAlign w:val="bottom"/>
            <w:tcBorders>
              <w:top w:val="single" w:sz="8" w:color="auto"/>
            </w:tcBorders>
          </w:tcPr>
          <w:p>
            <w:pPr>
              <w:spacing w:after="0"/>
              <w:rPr>
                <w:sz w:val="4"/>
                <w:szCs w:val="4"/>
                <w:color w:val="auto"/>
              </w:rPr>
            </w:pPr>
          </w:p>
        </w:tc>
        <w:tc>
          <w:tcPr>
            <w:tcW w:w="920" w:type="dxa"/>
            <w:vAlign w:val="bottom"/>
          </w:tcPr>
          <w:p>
            <w:pPr>
              <w:spacing w:after="0"/>
              <w:rPr>
                <w:sz w:val="4"/>
                <w:szCs w:val="4"/>
                <w:color w:val="auto"/>
              </w:rPr>
            </w:pPr>
          </w:p>
        </w:tc>
        <w:tc>
          <w:tcPr>
            <w:tcW w:w="1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280" w:type="dxa"/>
            <w:vAlign w:val="bottom"/>
          </w:tcPr>
          <w:p>
            <w:pPr>
              <w:spacing w:after="0"/>
              <w:rPr>
                <w:sz w:val="4"/>
                <w:szCs w:val="4"/>
                <w:color w:val="auto"/>
              </w:rPr>
            </w:pPr>
          </w:p>
        </w:tc>
      </w:tr>
      <w:tr>
        <w:trPr>
          <w:trHeight w:val="250"/>
        </w:trPr>
        <w:tc>
          <w:tcPr>
            <w:tcW w:w="424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Technical Services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292,506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292,506</w:t>
            </w:r>
          </w:p>
        </w:tc>
      </w:tr>
      <w:tr>
        <w:trPr>
          <w:trHeight w:val="243"/>
        </w:trPr>
        <w:tc>
          <w:tcPr>
            <w:tcW w:w="424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Field and Emergency Response Services</w:t>
            </w:r>
          </w:p>
        </w:tc>
        <w:tc>
          <w:tcPr>
            <w:tcW w:w="120" w:type="dxa"/>
            <w:vAlign w:val="bottom"/>
          </w:tcPr>
          <w:p>
            <w:pPr>
              <w:spacing w:after="0"/>
              <w:rPr>
                <w:sz w:val="21"/>
                <w:szCs w:val="21"/>
                <w:color w:val="auto"/>
              </w:rPr>
            </w:pPr>
          </w:p>
        </w:tc>
        <w:tc>
          <w:tcPr>
            <w:tcW w:w="16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95,546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95,546</w:t>
            </w:r>
          </w:p>
        </w:tc>
      </w:tr>
      <w:tr>
        <w:trPr>
          <w:trHeight w:val="27"/>
        </w:trPr>
        <w:tc>
          <w:tcPr>
            <w:tcW w:w="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24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Industrial Services</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131,855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131,855</w:t>
            </w:r>
          </w:p>
        </w:tc>
      </w:tr>
      <w:tr>
        <w:trPr>
          <w:trHeight w:val="243"/>
        </w:trPr>
        <w:tc>
          <w:tcPr>
            <w:tcW w:w="424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Oil, Gas and Lodging Services and Other</w:t>
            </w:r>
          </w:p>
        </w:tc>
        <w:tc>
          <w:tcPr>
            <w:tcW w:w="120" w:type="dxa"/>
            <w:vAlign w:val="bottom"/>
          </w:tcPr>
          <w:p>
            <w:pPr>
              <w:spacing w:after="0"/>
              <w:rPr>
                <w:sz w:val="21"/>
                <w:szCs w:val="21"/>
                <w:color w:val="auto"/>
              </w:rPr>
            </w:pPr>
          </w:p>
        </w:tc>
        <w:tc>
          <w:tcPr>
            <w:tcW w:w="16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30,215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3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30,344</w:t>
            </w:r>
          </w:p>
        </w:tc>
      </w:tr>
      <w:tr>
        <w:trPr>
          <w:trHeight w:val="27"/>
        </w:trPr>
        <w:tc>
          <w:tcPr>
            <w:tcW w:w="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24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Safety-Kleen Environmental Services</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217,439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217,439</w:t>
            </w:r>
          </w:p>
        </w:tc>
      </w:tr>
      <w:tr>
        <w:trPr>
          <w:trHeight w:val="270"/>
        </w:trPr>
        <w:tc>
          <w:tcPr>
            <w:tcW w:w="4240" w:type="dxa"/>
            <w:vAlign w:val="bottom"/>
            <w:gridSpan w:val="4"/>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Safety-Kleen Oil </w:t>
            </w:r>
            <w:r>
              <w:rPr>
                <w:rFonts w:ascii="Times New Roman" w:cs="Times New Roman" w:eastAsia="Times New Roman" w:hAnsi="Times New Roman"/>
                <w:sz w:val="25"/>
                <w:szCs w:val="25"/>
                <w:color w:val="auto"/>
                <w:vertAlign w:val="superscript"/>
              </w:rPr>
              <w:t>(2)</w:t>
            </w:r>
          </w:p>
        </w:tc>
        <w:tc>
          <w:tcPr>
            <w:tcW w:w="120" w:type="dxa"/>
            <w:vAlign w:val="bottom"/>
          </w:tcPr>
          <w:p>
            <w:pPr>
              <w:spacing w:after="0"/>
              <w:rPr>
                <w:sz w:val="23"/>
                <w:szCs w:val="23"/>
                <w:color w:val="auto"/>
              </w:rPr>
            </w:pPr>
          </w:p>
        </w:tc>
        <w:tc>
          <w:tcPr>
            <w:tcW w:w="1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15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123,978</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3"/>
                <w:szCs w:val="23"/>
                <w:color w:val="auto"/>
              </w:rPr>
            </w:pPr>
          </w:p>
        </w:tc>
        <w:tc>
          <w:tcPr>
            <w:tcW w:w="12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123,978</w:t>
            </w:r>
          </w:p>
        </w:tc>
      </w:tr>
      <w:tr>
        <w:trPr>
          <w:trHeight w:val="264"/>
        </w:trPr>
        <w:tc>
          <w:tcPr>
            <w:tcW w:w="4240" w:type="dxa"/>
            <w:vAlign w:val="bottom"/>
            <w:tcBorders>
              <w:top w:val="single" w:sz="8" w:color="CCEEFF"/>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third-party revenues</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550,122</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341,417</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420" w:type="dxa"/>
            <w:vAlign w:val="bottom"/>
            <w:tcBorders>
              <w:top w:val="single" w:sz="8" w:color="auto"/>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891,668</w:t>
            </w:r>
          </w:p>
        </w:tc>
      </w:tr>
      <w:tr>
        <w:trPr>
          <w:trHeight w:val="588"/>
        </w:trPr>
        <w:tc>
          <w:tcPr>
            <w:tcW w:w="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620" w:type="dxa"/>
            <w:vAlign w:val="bottom"/>
            <w:tcBorders>
              <w:top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5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11" w:name="page12"/>
    <w:bookmarkEnd w:id="1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75"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460" w:type="dxa"/>
            <w:vAlign w:val="bottom"/>
            <w:tcBorders>
              <w:bottom w:val="single" w:sz="8" w:color="auto"/>
            </w:tcBorders>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 2018</w:t>
            </w: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r>
      <w:tr>
        <w:trPr>
          <w:trHeight w:val="264"/>
        </w:trPr>
        <w:tc>
          <w:tcPr>
            <w:tcW w:w="2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Environmental Services</w:t>
            </w:r>
          </w:p>
        </w:tc>
        <w:tc>
          <w:tcPr>
            <w:tcW w:w="160" w:type="dxa"/>
            <w:vAlign w:val="bottom"/>
          </w:tcPr>
          <w:p>
            <w:pPr>
              <w:spacing w:after="0"/>
              <w:rPr>
                <w:sz w:val="22"/>
                <w:szCs w:val="22"/>
                <w:color w:val="auto"/>
              </w:rPr>
            </w:pPr>
          </w:p>
        </w:tc>
        <w:tc>
          <w:tcPr>
            <w:tcW w:w="164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Safety-Kleen</w:t>
            </w:r>
          </w:p>
        </w:tc>
        <w:tc>
          <w:tcPr>
            <w:tcW w:w="320" w:type="dxa"/>
            <w:vAlign w:val="bottom"/>
          </w:tcPr>
          <w:p>
            <w:pPr>
              <w:spacing w:after="0"/>
              <w:rPr>
                <w:sz w:val="22"/>
                <w:szCs w:val="22"/>
                <w:color w:val="auto"/>
              </w:rPr>
            </w:pPr>
          </w:p>
        </w:tc>
        <w:tc>
          <w:tcPr>
            <w:tcW w:w="150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400" w:type="dxa"/>
            <w:vAlign w:val="bottom"/>
          </w:tcPr>
          <w:p>
            <w:pPr>
              <w:spacing w:after="0"/>
              <w:rPr>
                <w:sz w:val="22"/>
                <w:szCs w:val="22"/>
                <w:color w:val="auto"/>
              </w:rPr>
            </w:pPr>
          </w:p>
        </w:tc>
        <w:tc>
          <w:tcPr>
            <w:tcW w:w="1300" w:type="dxa"/>
            <w:vAlign w:val="bottom"/>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54"/>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440" w:type="dxa"/>
            <w:vAlign w:val="bottom"/>
            <w:tcBorders>
              <w:top w:val="single" w:sz="8" w:color="CCEEFF"/>
              <w:bottom w:val="single" w:sz="8" w:color="auto"/>
            </w:tcBorders>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b w:val="1"/>
                <w:bCs w:val="1"/>
                <w:color w:val="auto"/>
                <w:w w:val="99"/>
                <w:shd w:val="clear" w:color="auto" w:fill="CCEEFF"/>
              </w:rPr>
              <w:t>Primary Geographical Markets</w:t>
            </w:r>
          </w:p>
        </w:tc>
        <w:tc>
          <w:tcPr>
            <w:tcW w:w="176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6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220" w:type="dxa"/>
            <w:vAlign w:val="bottom"/>
            <w:tcBorders>
              <w:top w:val="single" w:sz="8" w:color="CCEEFF"/>
            </w:tcBorders>
            <w:gridSpan w:val="4"/>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top w:val="single" w:sz="8" w:color="CCEEFF"/>
            </w:tcBorders>
          </w:tcPr>
          <w:p>
            <w:pPr>
              <w:jc w:val="right"/>
              <w:ind w:right="52"/>
              <w:spacing w:after="0"/>
              <w:rPr>
                <w:sz w:val="20"/>
                <w:szCs w:val="20"/>
                <w:color w:val="auto"/>
              </w:rPr>
            </w:pPr>
            <w:r>
              <w:rPr>
                <w:rFonts w:ascii="Times New Roman" w:cs="Times New Roman" w:eastAsia="Times New Roman" w:hAnsi="Times New Roman"/>
                <w:sz w:val="18"/>
                <w:szCs w:val="18"/>
                <w:color w:val="auto"/>
              </w:rPr>
              <w:t>410,792</w:t>
            </w:r>
          </w:p>
        </w:tc>
        <w:tc>
          <w:tcPr>
            <w:tcW w:w="100" w:type="dxa"/>
            <w:vAlign w:val="bottom"/>
            <w:tcBorders>
              <w:top w:val="single" w:sz="8" w:color="CCEEFF"/>
            </w:tcBorders>
          </w:tcPr>
          <w:p>
            <w:pPr>
              <w:spacing w:after="0"/>
              <w:rPr>
                <w:sz w:val="21"/>
                <w:szCs w:val="21"/>
                <w:color w:val="auto"/>
              </w:rPr>
            </w:pPr>
          </w:p>
        </w:tc>
        <w:tc>
          <w:tcPr>
            <w:tcW w:w="1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CCEEFF"/>
            </w:tcBorders>
          </w:tcPr>
          <w:p>
            <w:pPr>
              <w:jc w:val="right"/>
              <w:ind w:right="33"/>
              <w:spacing w:after="0"/>
              <w:rPr>
                <w:sz w:val="20"/>
                <w:szCs w:val="20"/>
                <w:color w:val="auto"/>
              </w:rPr>
            </w:pPr>
            <w:r>
              <w:rPr>
                <w:rFonts w:ascii="Times New Roman" w:cs="Times New Roman" w:eastAsia="Times New Roman" w:hAnsi="Times New Roman"/>
                <w:sz w:val="18"/>
                <w:szCs w:val="18"/>
                <w:color w:val="auto"/>
              </w:rPr>
              <w:t>307,497</w:t>
            </w:r>
          </w:p>
        </w:tc>
        <w:tc>
          <w:tcPr>
            <w:tcW w:w="100" w:type="dxa"/>
            <w:vAlign w:val="bottom"/>
            <w:tcBorders>
              <w:top w:val="single" w:sz="8" w:color="CCEEFF"/>
            </w:tcBorders>
          </w:tcPr>
          <w:p>
            <w:pPr>
              <w:spacing w:after="0"/>
              <w:rPr>
                <w:sz w:val="21"/>
                <w:szCs w:val="21"/>
                <w:color w:val="auto"/>
              </w:rPr>
            </w:pPr>
          </w:p>
        </w:tc>
        <w:tc>
          <w:tcPr>
            <w:tcW w:w="320" w:type="dxa"/>
            <w:vAlign w:val="bottom"/>
            <w:tcBorders>
              <w:top w:val="single" w:sz="8" w:color="CCEEFF"/>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Borders>
              <w:top w:val="single" w:sz="8" w:color="CCEEFF"/>
            </w:tcBorders>
          </w:tcPr>
          <w:p>
            <w:pPr>
              <w:spacing w:after="0"/>
              <w:rPr>
                <w:sz w:val="21"/>
                <w:szCs w:val="21"/>
                <w:color w:val="auto"/>
              </w:rPr>
            </w:pPr>
          </w:p>
        </w:tc>
        <w:tc>
          <w:tcPr>
            <w:tcW w:w="400" w:type="dxa"/>
            <w:vAlign w:val="bottom"/>
            <w:tcBorders>
              <w:top w:val="single" w:sz="8" w:color="CCEEFF"/>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CCEEFF"/>
            </w:tcBorders>
          </w:tcPr>
          <w:p>
            <w:pPr>
              <w:jc w:val="right"/>
              <w:ind w:right="32"/>
              <w:spacing w:after="0"/>
              <w:rPr>
                <w:sz w:val="20"/>
                <w:szCs w:val="20"/>
                <w:color w:val="auto"/>
              </w:rPr>
            </w:pPr>
            <w:r>
              <w:rPr>
                <w:rFonts w:ascii="Times New Roman" w:cs="Times New Roman" w:eastAsia="Times New Roman" w:hAnsi="Times New Roman"/>
                <w:sz w:val="18"/>
                <w:szCs w:val="18"/>
                <w:color w:val="auto"/>
              </w:rPr>
              <w:t>718,223</w:t>
            </w:r>
          </w:p>
        </w:tc>
      </w:tr>
      <w:tr>
        <w:trPr>
          <w:trHeight w:val="27"/>
        </w:trPr>
        <w:tc>
          <w:tcPr>
            <w:tcW w:w="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shd w:val="clear" w:color="auto" w:fill="CCEEFF"/>
              </w:rPr>
              <w:t>Canada</w:t>
            </w:r>
          </w:p>
        </w:tc>
        <w:tc>
          <w:tcPr>
            <w:tcW w:w="2700" w:type="dxa"/>
            <w:vAlign w:val="bottom"/>
            <w:tcBorders>
              <w:bottom w:val="single" w:sz="8" w:color="CCEEFF"/>
            </w:tcBorders>
            <w:gridSpan w:val="2"/>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98,021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26,404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533</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124,958</w:t>
            </w:r>
          </w:p>
        </w:tc>
      </w:tr>
      <w:tr>
        <w:trPr>
          <w:trHeight w:val="237"/>
        </w:trPr>
        <w:tc>
          <w:tcPr>
            <w:tcW w:w="42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Total third-party revenues</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top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508,813</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333,901</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467</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843,181</w:t>
            </w:r>
          </w:p>
        </w:tc>
      </w:tr>
      <w:tr>
        <w:trPr>
          <w:trHeight w:val="27"/>
        </w:trPr>
        <w:tc>
          <w:tcPr>
            <w:tcW w:w="2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77"/>
        </w:trPr>
        <w:tc>
          <w:tcPr>
            <w:tcW w:w="2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03"/>
        </w:trPr>
        <w:tc>
          <w:tcPr>
            <w:tcW w:w="4220" w:type="dxa"/>
            <w:vAlign w:val="bottom"/>
            <w:gridSpan w:val="4"/>
          </w:tcPr>
          <w:p>
            <w:pPr>
              <w:ind w:left="20"/>
              <w:spacing w:after="0" w:line="202" w:lineRule="exact"/>
              <w:rPr>
                <w:sz w:val="20"/>
                <w:szCs w:val="20"/>
                <w:color w:val="auto"/>
              </w:rPr>
            </w:pPr>
            <w:r>
              <w:rPr>
                <w:rFonts w:ascii="Times New Roman" w:cs="Times New Roman" w:eastAsia="Times New Roman" w:hAnsi="Times New Roman"/>
                <w:sz w:val="17"/>
                <w:szCs w:val="17"/>
                <w:b w:val="1"/>
                <w:bCs w:val="1"/>
                <w:color w:val="auto"/>
              </w:rPr>
              <w:t xml:space="preserve">Sources of Revenue </w:t>
            </w:r>
            <w:r>
              <w:rPr>
                <w:rFonts w:ascii="Times New Roman" w:cs="Times New Roman" w:eastAsia="Times New Roman" w:hAnsi="Times New Roman"/>
                <w:sz w:val="23"/>
                <w:szCs w:val="23"/>
                <w:color w:val="auto"/>
                <w:vertAlign w:val="superscript"/>
              </w:rPr>
              <w:t>(1)</w:t>
            </w:r>
          </w:p>
        </w:tc>
        <w:tc>
          <w:tcPr>
            <w:tcW w:w="1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1500" w:type="dxa"/>
            <w:vAlign w:val="bottom"/>
            <w:tcBorders>
              <w:top w:val="single" w:sz="8" w:color="auto"/>
            </w:tcBorders>
          </w:tcPr>
          <w:p>
            <w:pPr>
              <w:spacing w:after="0"/>
              <w:rPr>
                <w:sz w:val="4"/>
                <w:szCs w:val="4"/>
                <w:color w:val="auto"/>
              </w:rPr>
            </w:pPr>
          </w:p>
        </w:tc>
        <w:tc>
          <w:tcPr>
            <w:tcW w:w="940" w:type="dxa"/>
            <w:vAlign w:val="bottom"/>
          </w:tcPr>
          <w:p>
            <w:pPr>
              <w:spacing w:after="0"/>
              <w:rPr>
                <w:sz w:val="4"/>
                <w:szCs w:val="4"/>
                <w:color w:val="auto"/>
              </w:rPr>
            </w:pPr>
          </w:p>
        </w:tc>
        <w:tc>
          <w:tcPr>
            <w:tcW w:w="1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50"/>
        </w:trPr>
        <w:tc>
          <w:tcPr>
            <w:tcW w:w="422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Technical Services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264,769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264,769</w:t>
            </w:r>
          </w:p>
        </w:tc>
      </w:tr>
      <w:tr>
        <w:trPr>
          <w:trHeight w:val="243"/>
        </w:trPr>
        <w:tc>
          <w:tcPr>
            <w:tcW w:w="42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Field and Emergency Response Services</w:t>
            </w:r>
          </w:p>
        </w:tc>
        <w:tc>
          <w:tcPr>
            <w:tcW w:w="120" w:type="dxa"/>
            <w:vAlign w:val="bottom"/>
          </w:tcPr>
          <w:p>
            <w:pPr>
              <w:spacing w:after="0"/>
              <w:rPr>
                <w:sz w:val="21"/>
                <w:szCs w:val="21"/>
                <w:color w:val="auto"/>
              </w:rPr>
            </w:pPr>
          </w:p>
        </w:tc>
        <w:tc>
          <w:tcPr>
            <w:tcW w:w="16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77,025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77,025</w:t>
            </w:r>
          </w:p>
        </w:tc>
      </w:tr>
      <w:tr>
        <w:trPr>
          <w:trHeight w:val="27"/>
        </w:trPr>
        <w:tc>
          <w:tcPr>
            <w:tcW w:w="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22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Industrial Services</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134,323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134,323</w:t>
            </w:r>
          </w:p>
        </w:tc>
      </w:tr>
      <w:tr>
        <w:trPr>
          <w:trHeight w:val="243"/>
        </w:trPr>
        <w:tc>
          <w:tcPr>
            <w:tcW w:w="42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Oil, Gas and Lodging Services and Other</w:t>
            </w:r>
          </w:p>
        </w:tc>
        <w:tc>
          <w:tcPr>
            <w:tcW w:w="120" w:type="dxa"/>
            <w:vAlign w:val="bottom"/>
          </w:tcPr>
          <w:p>
            <w:pPr>
              <w:spacing w:after="0"/>
              <w:rPr>
                <w:sz w:val="21"/>
                <w:szCs w:val="21"/>
                <w:color w:val="auto"/>
              </w:rPr>
            </w:pPr>
          </w:p>
        </w:tc>
        <w:tc>
          <w:tcPr>
            <w:tcW w:w="16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32,696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4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467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33,163</w:t>
            </w:r>
          </w:p>
        </w:tc>
      </w:tr>
      <w:tr>
        <w:trPr>
          <w:trHeight w:val="27"/>
        </w:trPr>
        <w:tc>
          <w:tcPr>
            <w:tcW w:w="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22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Safety-Kleen Environmental Services</w:t>
            </w:r>
          </w:p>
        </w:tc>
        <w:tc>
          <w:tcPr>
            <w:tcW w:w="1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200,681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200,681</w:t>
            </w:r>
          </w:p>
        </w:tc>
      </w:tr>
      <w:tr>
        <w:trPr>
          <w:trHeight w:val="270"/>
        </w:trPr>
        <w:tc>
          <w:tcPr>
            <w:tcW w:w="4220" w:type="dxa"/>
            <w:vAlign w:val="bottom"/>
            <w:gridSpan w:val="4"/>
          </w:tcPr>
          <w:p>
            <w:pPr>
              <w:ind w:left="20"/>
              <w:spacing w:after="0" w:line="270" w:lineRule="exact"/>
              <w:rPr>
                <w:sz w:val="20"/>
                <w:szCs w:val="20"/>
                <w:color w:val="auto"/>
              </w:rPr>
            </w:pPr>
            <w:r>
              <w:rPr>
                <w:rFonts w:ascii="Times New Roman" w:cs="Times New Roman" w:eastAsia="Times New Roman" w:hAnsi="Times New Roman"/>
                <w:sz w:val="18"/>
                <w:szCs w:val="18"/>
                <w:color w:val="auto"/>
              </w:rPr>
              <w:t xml:space="preserve">Safety-Kleen Oil </w:t>
            </w:r>
            <w:r>
              <w:rPr>
                <w:rFonts w:ascii="Times New Roman" w:cs="Times New Roman" w:eastAsia="Times New Roman" w:hAnsi="Times New Roman"/>
                <w:sz w:val="25"/>
                <w:szCs w:val="25"/>
                <w:color w:val="auto"/>
                <w:vertAlign w:val="superscript"/>
              </w:rPr>
              <w:t>(2)</w:t>
            </w:r>
          </w:p>
        </w:tc>
        <w:tc>
          <w:tcPr>
            <w:tcW w:w="120" w:type="dxa"/>
            <w:vAlign w:val="bottom"/>
          </w:tcPr>
          <w:p>
            <w:pPr>
              <w:spacing w:after="0"/>
              <w:rPr>
                <w:sz w:val="23"/>
                <w:szCs w:val="23"/>
                <w:color w:val="auto"/>
              </w:rPr>
            </w:pPr>
          </w:p>
        </w:tc>
        <w:tc>
          <w:tcPr>
            <w:tcW w:w="17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15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133,220</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3"/>
                <w:szCs w:val="23"/>
                <w:color w:val="auto"/>
              </w:rPr>
            </w:pP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133,220</w:t>
            </w:r>
          </w:p>
        </w:tc>
      </w:tr>
      <w:tr>
        <w:trPr>
          <w:trHeight w:val="244"/>
        </w:trPr>
        <w:tc>
          <w:tcPr>
            <w:tcW w:w="4220" w:type="dxa"/>
            <w:vAlign w:val="bottom"/>
            <w:tcBorders>
              <w:top w:val="single" w:sz="8" w:color="CCEEFF"/>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third-party revenues</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top w:val="single" w:sz="8" w:color="auto"/>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508,813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333,901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467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843,181</w:t>
            </w:r>
          </w:p>
        </w:tc>
      </w:tr>
      <w:tr>
        <w:trPr>
          <w:trHeight w:val="20"/>
        </w:trPr>
        <w:tc>
          <w:tcPr>
            <w:tcW w:w="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r>
      <w:tr>
        <w:trPr>
          <w:trHeight w:val="529"/>
        </w:trPr>
        <w:tc>
          <w:tcPr>
            <w:tcW w:w="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 2019</w:t>
            </w:r>
          </w:p>
        </w:tc>
        <w:tc>
          <w:tcPr>
            <w:tcW w:w="4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r>
      <w:tr>
        <w:trPr>
          <w:trHeight w:val="264"/>
        </w:trPr>
        <w:tc>
          <w:tcPr>
            <w:tcW w:w="2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Environmental Services</w:t>
            </w:r>
          </w:p>
        </w:tc>
        <w:tc>
          <w:tcPr>
            <w:tcW w:w="160" w:type="dxa"/>
            <w:vAlign w:val="bottom"/>
          </w:tcPr>
          <w:p>
            <w:pPr>
              <w:spacing w:after="0"/>
              <w:rPr>
                <w:sz w:val="22"/>
                <w:szCs w:val="22"/>
                <w:color w:val="auto"/>
              </w:rPr>
            </w:pPr>
          </w:p>
        </w:tc>
        <w:tc>
          <w:tcPr>
            <w:tcW w:w="164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Safety-Kleen</w:t>
            </w:r>
          </w:p>
        </w:tc>
        <w:tc>
          <w:tcPr>
            <w:tcW w:w="320" w:type="dxa"/>
            <w:vAlign w:val="bottom"/>
          </w:tcPr>
          <w:p>
            <w:pPr>
              <w:spacing w:after="0"/>
              <w:rPr>
                <w:sz w:val="22"/>
                <w:szCs w:val="22"/>
                <w:color w:val="auto"/>
              </w:rPr>
            </w:pPr>
          </w:p>
        </w:tc>
        <w:tc>
          <w:tcPr>
            <w:tcW w:w="150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400" w:type="dxa"/>
            <w:vAlign w:val="bottom"/>
          </w:tcPr>
          <w:p>
            <w:pPr>
              <w:spacing w:after="0"/>
              <w:rPr>
                <w:sz w:val="22"/>
                <w:szCs w:val="22"/>
                <w:color w:val="auto"/>
              </w:rPr>
            </w:pPr>
          </w:p>
        </w:tc>
        <w:tc>
          <w:tcPr>
            <w:tcW w:w="1300" w:type="dxa"/>
            <w:vAlign w:val="bottom"/>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54"/>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440" w:type="dxa"/>
            <w:vAlign w:val="bottom"/>
            <w:tcBorders>
              <w:top w:val="single" w:sz="8" w:color="CCEEFF"/>
              <w:bottom w:val="single" w:sz="8" w:color="auto"/>
            </w:tcBorders>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b w:val="1"/>
                <w:bCs w:val="1"/>
                <w:color w:val="auto"/>
                <w:w w:val="99"/>
                <w:shd w:val="clear" w:color="auto" w:fill="CCEEFF"/>
              </w:rPr>
              <w:t>Primary Geographical Markets</w:t>
            </w:r>
          </w:p>
        </w:tc>
        <w:tc>
          <w:tcPr>
            <w:tcW w:w="176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6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220" w:type="dxa"/>
            <w:vAlign w:val="bottom"/>
            <w:tcBorders>
              <w:top w:val="single" w:sz="8" w:color="CCEEFF"/>
            </w:tcBorders>
            <w:gridSpan w:val="4"/>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top w:val="single" w:sz="8" w:color="CCEEFF"/>
            </w:tcBorders>
          </w:tcPr>
          <w:p>
            <w:pPr>
              <w:jc w:val="right"/>
              <w:ind w:right="52"/>
              <w:spacing w:after="0"/>
              <w:rPr>
                <w:sz w:val="20"/>
                <w:szCs w:val="20"/>
                <w:color w:val="auto"/>
              </w:rPr>
            </w:pPr>
            <w:r>
              <w:rPr>
                <w:rFonts w:ascii="Times New Roman" w:cs="Times New Roman" w:eastAsia="Times New Roman" w:hAnsi="Times New Roman"/>
                <w:sz w:val="18"/>
                <w:szCs w:val="18"/>
                <w:color w:val="auto"/>
              </w:rPr>
              <w:t>1,270,556</w:t>
            </w:r>
          </w:p>
        </w:tc>
        <w:tc>
          <w:tcPr>
            <w:tcW w:w="100" w:type="dxa"/>
            <w:vAlign w:val="bottom"/>
            <w:tcBorders>
              <w:top w:val="single" w:sz="8" w:color="CCEEFF"/>
            </w:tcBorders>
          </w:tcPr>
          <w:p>
            <w:pPr>
              <w:spacing w:after="0"/>
              <w:rPr>
                <w:sz w:val="21"/>
                <w:szCs w:val="21"/>
                <w:color w:val="auto"/>
              </w:rPr>
            </w:pPr>
          </w:p>
        </w:tc>
        <w:tc>
          <w:tcPr>
            <w:tcW w:w="1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CCEEFF"/>
            </w:tcBorders>
          </w:tcPr>
          <w:p>
            <w:pPr>
              <w:jc w:val="right"/>
              <w:ind w:right="33"/>
              <w:spacing w:after="0"/>
              <w:rPr>
                <w:sz w:val="20"/>
                <w:szCs w:val="20"/>
                <w:color w:val="auto"/>
              </w:rPr>
            </w:pPr>
            <w:r>
              <w:rPr>
                <w:rFonts w:ascii="Times New Roman" w:cs="Times New Roman" w:eastAsia="Times New Roman" w:hAnsi="Times New Roman"/>
                <w:sz w:val="18"/>
                <w:szCs w:val="18"/>
                <w:color w:val="auto"/>
              </w:rPr>
              <w:t>917,240</w:t>
            </w:r>
          </w:p>
        </w:tc>
        <w:tc>
          <w:tcPr>
            <w:tcW w:w="100" w:type="dxa"/>
            <w:vAlign w:val="bottom"/>
            <w:tcBorders>
              <w:top w:val="single" w:sz="8" w:color="CCEEFF"/>
            </w:tcBorders>
          </w:tcPr>
          <w:p>
            <w:pPr>
              <w:spacing w:after="0"/>
              <w:rPr>
                <w:sz w:val="21"/>
                <w:szCs w:val="21"/>
                <w:color w:val="auto"/>
              </w:rPr>
            </w:pPr>
          </w:p>
        </w:tc>
        <w:tc>
          <w:tcPr>
            <w:tcW w:w="320" w:type="dxa"/>
            <w:vAlign w:val="bottom"/>
            <w:tcBorders>
              <w:top w:val="single" w:sz="8" w:color="CCEEFF"/>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CCEEFF"/>
            </w:tcBorders>
          </w:tcPr>
          <w:p>
            <w:pPr>
              <w:jc w:val="right"/>
              <w:ind w:right="32"/>
              <w:spacing w:after="0"/>
              <w:rPr>
                <w:sz w:val="20"/>
                <w:szCs w:val="20"/>
                <w:color w:val="auto"/>
              </w:rPr>
            </w:pPr>
            <w:r>
              <w:rPr>
                <w:rFonts w:ascii="Times New Roman" w:cs="Times New Roman" w:eastAsia="Times New Roman" w:hAnsi="Times New Roman"/>
                <w:sz w:val="18"/>
                <w:szCs w:val="18"/>
                <w:color w:val="auto"/>
              </w:rPr>
              <w:t>531</w:t>
            </w:r>
          </w:p>
        </w:tc>
        <w:tc>
          <w:tcPr>
            <w:tcW w:w="100" w:type="dxa"/>
            <w:vAlign w:val="bottom"/>
            <w:tcBorders>
              <w:top w:val="single" w:sz="8" w:color="CCEEFF"/>
            </w:tcBorders>
          </w:tcPr>
          <w:p>
            <w:pPr>
              <w:spacing w:after="0"/>
              <w:rPr>
                <w:sz w:val="21"/>
                <w:szCs w:val="21"/>
                <w:color w:val="auto"/>
              </w:rPr>
            </w:pPr>
          </w:p>
        </w:tc>
        <w:tc>
          <w:tcPr>
            <w:tcW w:w="400" w:type="dxa"/>
            <w:vAlign w:val="bottom"/>
            <w:tcBorders>
              <w:top w:val="single" w:sz="8" w:color="CCEEFF"/>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CCEEFF"/>
            </w:tcBorders>
          </w:tcPr>
          <w:p>
            <w:pPr>
              <w:jc w:val="right"/>
              <w:ind w:right="32"/>
              <w:spacing w:after="0"/>
              <w:rPr>
                <w:sz w:val="20"/>
                <w:szCs w:val="20"/>
                <w:color w:val="auto"/>
              </w:rPr>
            </w:pPr>
            <w:r>
              <w:rPr>
                <w:rFonts w:ascii="Times New Roman" w:cs="Times New Roman" w:eastAsia="Times New Roman" w:hAnsi="Times New Roman"/>
                <w:sz w:val="18"/>
                <w:szCs w:val="18"/>
                <w:color w:val="auto"/>
              </w:rPr>
              <w:t>2,188,327</w:t>
            </w:r>
          </w:p>
        </w:tc>
      </w:tr>
      <w:tr>
        <w:trPr>
          <w:trHeight w:val="27"/>
        </w:trPr>
        <w:tc>
          <w:tcPr>
            <w:tcW w:w="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shd w:val="clear" w:color="auto" w:fill="CCEEFF"/>
              </w:rPr>
              <w:t>Canada</w:t>
            </w:r>
          </w:p>
        </w:tc>
        <w:tc>
          <w:tcPr>
            <w:tcW w:w="2700" w:type="dxa"/>
            <w:vAlign w:val="bottom"/>
            <w:tcBorders>
              <w:bottom w:val="single" w:sz="8" w:color="CCEEFF"/>
            </w:tcBorders>
            <w:gridSpan w:val="2"/>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279,558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72,906</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394</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352,858</w:t>
            </w:r>
          </w:p>
        </w:tc>
      </w:tr>
      <w:tr>
        <w:trPr>
          <w:trHeight w:val="237"/>
        </w:trPr>
        <w:tc>
          <w:tcPr>
            <w:tcW w:w="42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Total third-party revenues</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top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1,550,114</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990,146</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925</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2,541,185</w:t>
            </w:r>
          </w:p>
        </w:tc>
      </w:tr>
      <w:tr>
        <w:trPr>
          <w:trHeight w:val="27"/>
        </w:trPr>
        <w:tc>
          <w:tcPr>
            <w:tcW w:w="2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77"/>
        </w:trPr>
        <w:tc>
          <w:tcPr>
            <w:tcW w:w="2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03"/>
        </w:trPr>
        <w:tc>
          <w:tcPr>
            <w:tcW w:w="4220" w:type="dxa"/>
            <w:vAlign w:val="bottom"/>
            <w:gridSpan w:val="4"/>
          </w:tcPr>
          <w:p>
            <w:pPr>
              <w:ind w:left="20"/>
              <w:spacing w:after="0" w:line="202" w:lineRule="exact"/>
              <w:rPr>
                <w:sz w:val="20"/>
                <w:szCs w:val="20"/>
                <w:color w:val="auto"/>
              </w:rPr>
            </w:pPr>
            <w:r>
              <w:rPr>
                <w:rFonts w:ascii="Times New Roman" w:cs="Times New Roman" w:eastAsia="Times New Roman" w:hAnsi="Times New Roman"/>
                <w:sz w:val="17"/>
                <w:szCs w:val="17"/>
                <w:b w:val="1"/>
                <w:bCs w:val="1"/>
                <w:color w:val="auto"/>
              </w:rPr>
              <w:t xml:space="preserve">Sources of Revenue </w:t>
            </w:r>
            <w:r>
              <w:rPr>
                <w:rFonts w:ascii="Times New Roman" w:cs="Times New Roman" w:eastAsia="Times New Roman" w:hAnsi="Times New Roman"/>
                <w:sz w:val="23"/>
                <w:szCs w:val="23"/>
                <w:color w:val="auto"/>
                <w:vertAlign w:val="superscript"/>
              </w:rPr>
              <w:t>(1)</w:t>
            </w:r>
          </w:p>
        </w:tc>
        <w:tc>
          <w:tcPr>
            <w:tcW w:w="1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1500" w:type="dxa"/>
            <w:vAlign w:val="bottom"/>
            <w:tcBorders>
              <w:top w:val="single" w:sz="8" w:color="auto"/>
            </w:tcBorders>
          </w:tcPr>
          <w:p>
            <w:pPr>
              <w:spacing w:after="0"/>
              <w:rPr>
                <w:sz w:val="4"/>
                <w:szCs w:val="4"/>
                <w:color w:val="auto"/>
              </w:rPr>
            </w:pPr>
          </w:p>
        </w:tc>
        <w:tc>
          <w:tcPr>
            <w:tcW w:w="940" w:type="dxa"/>
            <w:vAlign w:val="bottom"/>
          </w:tcPr>
          <w:p>
            <w:pPr>
              <w:spacing w:after="0"/>
              <w:rPr>
                <w:sz w:val="4"/>
                <w:szCs w:val="4"/>
                <w:color w:val="auto"/>
              </w:rPr>
            </w:pPr>
          </w:p>
        </w:tc>
        <w:tc>
          <w:tcPr>
            <w:tcW w:w="1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50"/>
        </w:trPr>
        <w:tc>
          <w:tcPr>
            <w:tcW w:w="422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Technical Services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820,333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820,333</w:t>
            </w:r>
          </w:p>
        </w:tc>
      </w:tr>
      <w:tr>
        <w:trPr>
          <w:trHeight w:val="243"/>
        </w:trPr>
        <w:tc>
          <w:tcPr>
            <w:tcW w:w="42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Field and Emergency Response Services</w:t>
            </w:r>
          </w:p>
        </w:tc>
        <w:tc>
          <w:tcPr>
            <w:tcW w:w="120" w:type="dxa"/>
            <w:vAlign w:val="bottom"/>
          </w:tcPr>
          <w:p>
            <w:pPr>
              <w:spacing w:after="0"/>
              <w:rPr>
                <w:sz w:val="21"/>
                <w:szCs w:val="21"/>
                <w:color w:val="auto"/>
              </w:rPr>
            </w:pPr>
          </w:p>
        </w:tc>
        <w:tc>
          <w:tcPr>
            <w:tcW w:w="16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253,894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253,894</w:t>
            </w:r>
          </w:p>
        </w:tc>
      </w:tr>
      <w:tr>
        <w:trPr>
          <w:trHeight w:val="27"/>
        </w:trPr>
        <w:tc>
          <w:tcPr>
            <w:tcW w:w="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22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Industrial Services</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383,964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383,964</w:t>
            </w:r>
          </w:p>
        </w:tc>
      </w:tr>
      <w:tr>
        <w:trPr>
          <w:trHeight w:val="243"/>
        </w:trPr>
        <w:tc>
          <w:tcPr>
            <w:tcW w:w="42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Oil, Gas and Lodging Services and Other</w:t>
            </w:r>
          </w:p>
        </w:tc>
        <w:tc>
          <w:tcPr>
            <w:tcW w:w="120" w:type="dxa"/>
            <w:vAlign w:val="bottom"/>
          </w:tcPr>
          <w:p>
            <w:pPr>
              <w:spacing w:after="0"/>
              <w:rPr>
                <w:sz w:val="21"/>
                <w:szCs w:val="21"/>
                <w:color w:val="auto"/>
              </w:rPr>
            </w:pPr>
          </w:p>
        </w:tc>
        <w:tc>
          <w:tcPr>
            <w:tcW w:w="16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91,923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4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925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92,848</w:t>
            </w:r>
          </w:p>
        </w:tc>
      </w:tr>
      <w:tr>
        <w:trPr>
          <w:trHeight w:val="27"/>
        </w:trPr>
        <w:tc>
          <w:tcPr>
            <w:tcW w:w="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22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Safety-Kleen Environmental Services</w:t>
            </w:r>
          </w:p>
        </w:tc>
        <w:tc>
          <w:tcPr>
            <w:tcW w:w="1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640,956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640,956</w:t>
            </w:r>
          </w:p>
        </w:tc>
      </w:tr>
      <w:tr>
        <w:trPr>
          <w:trHeight w:val="270"/>
        </w:trPr>
        <w:tc>
          <w:tcPr>
            <w:tcW w:w="4220" w:type="dxa"/>
            <w:vAlign w:val="bottom"/>
            <w:gridSpan w:val="4"/>
          </w:tcPr>
          <w:p>
            <w:pPr>
              <w:ind w:left="20"/>
              <w:spacing w:after="0" w:line="270" w:lineRule="exact"/>
              <w:rPr>
                <w:sz w:val="20"/>
                <w:szCs w:val="20"/>
                <w:color w:val="auto"/>
              </w:rPr>
            </w:pPr>
            <w:r>
              <w:rPr>
                <w:rFonts w:ascii="Times New Roman" w:cs="Times New Roman" w:eastAsia="Times New Roman" w:hAnsi="Times New Roman"/>
                <w:sz w:val="18"/>
                <w:szCs w:val="18"/>
                <w:color w:val="auto"/>
              </w:rPr>
              <w:t xml:space="preserve">Safety-Kleen Oil </w:t>
            </w:r>
            <w:r>
              <w:rPr>
                <w:rFonts w:ascii="Times New Roman" w:cs="Times New Roman" w:eastAsia="Times New Roman" w:hAnsi="Times New Roman"/>
                <w:sz w:val="25"/>
                <w:szCs w:val="25"/>
                <w:color w:val="auto"/>
                <w:vertAlign w:val="superscript"/>
              </w:rPr>
              <w:t>(2)</w:t>
            </w:r>
          </w:p>
        </w:tc>
        <w:tc>
          <w:tcPr>
            <w:tcW w:w="120" w:type="dxa"/>
            <w:vAlign w:val="bottom"/>
          </w:tcPr>
          <w:p>
            <w:pPr>
              <w:spacing w:after="0"/>
              <w:rPr>
                <w:sz w:val="23"/>
                <w:szCs w:val="23"/>
                <w:color w:val="auto"/>
              </w:rPr>
            </w:pPr>
          </w:p>
        </w:tc>
        <w:tc>
          <w:tcPr>
            <w:tcW w:w="17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15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349,190</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3"/>
                <w:szCs w:val="23"/>
                <w:color w:val="auto"/>
              </w:rPr>
            </w:pP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349,190</w:t>
            </w:r>
          </w:p>
        </w:tc>
      </w:tr>
      <w:tr>
        <w:trPr>
          <w:trHeight w:val="244"/>
        </w:trPr>
        <w:tc>
          <w:tcPr>
            <w:tcW w:w="4220" w:type="dxa"/>
            <w:vAlign w:val="bottom"/>
            <w:tcBorders>
              <w:top w:val="single" w:sz="8" w:color="CCEEFF"/>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third-party revenues</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top w:val="single" w:sz="8" w:color="auto"/>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1,550,114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990,146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925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2,541,185</w:t>
            </w:r>
          </w:p>
        </w:tc>
      </w:tr>
      <w:tr>
        <w:trPr>
          <w:trHeight w:val="20"/>
        </w:trPr>
        <w:tc>
          <w:tcPr>
            <w:tcW w:w="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r>
      <w:tr>
        <w:trPr>
          <w:trHeight w:val="529"/>
        </w:trPr>
        <w:tc>
          <w:tcPr>
            <w:tcW w:w="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 2018</w:t>
            </w:r>
          </w:p>
        </w:tc>
        <w:tc>
          <w:tcPr>
            <w:tcW w:w="4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r>
      <w:tr>
        <w:trPr>
          <w:trHeight w:val="264"/>
        </w:trPr>
        <w:tc>
          <w:tcPr>
            <w:tcW w:w="2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Environmental Services</w:t>
            </w:r>
          </w:p>
        </w:tc>
        <w:tc>
          <w:tcPr>
            <w:tcW w:w="160" w:type="dxa"/>
            <w:vAlign w:val="bottom"/>
          </w:tcPr>
          <w:p>
            <w:pPr>
              <w:spacing w:after="0"/>
              <w:rPr>
                <w:sz w:val="22"/>
                <w:szCs w:val="22"/>
                <w:color w:val="auto"/>
              </w:rPr>
            </w:pPr>
          </w:p>
        </w:tc>
        <w:tc>
          <w:tcPr>
            <w:tcW w:w="164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Safety-Kleen</w:t>
            </w:r>
          </w:p>
        </w:tc>
        <w:tc>
          <w:tcPr>
            <w:tcW w:w="320" w:type="dxa"/>
            <w:vAlign w:val="bottom"/>
          </w:tcPr>
          <w:p>
            <w:pPr>
              <w:spacing w:after="0"/>
              <w:rPr>
                <w:sz w:val="22"/>
                <w:szCs w:val="22"/>
                <w:color w:val="auto"/>
              </w:rPr>
            </w:pPr>
          </w:p>
        </w:tc>
        <w:tc>
          <w:tcPr>
            <w:tcW w:w="150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400" w:type="dxa"/>
            <w:vAlign w:val="bottom"/>
          </w:tcPr>
          <w:p>
            <w:pPr>
              <w:spacing w:after="0"/>
              <w:rPr>
                <w:sz w:val="22"/>
                <w:szCs w:val="22"/>
                <w:color w:val="auto"/>
              </w:rPr>
            </w:pPr>
          </w:p>
        </w:tc>
        <w:tc>
          <w:tcPr>
            <w:tcW w:w="1300" w:type="dxa"/>
            <w:vAlign w:val="bottom"/>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54"/>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440" w:type="dxa"/>
            <w:vAlign w:val="bottom"/>
            <w:tcBorders>
              <w:top w:val="single" w:sz="8" w:color="CCEEFF"/>
              <w:bottom w:val="single" w:sz="8" w:color="auto"/>
            </w:tcBorders>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b w:val="1"/>
                <w:bCs w:val="1"/>
                <w:color w:val="auto"/>
                <w:w w:val="99"/>
                <w:shd w:val="clear" w:color="auto" w:fill="CCEEFF"/>
              </w:rPr>
              <w:t>Primary Geographical Markets</w:t>
            </w:r>
          </w:p>
        </w:tc>
        <w:tc>
          <w:tcPr>
            <w:tcW w:w="176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6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220" w:type="dxa"/>
            <w:vAlign w:val="bottom"/>
            <w:tcBorders>
              <w:top w:val="single" w:sz="8" w:color="CCEEFF"/>
            </w:tcBorders>
            <w:gridSpan w:val="4"/>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top w:val="single" w:sz="8" w:color="CCEEFF"/>
            </w:tcBorders>
          </w:tcPr>
          <w:p>
            <w:pPr>
              <w:jc w:val="right"/>
              <w:ind w:right="52"/>
              <w:spacing w:after="0"/>
              <w:rPr>
                <w:sz w:val="20"/>
                <w:szCs w:val="20"/>
                <w:color w:val="auto"/>
              </w:rPr>
            </w:pPr>
            <w:r>
              <w:rPr>
                <w:rFonts w:ascii="Times New Roman" w:cs="Times New Roman" w:eastAsia="Times New Roman" w:hAnsi="Times New Roman"/>
                <w:sz w:val="18"/>
                <w:szCs w:val="18"/>
                <w:color w:val="auto"/>
              </w:rPr>
              <w:t>1,162,891</w:t>
            </w:r>
          </w:p>
        </w:tc>
        <w:tc>
          <w:tcPr>
            <w:tcW w:w="100" w:type="dxa"/>
            <w:vAlign w:val="bottom"/>
            <w:tcBorders>
              <w:top w:val="single" w:sz="8" w:color="CCEEFF"/>
            </w:tcBorders>
          </w:tcPr>
          <w:p>
            <w:pPr>
              <w:spacing w:after="0"/>
              <w:rPr>
                <w:sz w:val="21"/>
                <w:szCs w:val="21"/>
                <w:color w:val="auto"/>
              </w:rPr>
            </w:pPr>
          </w:p>
        </w:tc>
        <w:tc>
          <w:tcPr>
            <w:tcW w:w="1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CCEEFF"/>
            </w:tcBorders>
          </w:tcPr>
          <w:p>
            <w:pPr>
              <w:jc w:val="right"/>
              <w:ind w:right="33"/>
              <w:spacing w:after="0"/>
              <w:rPr>
                <w:sz w:val="20"/>
                <w:szCs w:val="20"/>
                <w:color w:val="auto"/>
              </w:rPr>
            </w:pPr>
            <w:r>
              <w:rPr>
                <w:rFonts w:ascii="Times New Roman" w:cs="Times New Roman" w:eastAsia="Times New Roman" w:hAnsi="Times New Roman"/>
                <w:sz w:val="18"/>
                <w:szCs w:val="18"/>
                <w:color w:val="auto"/>
              </w:rPr>
              <w:t>901,198</w:t>
            </w:r>
          </w:p>
        </w:tc>
        <w:tc>
          <w:tcPr>
            <w:tcW w:w="100" w:type="dxa"/>
            <w:vAlign w:val="bottom"/>
            <w:tcBorders>
              <w:top w:val="single" w:sz="8" w:color="CCEEFF"/>
            </w:tcBorders>
          </w:tcPr>
          <w:p>
            <w:pPr>
              <w:spacing w:after="0"/>
              <w:rPr>
                <w:sz w:val="21"/>
                <w:szCs w:val="21"/>
                <w:color w:val="auto"/>
              </w:rPr>
            </w:pPr>
          </w:p>
        </w:tc>
        <w:tc>
          <w:tcPr>
            <w:tcW w:w="320" w:type="dxa"/>
            <w:vAlign w:val="bottom"/>
            <w:tcBorders>
              <w:top w:val="single" w:sz="8" w:color="CCEEFF"/>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CCEEFF"/>
            </w:tcBorders>
          </w:tcPr>
          <w:p>
            <w:pPr>
              <w:jc w:val="right"/>
              <w:ind w:right="32"/>
              <w:spacing w:after="0"/>
              <w:rPr>
                <w:sz w:val="20"/>
                <w:szCs w:val="20"/>
                <w:color w:val="auto"/>
              </w:rPr>
            </w:pPr>
            <w:r>
              <w:rPr>
                <w:rFonts w:ascii="Times New Roman" w:cs="Times New Roman" w:eastAsia="Times New Roman" w:hAnsi="Times New Roman"/>
                <w:sz w:val="18"/>
                <w:szCs w:val="18"/>
                <w:color w:val="auto"/>
              </w:rPr>
              <w:t>442</w:t>
            </w:r>
          </w:p>
        </w:tc>
        <w:tc>
          <w:tcPr>
            <w:tcW w:w="100" w:type="dxa"/>
            <w:vAlign w:val="bottom"/>
            <w:tcBorders>
              <w:top w:val="single" w:sz="8" w:color="CCEEFF"/>
            </w:tcBorders>
          </w:tcPr>
          <w:p>
            <w:pPr>
              <w:spacing w:after="0"/>
              <w:rPr>
                <w:sz w:val="21"/>
                <w:szCs w:val="21"/>
                <w:color w:val="auto"/>
              </w:rPr>
            </w:pPr>
          </w:p>
        </w:tc>
        <w:tc>
          <w:tcPr>
            <w:tcW w:w="400" w:type="dxa"/>
            <w:vAlign w:val="bottom"/>
            <w:tcBorders>
              <w:top w:val="single" w:sz="8" w:color="CCEEFF"/>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CCEEFF"/>
            </w:tcBorders>
          </w:tcPr>
          <w:p>
            <w:pPr>
              <w:jc w:val="right"/>
              <w:ind w:right="32"/>
              <w:spacing w:after="0"/>
              <w:rPr>
                <w:sz w:val="20"/>
                <w:szCs w:val="20"/>
                <w:color w:val="auto"/>
              </w:rPr>
            </w:pPr>
            <w:r>
              <w:rPr>
                <w:rFonts w:ascii="Times New Roman" w:cs="Times New Roman" w:eastAsia="Times New Roman" w:hAnsi="Times New Roman"/>
                <w:sz w:val="18"/>
                <w:szCs w:val="18"/>
                <w:color w:val="auto"/>
              </w:rPr>
              <w:t>2,064,531</w:t>
            </w:r>
          </w:p>
        </w:tc>
      </w:tr>
      <w:tr>
        <w:trPr>
          <w:trHeight w:val="27"/>
        </w:trPr>
        <w:tc>
          <w:tcPr>
            <w:tcW w:w="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shd w:val="clear" w:color="auto" w:fill="CCEEFF"/>
              </w:rPr>
              <w:t>Canada</w:t>
            </w:r>
          </w:p>
        </w:tc>
        <w:tc>
          <w:tcPr>
            <w:tcW w:w="2700" w:type="dxa"/>
            <w:vAlign w:val="bottom"/>
            <w:tcBorders>
              <w:bottom w:val="single" w:sz="8" w:color="CCEEFF"/>
            </w:tcBorders>
            <w:gridSpan w:val="2"/>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305,526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71,336</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706</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377,568</w:t>
            </w:r>
          </w:p>
        </w:tc>
      </w:tr>
      <w:tr>
        <w:trPr>
          <w:trHeight w:val="237"/>
        </w:trPr>
        <w:tc>
          <w:tcPr>
            <w:tcW w:w="42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Total third-party revenues</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top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1,468,417</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972,534</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1,148</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2,442,099</w:t>
            </w:r>
          </w:p>
        </w:tc>
      </w:tr>
      <w:tr>
        <w:trPr>
          <w:trHeight w:val="27"/>
        </w:trPr>
        <w:tc>
          <w:tcPr>
            <w:tcW w:w="2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77"/>
        </w:trPr>
        <w:tc>
          <w:tcPr>
            <w:tcW w:w="2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03"/>
        </w:trPr>
        <w:tc>
          <w:tcPr>
            <w:tcW w:w="4220" w:type="dxa"/>
            <w:vAlign w:val="bottom"/>
            <w:gridSpan w:val="4"/>
          </w:tcPr>
          <w:p>
            <w:pPr>
              <w:ind w:left="20"/>
              <w:spacing w:after="0" w:line="202" w:lineRule="exact"/>
              <w:rPr>
                <w:sz w:val="20"/>
                <w:szCs w:val="20"/>
                <w:color w:val="auto"/>
              </w:rPr>
            </w:pPr>
            <w:r>
              <w:rPr>
                <w:rFonts w:ascii="Times New Roman" w:cs="Times New Roman" w:eastAsia="Times New Roman" w:hAnsi="Times New Roman"/>
                <w:sz w:val="17"/>
                <w:szCs w:val="17"/>
                <w:b w:val="1"/>
                <w:bCs w:val="1"/>
                <w:color w:val="auto"/>
              </w:rPr>
              <w:t xml:space="preserve">Sources of Revenue </w:t>
            </w:r>
            <w:r>
              <w:rPr>
                <w:rFonts w:ascii="Times New Roman" w:cs="Times New Roman" w:eastAsia="Times New Roman" w:hAnsi="Times New Roman"/>
                <w:sz w:val="23"/>
                <w:szCs w:val="23"/>
                <w:color w:val="auto"/>
                <w:vertAlign w:val="superscript"/>
              </w:rPr>
              <w:t>(1)</w:t>
            </w:r>
          </w:p>
        </w:tc>
        <w:tc>
          <w:tcPr>
            <w:tcW w:w="1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1500" w:type="dxa"/>
            <w:vAlign w:val="bottom"/>
            <w:tcBorders>
              <w:top w:val="single" w:sz="8" w:color="auto"/>
            </w:tcBorders>
          </w:tcPr>
          <w:p>
            <w:pPr>
              <w:spacing w:after="0"/>
              <w:rPr>
                <w:sz w:val="4"/>
                <w:szCs w:val="4"/>
                <w:color w:val="auto"/>
              </w:rPr>
            </w:pPr>
          </w:p>
        </w:tc>
        <w:tc>
          <w:tcPr>
            <w:tcW w:w="940" w:type="dxa"/>
            <w:vAlign w:val="bottom"/>
          </w:tcPr>
          <w:p>
            <w:pPr>
              <w:spacing w:after="0"/>
              <w:rPr>
                <w:sz w:val="4"/>
                <w:szCs w:val="4"/>
                <w:color w:val="auto"/>
              </w:rPr>
            </w:pPr>
          </w:p>
        </w:tc>
        <w:tc>
          <w:tcPr>
            <w:tcW w:w="1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50"/>
        </w:trPr>
        <w:tc>
          <w:tcPr>
            <w:tcW w:w="422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Technical Services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758,081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758,081</w:t>
            </w:r>
          </w:p>
        </w:tc>
      </w:tr>
      <w:tr>
        <w:trPr>
          <w:trHeight w:val="243"/>
        </w:trPr>
        <w:tc>
          <w:tcPr>
            <w:tcW w:w="42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Field and Emergency Response Services</w:t>
            </w:r>
          </w:p>
        </w:tc>
        <w:tc>
          <w:tcPr>
            <w:tcW w:w="120" w:type="dxa"/>
            <w:vAlign w:val="bottom"/>
          </w:tcPr>
          <w:p>
            <w:pPr>
              <w:spacing w:after="0"/>
              <w:rPr>
                <w:sz w:val="21"/>
                <w:szCs w:val="21"/>
                <w:color w:val="auto"/>
              </w:rPr>
            </w:pPr>
          </w:p>
        </w:tc>
        <w:tc>
          <w:tcPr>
            <w:tcW w:w="16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223,052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223,052</w:t>
            </w:r>
          </w:p>
        </w:tc>
      </w:tr>
      <w:tr>
        <w:trPr>
          <w:trHeight w:val="27"/>
        </w:trPr>
        <w:tc>
          <w:tcPr>
            <w:tcW w:w="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22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Industrial Services</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399,132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399,132</w:t>
            </w:r>
          </w:p>
        </w:tc>
      </w:tr>
      <w:tr>
        <w:trPr>
          <w:trHeight w:val="243"/>
        </w:trPr>
        <w:tc>
          <w:tcPr>
            <w:tcW w:w="42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Oil, Gas and Lodging Services and Other</w:t>
            </w:r>
          </w:p>
        </w:tc>
        <w:tc>
          <w:tcPr>
            <w:tcW w:w="120" w:type="dxa"/>
            <w:vAlign w:val="bottom"/>
          </w:tcPr>
          <w:p>
            <w:pPr>
              <w:spacing w:after="0"/>
              <w:rPr>
                <w:sz w:val="21"/>
                <w:szCs w:val="21"/>
                <w:color w:val="auto"/>
              </w:rPr>
            </w:pPr>
          </w:p>
        </w:tc>
        <w:tc>
          <w:tcPr>
            <w:tcW w:w="16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88,152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4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1,148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89,300</w:t>
            </w:r>
          </w:p>
        </w:tc>
      </w:tr>
      <w:tr>
        <w:trPr>
          <w:trHeight w:val="27"/>
        </w:trPr>
        <w:tc>
          <w:tcPr>
            <w:tcW w:w="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22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Safety-Kleen Environmental Services</w:t>
            </w:r>
          </w:p>
        </w:tc>
        <w:tc>
          <w:tcPr>
            <w:tcW w:w="1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594,876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594,876</w:t>
            </w:r>
          </w:p>
        </w:tc>
      </w:tr>
      <w:tr>
        <w:trPr>
          <w:trHeight w:val="270"/>
        </w:trPr>
        <w:tc>
          <w:tcPr>
            <w:tcW w:w="4220" w:type="dxa"/>
            <w:vAlign w:val="bottom"/>
            <w:gridSpan w:val="4"/>
          </w:tcPr>
          <w:p>
            <w:pPr>
              <w:ind w:left="20"/>
              <w:spacing w:after="0" w:line="270" w:lineRule="exact"/>
              <w:rPr>
                <w:sz w:val="20"/>
                <w:szCs w:val="20"/>
                <w:color w:val="auto"/>
              </w:rPr>
            </w:pPr>
            <w:r>
              <w:rPr>
                <w:rFonts w:ascii="Times New Roman" w:cs="Times New Roman" w:eastAsia="Times New Roman" w:hAnsi="Times New Roman"/>
                <w:sz w:val="18"/>
                <w:szCs w:val="18"/>
                <w:color w:val="auto"/>
              </w:rPr>
              <w:t xml:space="preserve">Safety-Kleen Oil </w:t>
            </w:r>
            <w:r>
              <w:rPr>
                <w:rFonts w:ascii="Times New Roman" w:cs="Times New Roman" w:eastAsia="Times New Roman" w:hAnsi="Times New Roman"/>
                <w:sz w:val="25"/>
                <w:szCs w:val="25"/>
                <w:color w:val="auto"/>
                <w:vertAlign w:val="superscript"/>
              </w:rPr>
              <w:t>(2)</w:t>
            </w:r>
          </w:p>
        </w:tc>
        <w:tc>
          <w:tcPr>
            <w:tcW w:w="120" w:type="dxa"/>
            <w:vAlign w:val="bottom"/>
          </w:tcPr>
          <w:p>
            <w:pPr>
              <w:spacing w:after="0"/>
              <w:rPr>
                <w:sz w:val="23"/>
                <w:szCs w:val="23"/>
                <w:color w:val="auto"/>
              </w:rPr>
            </w:pPr>
          </w:p>
        </w:tc>
        <w:tc>
          <w:tcPr>
            <w:tcW w:w="17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15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377,658</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3"/>
                <w:szCs w:val="23"/>
                <w:color w:val="auto"/>
              </w:rPr>
            </w:pP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377,658</w:t>
            </w:r>
          </w:p>
        </w:tc>
      </w:tr>
      <w:tr>
        <w:trPr>
          <w:trHeight w:val="244"/>
        </w:trPr>
        <w:tc>
          <w:tcPr>
            <w:tcW w:w="4220" w:type="dxa"/>
            <w:vAlign w:val="bottom"/>
            <w:tcBorders>
              <w:top w:val="single" w:sz="8" w:color="CCEEFF"/>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third-party revenues</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top w:val="single" w:sz="8" w:color="auto"/>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1,468,417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972,534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1,148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2,442,099</w:t>
            </w:r>
          </w:p>
        </w:tc>
      </w:tr>
      <w:tr>
        <w:trPr>
          <w:trHeight w:val="20"/>
        </w:trPr>
        <w:tc>
          <w:tcPr>
            <w:tcW w:w="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121" w:right="239" w:bottom="1440" w:gutter="0" w:footer="0" w:header="0"/>
          <w:type w:val="continuous"/>
        </w:sectPr>
      </w:pPr>
    </w:p>
    <w:bookmarkStart w:id="12" w:name="page13"/>
    <w:bookmarkEnd w:id="1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w:t>
      </w:r>
    </w:p>
    <w:p>
      <w:pPr>
        <w:spacing w:after="0" w:line="27" w:lineRule="exact"/>
        <w:rPr>
          <w:sz w:val="20"/>
          <w:szCs w:val="20"/>
          <w:color w:val="auto"/>
        </w:rPr>
      </w:pPr>
    </w:p>
    <w:p>
      <w:pPr>
        <w:ind w:left="660" w:right="180" w:hanging="328"/>
        <w:spacing w:after="0" w:line="255"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revenue except oil and oil product sales within Safety-Kleen Oil and product sales within Safety-Kleen Environmental Services, which include various automotive related fluids, shop supplies and direct blended oil sales, are recognized over time. Safety-Kleen Oil and Safety-Kleen Environmental Services product sales are recognized at a point in time.</w:t>
      </w:r>
    </w:p>
    <w:p>
      <w:pPr>
        <w:spacing w:after="0" w:line="10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Safety-Kleen Oil was formerly known as Kleen Performance Products.</w:t>
      </w:r>
    </w:p>
    <w:p>
      <w:pPr>
        <w:spacing w:after="0" w:line="140"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Technical Services. </w:t>
      </w:r>
      <w:r>
        <w:rPr>
          <w:rFonts w:ascii="Times New Roman" w:cs="Times New Roman" w:eastAsia="Times New Roman" w:hAnsi="Times New Roman"/>
          <w:sz w:val="18"/>
          <w:szCs w:val="18"/>
          <w:color w:val="auto"/>
        </w:rPr>
        <w:t>Technical Services revenues are generated from fees charged for waste material management and disposal services including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onsite environmental management services, collection and transportation, packaging, recycling, treatment and disposal of waste. Revenue is primarily generated by short-term projects, most of which are governed by master service agreements that are long-term in nature. These master service agreements are typically entered into with the Company's larger customers and outline the pricing and legal frameworks for such arrangements. Services are provided based on purchase orders or agreements with the customer and include prices based upon units of volume of waste and transportation and other fees. Collection and transportation revenues are recognized over time, as the customer receives and consumes the benefits of the services as they are being performed and the Company has a right to payment for performance completed to date. The Company uses the input method to recognize revenue over time, based on time and materials incurred. Revenues for treatment and disposal of waste are recognized upon completion of treatment, final disposition in a landfill or incineration or when the waste is shipped to a third party for processing and disposal. The Company periodically enters into bundled arrangements for the collection and transportation and disposal of waste. For such arrangements, transportation and disposal are considered distinct performance obligations and the Company allocates revenue to each based on their relative standalone selling price (i.e., the estimated price that a customer would pay for the services on a standalone basis). Revenues from waste that is not yet completely processed and disposed and the related costs are deferred. The revenue is recognized and the deferred costs are expensed when the related services are completed. The period between collection and transportation and the final processing and disposal ranges depending on the location of the customer, but generally is measured in days.</w:t>
      </w:r>
    </w:p>
    <w:p>
      <w:pPr>
        <w:spacing w:after="0" w:line="105"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Field and Emergency Response Services. </w:t>
      </w:r>
      <w:r>
        <w:rPr>
          <w:rFonts w:ascii="Times New Roman" w:cs="Times New Roman" w:eastAsia="Times New Roman" w:hAnsi="Times New Roman"/>
          <w:sz w:val="18"/>
          <w:szCs w:val="18"/>
          <w:color w:val="auto"/>
        </w:rPr>
        <w:t>Field Services revenues are generated from cleanup services at customer sites, including municipalities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utilities, or other locations on a scheduled or emergency response basis. Services include confined space entry for tank cleaning, site decontamination, large remediation projects, demolition, spill cleanup on land and water, railcar cleaning, product recovery and transfer and vacuum services. Additional services include filtration and water treatment services. Response services for environmental emergencies include any scale from man-made disasters such as oil spills, to natural disasters such as hurricanes. These services are provided based on purchase orders or agreements with customers and include prices generally based upon daily, hourly or job rates for equipment, materials and personnel. The Company recognizes revenue for these services over time, as the customer receives and consumes the benefits of the service as they are being performed and the Company has a right to payment for performance completed to date. The Company uses the input method to recognize revenue over time, based on time and materials incurred. The duration of such services can be over a number of hours, days or even months for larger scale projects.</w:t>
      </w:r>
    </w:p>
    <w:p>
      <w:pPr>
        <w:spacing w:after="0" w:line="101"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Industrial Services. </w:t>
      </w:r>
      <w:r>
        <w:rPr>
          <w:rFonts w:ascii="Times New Roman" w:cs="Times New Roman" w:eastAsia="Times New Roman" w:hAnsi="Times New Roman"/>
          <w:sz w:val="18"/>
          <w:szCs w:val="18"/>
          <w:color w:val="auto"/>
        </w:rPr>
        <w:t>Industrial Services revenues are generated from industrial and specialty services provided to refineries, mines, upgraders,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chemical plants, pulp and paper mills, manufacturing facilities, power generation facilities and other industrial customers throughout North America. Services include in-plant cleaning and maintenance services, plant outage and turnaround services, decoking and pigging, chemical cleaning, high and ultra-high pressure water cleaning, pipeline inspection and coating services, large tank and surface impoundment cleaning, oilfield transport, daylighting, production services and directional boring services supporting drilling, completions and production programs. These services are provided based on purchase orders or agreements with the customer and include prices based upon daily, hourly or job rates for equipment, materials and personnel. The Company recognizes revenue for these services over time, as the customer receives and consumes the benefits of the services as they are being performed and the Company has a right to payment for performance completed to date. The Company uses the input method to recognize revenue over time, based on time and materials incurred.</w:t>
      </w:r>
    </w:p>
    <w:p>
      <w:pPr>
        <w:spacing w:after="0" w:line="101" w:lineRule="exact"/>
        <w:rPr>
          <w:sz w:val="20"/>
          <w:szCs w:val="20"/>
          <w:color w:val="auto"/>
        </w:rPr>
      </w:pPr>
    </w:p>
    <w:p>
      <w:pPr>
        <w:ind w:right="100" w:firstLine="648"/>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 xml:space="preserve">Oil, Gas and Lodging Services and Other. </w:t>
      </w:r>
      <w:r>
        <w:rPr>
          <w:rFonts w:ascii="Times New Roman" w:cs="Times New Roman" w:eastAsia="Times New Roman" w:hAnsi="Times New Roman"/>
          <w:sz w:val="17"/>
          <w:szCs w:val="17"/>
          <w:color w:val="auto"/>
        </w:rPr>
        <w:t>Oil, Gas and Lodging Services and Other is primarily comprised of revenues generated from providing</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Oil and Gas Field Services that support upstream activities such as exploration and drilling for oil and gas companies and Lodging Services to customers in Western Canada. The Company recognizes Oil and Gas Field Services revenue over time, as the customer receives and consumes the benefits of the services as they are being performed and the Company has a right to payment for performance completed to date. The Company uses the input method to recognize revenue over time, based on time and materials incurred. Revenue for lodging accommodation services is recognized over time based on passage of time.</w:t>
      </w:r>
    </w:p>
    <w:p>
      <w:pPr>
        <w:spacing w:after="0" w:line="83" w:lineRule="exact"/>
        <w:rPr>
          <w:sz w:val="20"/>
          <w:szCs w:val="20"/>
          <w:color w:val="auto"/>
        </w:rPr>
      </w:pPr>
    </w:p>
    <w:p>
      <w:pPr>
        <w:ind w:right="60"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Safety-Kleen Environmental Services. </w:t>
      </w:r>
      <w:r>
        <w:rPr>
          <w:rFonts w:ascii="Times New Roman" w:cs="Times New Roman" w:eastAsia="Times New Roman" w:hAnsi="Times New Roman"/>
          <w:sz w:val="18"/>
          <w:szCs w:val="18"/>
          <w:color w:val="auto"/>
        </w:rPr>
        <w:t>Safety-Kleen Environmental Services revenues are generated from providing parts washer services,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containerized waste handling and disposal services, oil collection services, direct sales of blended oil products and other complementary services and product sales through a network of branch locations. Containerized waste services consist of profiling, collecting, transporting and recycling or disposing of a wide variety of waste. Other products and services include vacuum services, sale of complementary supply products including automotive fluids and shop supplies and other environmental services.</w:t>
      </w:r>
    </w:p>
    <w:p>
      <w:pPr>
        <w:spacing w:after="0" w:line="3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00"/>
          </w:cols>
          <w:pgMar w:left="240" w:top="121" w:right="259" w:bottom="1440" w:gutter="0" w:footer="0" w:header="0"/>
        </w:sectPr>
      </w:pPr>
    </w:p>
    <w:bookmarkStart w:id="13" w:name="page14"/>
    <w:bookmarkEnd w:id="1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Revenues from parts washer services include fees charged to customers for their use of parts washer equipment, to clean and maintain parts washer equipment and to remove and replace used cleaning fluids. Parts washer services are considered a single performance obligation due to the highly integrated and interdependent nature of the arrangement. Revenue from parts washer services is recognized over the service interval as the customer receives the benefit of the services. Collection and transportation revenues are recognized over time, as the customer receives and consumes the benefits of the services as they are being performed and the Company has a right to payment for performance completed to date. The Company uses the input method to recognize revenue over time, based on time and materials incurred. Product revenue is recognized upon the transfer of control whereby control transfers when the products are delivered to the customer.</w:t>
      </w:r>
    </w:p>
    <w:p>
      <w:pPr>
        <w:spacing w:after="0" w:line="104" w:lineRule="exact"/>
        <w:rPr>
          <w:sz w:val="20"/>
          <w:szCs w:val="20"/>
          <w:color w:val="auto"/>
        </w:rPr>
      </w:pPr>
    </w:p>
    <w:p>
      <w:pPr>
        <w:ind w:right="60"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Safety-Kleen Oil. </w:t>
      </w:r>
      <w:r>
        <w:rPr>
          <w:rFonts w:ascii="Times New Roman" w:cs="Times New Roman" w:eastAsia="Times New Roman" w:hAnsi="Times New Roman"/>
          <w:sz w:val="18"/>
          <w:szCs w:val="18"/>
          <w:color w:val="auto"/>
        </w:rPr>
        <w:t>Safety-Kleen Oil revenues are generated from sales of high-quality base and blended lubricating oils to third-party distributors,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government agencies, fleets, railroads and industrial customers. The business also sells recycled fuel oil to asphalt plants, industrial plants, blenders, pulp and paper companies, vacuum gas oil producers and marine diesel oil producers. Revenue for oil products is recognized at a point in time, upon the transfer of control. Control generally transfers when the products are delivered to the customer.</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Balances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7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(in thousands)</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September 30, 2019</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December 31, 2018</w:t>
            </w:r>
          </w:p>
        </w:tc>
      </w:tr>
      <w:tr>
        <w:trPr>
          <w:trHeight w:val="249"/>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Receivables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641,667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606,952</w:t>
            </w:r>
          </w:p>
        </w:tc>
      </w:tr>
      <w:tr>
        <w:trPr>
          <w:trHeight w:val="243"/>
        </w:trPr>
        <w:tc>
          <w:tcPr>
            <w:tcW w:w="7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Contract assets (unbilled receivables)</w:t>
            </w:r>
          </w:p>
        </w:tc>
        <w:tc>
          <w:tcPr>
            <w:tcW w:w="180" w:type="dxa"/>
            <w:vAlign w:val="bottom"/>
          </w:tcPr>
          <w:p>
            <w:pPr>
              <w:spacing w:after="0"/>
              <w:rPr>
                <w:sz w:val="21"/>
                <w:szCs w:val="21"/>
                <w:color w:val="auto"/>
              </w:rPr>
            </w:pPr>
          </w:p>
        </w:tc>
        <w:tc>
          <w:tcPr>
            <w:tcW w:w="15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58,842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54,794</w:t>
            </w:r>
          </w:p>
        </w:tc>
      </w:tr>
      <w:tr>
        <w:trPr>
          <w:trHeight w:val="27"/>
        </w:trPr>
        <w:tc>
          <w:tcPr>
            <w:tcW w:w="7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43"/>
        </w:trPr>
        <w:tc>
          <w:tcPr>
            <w:tcW w:w="79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Contract liabilities (deferred revenue)</w:t>
            </w:r>
          </w:p>
        </w:tc>
        <w:tc>
          <w:tcPr>
            <w:tcW w:w="180" w:type="dxa"/>
            <w:vAlign w:val="bottom"/>
            <w:shd w:val="clear" w:color="auto" w:fill="CCEEFF"/>
          </w:tcPr>
          <w:p>
            <w:pPr>
              <w:spacing w:after="0"/>
              <w:rPr>
                <w:sz w:val="21"/>
                <w:szCs w:val="21"/>
                <w:color w:val="auto"/>
              </w:rPr>
            </w:pPr>
          </w:p>
        </w:tc>
        <w:tc>
          <w:tcPr>
            <w:tcW w:w="15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73,157</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61,843</w:t>
            </w:r>
          </w:p>
        </w:tc>
      </w:tr>
      <w:tr>
        <w:trPr>
          <w:trHeight w:val="27"/>
        </w:trPr>
        <w:tc>
          <w:tcPr>
            <w:tcW w:w="7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r>
    </w:tbl>
    <w:p>
      <w:pPr>
        <w:spacing w:after="0" w:line="333"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The timing of revenue recognition, billings and cash collections results in billed accounts receivable, unbilled receivables (contract assets) and customer advances and deposits or deferred revenue (contract liabilities) on the consolidated balance sheets. Generally, billing occurs subsequent to revenue recognition, as a right to payment is not just subject to passage of time, resulting in contract assets. Contract assets are generally classified as current. The Company sometimes receives advances or deposits from its customers before revenue is recognized, resulting in contract liabilities. These assets and liabilities are reported on the consolidated balance sheets on a contract-by-contract basis at the end of each reporting period. The contract liability balances at the beginning of each period presented were fully recognized in the subsequent three-month period.</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Variable Consideration</w:t>
      </w:r>
    </w:p>
    <w:p>
      <w:pPr>
        <w:spacing w:after="0" w:line="148"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The nature of the Company's contracts give rise to certain types of variable consideration, including in limited cases volume discounts. Accordingly, management establishes a revenue allowance to cover the estimated amounts of revenue that may need to be credited to customers' accounts in future periods. The Company estimates the amount of variable consideration to include in the estimated transaction price based on historical experience, anticipated performance and its best judgment at the time and to the extent it is probable that a significant reversal of cumulative revenue recognized will not occur when the uncertainty associated with the variable consideration is resolved.</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Costs</w:t>
      </w:r>
    </w:p>
    <w:p>
      <w:pPr>
        <w:spacing w:after="0" w:line="148"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Contract costs include direct and incremental costs to obtain or fulfill a contract. The Company’s contract costs that are subject to capitalization are comprised of costs associated with parts washer services and costs associated with the treatment and disposal of waste. Parts washer costs include costs of solvent, commissions paid relating to revenue generated from parts washer services and transportation costs associated with transferring the product picked up from the services as it is returned to the Company’s facilities or a third-party site. Costs related to the treatment of waste include costs for waste receiving, drum movement and storage, waste consolidation and transportation between facilities. Deferred costs associated with parts washer services are amortized ratably over the average service interval, which ranges between seven and 14 weeks. Deferred costs related to treatment and disposal of waste are recognized when the corresponding waste is disposed of and are included in deferred costs within total current assets in the Company’s Consolidated Balance Sheets. The deferred contract cost balances at the beginning of each period presented were fully recognized in cost of revenue in the subsequent three-month period.</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BUSINESS COMBINATIONS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2019 Acquisitions</w:t>
      </w:r>
    </w:p>
    <w:p>
      <w:pPr>
        <w:spacing w:after="0" w:line="94"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On May 31, 2019, the Company acquired a privately-owned business which expands the environmental services and hazardous materials management services of the Company for $14.9 million. The acquired company is included in the Environmental Services segment. In connection with this acquisition, a preliminary goodwill amount of $7.5 million was recognized.</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121" w:right="239" w:bottom="1440" w:gutter="0" w:footer="0" w:header="0"/>
        </w:sectPr>
      </w:pPr>
    </w:p>
    <w:bookmarkStart w:id="14" w:name="page15"/>
    <w:bookmarkEnd w:id="1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jc w:val="both"/>
        <w:ind w:right="220" w:firstLine="648"/>
        <w:spacing w:after="0" w:line="266" w:lineRule="auto"/>
        <w:rPr>
          <w:sz w:val="20"/>
          <w:szCs w:val="20"/>
          <w:color w:val="auto"/>
        </w:rPr>
      </w:pPr>
      <w:r>
        <w:rPr>
          <w:rFonts w:ascii="Times New Roman" w:cs="Times New Roman" w:eastAsia="Times New Roman" w:hAnsi="Times New Roman"/>
          <w:sz w:val="18"/>
          <w:szCs w:val="18"/>
          <w:color w:val="auto"/>
        </w:rPr>
        <w:t>On March 1, 2019, the Company acquired certain assets of a privately-owned business for $10.4 million. The acquired business complements the Safety-Kleen segment's core service offerings, such as used motor oil collection, parts washers, oil filter recycling and vacuum services. In connection with this acquisition, a preliminary goodwill amount of $5.2 million was recognized.</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2018 Acquisitions</w:t>
      </w:r>
    </w:p>
    <w:p>
      <w:pPr>
        <w:spacing w:after="0" w:line="121"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On August 31, 2018, the Company acquired a privately-owned business which expands the environmental services and waste oil capabilities of the Company for a $26.7 million purchase price, net of cash. The acquired company is included in the Safety-Kleen and Environmental Services segments. In connection with this acquisition, a goodwill amount of $12.3 million was recognized. The results of operations of this acquired business were not material in 2019.</w:t>
      </w:r>
    </w:p>
    <w:p>
      <w:pPr>
        <w:spacing w:after="0" w:line="99"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On February 23, 2018, the Company completed the acquisition of the U.S. Industrial Cleaning Business of Veolia Environmental Services North America LLC (the "Veolia Business"). The acquisition provides significant scale and industrial services capabilities while increasing the size of the Company's existing U.S. Industrial Services business. The Company acquired the Veolia Business for a purchase price of $124.5 million. The amount of pre-tax (loss) income for the three and nine months ended September 30, 2018 was $(0.8) million and $2.5 million, respectively. The Veolia Business was integrated into the Environmental Services segment.</w:t>
      </w:r>
    </w:p>
    <w:p>
      <w:pPr>
        <w:spacing w:after="0" w:line="103"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Company finalized purchase accounting for the Veolia Business in the first quarter of 2019. The components and allocation of the purchase price for the Veolia Business consist of the following amounts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8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Final Allocation</w:t>
            </w:r>
          </w:p>
        </w:tc>
      </w:tr>
      <w:tr>
        <w:trPr>
          <w:trHeight w:val="249"/>
        </w:trPr>
        <w:tc>
          <w:tcPr>
            <w:tcW w:w="9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Accounts receivable, including unbilled receivables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39,558</w:t>
            </w:r>
          </w:p>
        </w:tc>
      </w:tr>
      <w:tr>
        <w:trPr>
          <w:trHeight w:val="243"/>
        </w:trPr>
        <w:tc>
          <w:tcPr>
            <w:tcW w:w="9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Inventories and supplies</w:t>
            </w:r>
          </w:p>
        </w:tc>
        <w:tc>
          <w:tcPr>
            <w:tcW w:w="2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1,126</w:t>
            </w:r>
          </w:p>
        </w:tc>
      </w:tr>
      <w:tr>
        <w:trPr>
          <w:trHeight w:val="27"/>
        </w:trPr>
        <w:tc>
          <w:tcPr>
            <w:tcW w:w="9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828</w:t>
            </w:r>
          </w:p>
        </w:tc>
      </w:tr>
      <w:tr>
        <w:trPr>
          <w:trHeight w:val="243"/>
        </w:trPr>
        <w:tc>
          <w:tcPr>
            <w:tcW w:w="9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2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72,243</w:t>
            </w:r>
          </w:p>
        </w:tc>
      </w:tr>
      <w:tr>
        <w:trPr>
          <w:trHeight w:val="27"/>
        </w:trPr>
        <w:tc>
          <w:tcPr>
            <w:tcW w:w="9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Permits and other intangibles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5,140</w:t>
            </w:r>
          </w:p>
        </w:tc>
      </w:tr>
      <w:tr>
        <w:trPr>
          <w:trHeight w:val="243"/>
        </w:trPr>
        <w:tc>
          <w:tcPr>
            <w:tcW w:w="9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(18,372)</w:t>
            </w:r>
          </w:p>
        </w:tc>
      </w:tr>
      <w:tr>
        <w:trPr>
          <w:trHeight w:val="27"/>
        </w:trPr>
        <w:tc>
          <w:tcPr>
            <w:tcW w:w="9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9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Closure and post-closure liabilities</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w:t>
            </w:r>
          </w:p>
        </w:tc>
      </w:tr>
      <w:tr>
        <w:trPr>
          <w:trHeight w:val="237"/>
        </w:trPr>
        <w:tc>
          <w:tcPr>
            <w:tcW w:w="9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identifiable net assets</w:t>
            </w: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100,169</w:t>
            </w:r>
          </w:p>
        </w:tc>
      </w:tr>
      <w:tr>
        <w:trPr>
          <w:trHeight w:val="27"/>
        </w:trPr>
        <w:tc>
          <w:tcPr>
            <w:tcW w:w="9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9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Goodwill</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24,331</w:t>
            </w:r>
          </w:p>
        </w:tc>
      </w:tr>
      <w:tr>
        <w:trPr>
          <w:trHeight w:val="257"/>
        </w:trPr>
        <w:tc>
          <w:tcPr>
            <w:tcW w:w="9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purchase price</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124,500</w:t>
            </w:r>
          </w:p>
        </w:tc>
      </w:tr>
      <w:tr>
        <w:trPr>
          <w:trHeight w:val="20"/>
        </w:trPr>
        <w:tc>
          <w:tcPr>
            <w:tcW w:w="98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The weighted average amortization period for the intangibles acquired is 8.2 years. The excess of the total purchase price, which includes the aggregate cash consideration paid in excess of the fair value of the tangible net assets and intangible assets acquired, was recorded as goodwill. The goodwill recognized is attributable to the expected operating synergies and growth potential that the Company expects to realize from this acquisition. Goodwill generated from the acquisition is deductible for tax purposes.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INVENTORIES AND SUPPLIES</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Inventories and supplies consisted of the following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2019</w:t>
            </w:r>
          </w:p>
        </w:tc>
        <w:tc>
          <w:tcPr>
            <w:tcW w:w="160" w:type="dxa"/>
            <w:vAlign w:val="bottom"/>
          </w:tcPr>
          <w:p>
            <w:pPr>
              <w:spacing w:after="0"/>
              <w:rPr>
                <w:sz w:val="16"/>
                <w:szCs w:val="16"/>
                <w:color w:val="auto"/>
              </w:rPr>
            </w:pPr>
          </w:p>
        </w:tc>
        <w:tc>
          <w:tcPr>
            <w:tcW w:w="142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December 31, 2018</w:t>
            </w:r>
          </w:p>
        </w:tc>
      </w:tr>
      <w:tr>
        <w:trPr>
          <w:trHeight w:val="249"/>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Oil and oil products</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75,171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70,823</w:t>
            </w: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Supplies and drums</w:t>
            </w:r>
          </w:p>
        </w:tc>
        <w:tc>
          <w:tcPr>
            <w:tcW w:w="140" w:type="dxa"/>
            <w:vAlign w:val="bottom"/>
          </w:tcPr>
          <w:p>
            <w:pPr>
              <w:spacing w:after="0"/>
              <w:rPr>
                <w:sz w:val="21"/>
                <w:szCs w:val="21"/>
                <w:color w:val="auto"/>
              </w:rPr>
            </w:pPr>
          </w:p>
        </w:tc>
        <w:tc>
          <w:tcPr>
            <w:tcW w:w="14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112,220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104,609</w:t>
            </w:r>
          </w:p>
        </w:tc>
      </w:tr>
      <w:tr>
        <w:trPr>
          <w:trHeight w:val="27"/>
        </w:trPr>
        <w:tc>
          <w:tcPr>
            <w:tcW w:w="8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Solvent and solutions</w:t>
            </w: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9,905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10,657</w:t>
            </w: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Pr>
          <w:p>
            <w:pPr>
              <w:spacing w:after="0"/>
              <w:rPr>
                <w:sz w:val="21"/>
                <w:szCs w:val="21"/>
                <w:color w:val="auto"/>
              </w:rPr>
            </w:pPr>
          </w:p>
        </w:tc>
        <w:tc>
          <w:tcPr>
            <w:tcW w:w="14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13,531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13,390</w:t>
            </w:r>
          </w:p>
        </w:tc>
      </w:tr>
      <w:tr>
        <w:trPr>
          <w:trHeight w:val="27"/>
        </w:trPr>
        <w:tc>
          <w:tcPr>
            <w:tcW w:w="8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inventories and supplies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210,827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199,479</w:t>
            </w:r>
          </w:p>
        </w:tc>
      </w:tr>
      <w:tr>
        <w:trPr>
          <w:trHeight w:val="20"/>
        </w:trPr>
        <w:tc>
          <w:tcPr>
            <w:tcW w:w="8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Supplies and drums consisted primarily of drums and containers used in providing the Company's products and services as well as critical spare parts to support the Company's incinerator and re-refinery operations. Other inventories consisted primarily of parts washer components, cleaning fluids, absorbents and automotive fluids, such as windshield washer fluid and antifreeze.</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121" w:right="239" w:bottom="1440" w:gutter="0" w:footer="0" w:header="0"/>
        </w:sectPr>
      </w:pPr>
    </w:p>
    <w:bookmarkStart w:id="15" w:name="page16"/>
    <w:bookmarkEnd w:id="1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PROPERTY, PLANT AND EQUIPMENT</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Property, plant and equipment consisted of the following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2019</w:t>
            </w:r>
          </w:p>
        </w:tc>
        <w:tc>
          <w:tcPr>
            <w:tcW w:w="160" w:type="dxa"/>
            <w:vAlign w:val="bottom"/>
          </w:tcPr>
          <w:p>
            <w:pPr>
              <w:spacing w:after="0"/>
              <w:rPr>
                <w:sz w:val="16"/>
                <w:szCs w:val="16"/>
                <w:color w:val="auto"/>
              </w:rPr>
            </w:pPr>
          </w:p>
        </w:tc>
        <w:tc>
          <w:tcPr>
            <w:tcW w:w="1420" w:type="dxa"/>
            <w:vAlign w:val="bottom"/>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0" w:type="dxa"/>
            <w:vAlign w:val="bottom"/>
          </w:tcPr>
          <w:p>
            <w:pPr>
              <w:spacing w:after="0"/>
              <w:rPr>
                <w:sz w:val="1"/>
                <w:szCs w:val="1"/>
                <w:color w:val="auto"/>
              </w:rPr>
            </w:pPr>
          </w:p>
        </w:tc>
      </w:tr>
      <w:tr>
        <w:trPr>
          <w:trHeight w:val="249"/>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Land</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134,809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123,734</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Asset retirement costs (non-landfill)</w:t>
            </w:r>
          </w:p>
        </w:tc>
        <w:tc>
          <w:tcPr>
            <w:tcW w:w="14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15,349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15,148</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Landfill assets</w:t>
            </w: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172,453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154,918</w:t>
            </w:r>
          </w:p>
        </w:tc>
        <w:tc>
          <w:tcPr>
            <w:tcW w:w="0" w:type="dxa"/>
            <w:vAlign w:val="bottom"/>
          </w:tcPr>
          <w:p>
            <w:pPr>
              <w:spacing w:after="0"/>
              <w:rPr>
                <w:sz w:val="1"/>
                <w:szCs w:val="1"/>
                <w:color w:val="auto"/>
              </w:rPr>
            </w:pPr>
          </w:p>
        </w:tc>
      </w:tr>
      <w:tr>
        <w:trPr>
          <w:trHeight w:val="270"/>
        </w:trPr>
        <w:tc>
          <w:tcPr>
            <w:tcW w:w="812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Buildings and improvements </w:t>
            </w:r>
            <w:r>
              <w:rPr>
                <w:rFonts w:ascii="Times New Roman" w:cs="Times New Roman" w:eastAsia="Times New Roman" w:hAnsi="Times New Roman"/>
                <w:sz w:val="25"/>
                <w:szCs w:val="25"/>
                <w:color w:val="auto"/>
                <w:vertAlign w:val="superscript"/>
              </w:rPr>
              <w:t>(1)</w:t>
            </w:r>
          </w:p>
        </w:tc>
        <w:tc>
          <w:tcPr>
            <w:tcW w:w="140" w:type="dxa"/>
            <w:vAlign w:val="bottom"/>
          </w:tcPr>
          <w:p>
            <w:pPr>
              <w:spacing w:after="0"/>
              <w:rPr>
                <w:sz w:val="23"/>
                <w:szCs w:val="23"/>
                <w:color w:val="auto"/>
              </w:rPr>
            </w:pPr>
          </w:p>
        </w:tc>
        <w:tc>
          <w:tcPr>
            <w:tcW w:w="14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485,686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440,188</w:t>
            </w: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Camp equipment</w:t>
            </w: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156,786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152,998</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Vehicles</w:t>
            </w:r>
          </w:p>
        </w:tc>
        <w:tc>
          <w:tcPr>
            <w:tcW w:w="14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786,575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721,735</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Equipment</w:t>
            </w: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1,745,483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1,697,490</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Furniture and fixtures</w:t>
            </w:r>
          </w:p>
        </w:tc>
        <w:tc>
          <w:tcPr>
            <w:tcW w:w="14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5,373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5,453</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Construction in progress</w:t>
            </w:r>
          </w:p>
        </w:tc>
        <w:tc>
          <w:tcPr>
            <w:tcW w:w="1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37,290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20,931</w:t>
            </w:r>
          </w:p>
        </w:tc>
        <w:tc>
          <w:tcPr>
            <w:tcW w:w="0" w:type="dxa"/>
            <w:vAlign w:val="bottom"/>
          </w:tcPr>
          <w:p>
            <w:pPr>
              <w:spacing w:after="0"/>
              <w:rPr>
                <w:sz w:val="1"/>
                <w:szCs w:val="1"/>
                <w:color w:val="auto"/>
              </w:rPr>
            </w:pPr>
          </w:p>
        </w:tc>
      </w:tr>
      <w:tr>
        <w:trPr>
          <w:trHeight w:val="237"/>
        </w:trPr>
        <w:tc>
          <w:tcPr>
            <w:tcW w:w="8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3,539,804</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3,332,595</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Less - accumulated depreciation and amortization</w:t>
            </w:r>
          </w:p>
        </w:tc>
        <w:tc>
          <w:tcPr>
            <w:tcW w:w="1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1,945,811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1,770,617</w:t>
            </w:r>
          </w:p>
        </w:tc>
        <w:tc>
          <w:tcPr>
            <w:tcW w:w="0" w:type="dxa"/>
            <w:vAlign w:val="bottom"/>
          </w:tcPr>
          <w:p>
            <w:pPr>
              <w:spacing w:after="0"/>
              <w:rPr>
                <w:sz w:val="1"/>
                <w:szCs w:val="1"/>
                <w:color w:val="auto"/>
              </w:rPr>
            </w:pPr>
          </w:p>
        </w:tc>
      </w:tr>
      <w:tr>
        <w:trPr>
          <w:trHeight w:val="257"/>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property, plant and equipment, net</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1,593,993</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1,561,978</w:t>
            </w:r>
          </w:p>
        </w:tc>
        <w:tc>
          <w:tcPr>
            <w:tcW w:w="0" w:type="dxa"/>
            <w:vAlign w:val="bottom"/>
          </w:tcPr>
          <w:p>
            <w:pPr>
              <w:spacing w:after="0"/>
              <w:rPr>
                <w:sz w:val="1"/>
                <w:szCs w:val="1"/>
                <w:color w:val="auto"/>
              </w:rPr>
            </w:pPr>
          </w:p>
        </w:tc>
      </w:tr>
      <w:tr>
        <w:trPr>
          <w:trHeight w:val="20"/>
        </w:trPr>
        <w:tc>
          <w:tcPr>
            <w:tcW w:w="8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________________</w:t>
            </w: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81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8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 September 30, 2019 balance inclusive of ROU assets classified as finance leases.</w:t>
            </w: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ind w:right="240" w:firstLine="648"/>
        <w:spacing w:after="0" w:line="258" w:lineRule="auto"/>
        <w:rPr>
          <w:sz w:val="20"/>
          <w:szCs w:val="20"/>
          <w:color w:val="auto"/>
        </w:rPr>
      </w:pPr>
      <w:r>
        <w:rPr>
          <w:rFonts w:ascii="Times New Roman" w:cs="Times New Roman" w:eastAsia="Times New Roman" w:hAnsi="Times New Roman"/>
          <w:sz w:val="18"/>
          <w:szCs w:val="18"/>
          <w:color w:val="auto"/>
        </w:rPr>
        <w:t>Interest in the amount of $0.1 million and $0.3 million was capitalized to property, plant and equipment during the three and nine months ended September 30, 2019, respectively. Interest in the amount of $0.1 million and $0.5 million was capitalized to property, plant and equipment during the three and nine months ended September 30, 2018, respectively. Depreciation expense, inclusive of landfill and finance lease amortization, was $65.3 million and $196.7 million for the three and nine months ended September 30, 2019, respectively. Depreciation expense, inclusive of landfill amortization, was $64.9 million and $194.7 million for the three and nine months ended September 30, 2018, respectively.</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GOODWILL AND OTHER INTANGIBLE ASSETS</w:t>
      </w:r>
    </w:p>
    <w:p>
      <w:pPr>
        <w:spacing w:after="0" w:line="2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changes in goodwill by segment for the nine months ended September 30, 2019 were as follows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Environmental</w:t>
            </w:r>
          </w:p>
        </w:tc>
        <w:tc>
          <w:tcPr>
            <w:tcW w:w="180" w:type="dxa"/>
            <w:vAlign w:val="bottom"/>
          </w:tcPr>
          <w:p>
            <w:pPr>
              <w:spacing w:after="0"/>
              <w:rPr>
                <w:sz w:val="13"/>
                <w:szCs w:val="13"/>
                <w:color w:val="auto"/>
              </w:rPr>
            </w:pPr>
          </w:p>
        </w:tc>
        <w:tc>
          <w:tcPr>
            <w:tcW w:w="11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Safety-Kleen</w:t>
            </w:r>
          </w:p>
        </w:tc>
        <w:tc>
          <w:tcPr>
            <w:tcW w:w="280" w:type="dxa"/>
            <w:vAlign w:val="bottom"/>
          </w:tcPr>
          <w:p>
            <w:pPr>
              <w:spacing w:after="0"/>
              <w:rPr>
                <w:sz w:val="13"/>
                <w:szCs w:val="13"/>
                <w:color w:val="auto"/>
              </w:rPr>
            </w:pPr>
          </w:p>
        </w:tc>
        <w:tc>
          <w:tcPr>
            <w:tcW w:w="980" w:type="dxa"/>
            <w:vAlign w:val="bottom"/>
            <w:vMerge w:val="restart"/>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Totals</w:t>
            </w:r>
          </w:p>
        </w:tc>
        <w:tc>
          <w:tcPr>
            <w:tcW w:w="0" w:type="dxa"/>
            <w:vAlign w:val="bottom"/>
          </w:tcPr>
          <w:p>
            <w:pPr>
              <w:spacing w:after="0"/>
              <w:rPr>
                <w:sz w:val="1"/>
                <w:szCs w:val="1"/>
                <w:color w:val="auto"/>
              </w:rPr>
            </w:pPr>
          </w:p>
        </w:tc>
      </w:tr>
      <w:tr>
        <w:trPr>
          <w:trHeight w:val="195"/>
        </w:trPr>
        <w:tc>
          <w:tcPr>
            <w:tcW w:w="74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January 1, 2019</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207,019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307,170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514,189</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Increase from current period acquisitions</w:t>
            </w:r>
          </w:p>
        </w:tc>
        <w:tc>
          <w:tcPr>
            <w:tcW w:w="140" w:type="dxa"/>
            <w:vAlign w:val="bottom"/>
          </w:tcPr>
          <w:p>
            <w:pPr>
              <w:spacing w:after="0"/>
              <w:rPr>
                <w:sz w:val="21"/>
                <w:szCs w:val="21"/>
                <w:color w:val="auto"/>
              </w:rPr>
            </w:pPr>
          </w:p>
        </w:tc>
        <w:tc>
          <w:tcPr>
            <w:tcW w:w="11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7,514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5,225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12,739</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Measurement period adjustments from prior period acquisitions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(4,030)</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40" w:type="dxa"/>
            <w:vAlign w:val="bottom"/>
          </w:tcPr>
          <w:p>
            <w:pPr>
              <w:spacing w:after="0"/>
              <w:rPr>
                <w:sz w:val="21"/>
                <w:szCs w:val="21"/>
                <w:color w:val="auto"/>
              </w:rPr>
            </w:pPr>
          </w:p>
        </w:tc>
        <w:tc>
          <w:tcPr>
            <w:tcW w:w="11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780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903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1,683</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September 30, 2019</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212,638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311,943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524,581</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The Company assesses goodwill for impairment on an annual basis as of December 31 or at an interim date when events or changes in the business environment would more likely than not reduce the fair value of a reporting unit below its carrying value.</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September 30, 2019 and December 31, 2018, the Company's total intangible assets consisted of the following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9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 2019</w:t>
            </w: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vMerge w:val="restart"/>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Cost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2"/>
                <w:szCs w:val="12"/>
                <w:color w:val="auto"/>
              </w:rPr>
            </w:pPr>
          </w:p>
        </w:tc>
        <w:tc>
          <w:tcPr>
            <w:tcW w:w="740" w:type="dxa"/>
            <w:vAlign w:val="bottom"/>
            <w:vMerge w:val="restart"/>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Net</w:t>
            </w:r>
          </w:p>
        </w:tc>
        <w:tc>
          <w:tcPr>
            <w:tcW w:w="10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vMerge w:val="restart"/>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Cost</w:t>
            </w:r>
          </w:p>
        </w:tc>
        <w:tc>
          <w:tcPr>
            <w:tcW w:w="12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2"/>
                <w:szCs w:val="12"/>
                <w:color w:val="auto"/>
              </w:rPr>
            </w:pPr>
          </w:p>
        </w:tc>
        <w:tc>
          <w:tcPr>
            <w:tcW w:w="740" w:type="dxa"/>
            <w:vAlign w:val="bottom"/>
            <w:vMerge w:val="restart"/>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95"/>
        </w:trPr>
        <w:tc>
          <w:tcPr>
            <w:tcW w:w="49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4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Permits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182,667</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84,899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97,768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177,583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79,358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98,225</w:t>
            </w: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Customer and supplier relationships</w:t>
            </w:r>
          </w:p>
        </w:tc>
        <w:tc>
          <w:tcPr>
            <w:tcW w:w="180" w:type="dxa"/>
            <w:vAlign w:val="bottom"/>
          </w:tcPr>
          <w:p>
            <w:pPr>
              <w:spacing w:after="0"/>
              <w:rPr>
                <w:sz w:val="21"/>
                <w:szCs w:val="21"/>
                <w:color w:val="auto"/>
              </w:rPr>
            </w:pPr>
          </w:p>
        </w:tc>
        <w:tc>
          <w:tcPr>
            <w:tcW w:w="7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400,498</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200,766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199,732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393,487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179,824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213,663</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intangible assets</w:t>
            </w:r>
          </w:p>
        </w:tc>
        <w:tc>
          <w:tcPr>
            <w:tcW w:w="1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37,932</w:t>
            </w:r>
          </w:p>
        </w:tc>
        <w:tc>
          <w:tcPr>
            <w:tcW w:w="1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32,329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5,603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37,262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29,743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7,519</w:t>
            </w:r>
          </w:p>
        </w:tc>
        <w:tc>
          <w:tcPr>
            <w:tcW w:w="0" w:type="dxa"/>
            <w:vAlign w:val="bottom"/>
          </w:tcPr>
          <w:p>
            <w:pPr>
              <w:spacing w:after="0"/>
              <w:rPr>
                <w:sz w:val="1"/>
                <w:szCs w:val="1"/>
                <w:color w:val="auto"/>
              </w:rPr>
            </w:pPr>
          </w:p>
        </w:tc>
      </w:tr>
      <w:tr>
        <w:trPr>
          <w:trHeight w:val="237"/>
        </w:trPr>
        <w:tc>
          <w:tcPr>
            <w:tcW w:w="4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amortizable permits and other intangible assets</w:t>
            </w:r>
          </w:p>
        </w:tc>
        <w:tc>
          <w:tcPr>
            <w:tcW w:w="1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621,097</w:t>
            </w:r>
          </w:p>
        </w:tc>
        <w:tc>
          <w:tcPr>
            <w:tcW w:w="1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317,994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303,103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608,332</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288,925</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319,407</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Trademarks and trade names</w:t>
            </w:r>
          </w:p>
        </w:tc>
        <w:tc>
          <w:tcPr>
            <w:tcW w:w="1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122,760</w:t>
            </w:r>
          </w:p>
        </w:tc>
        <w:tc>
          <w:tcPr>
            <w:tcW w:w="1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122,760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122,468</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122,468</w:t>
            </w:r>
          </w:p>
        </w:tc>
        <w:tc>
          <w:tcPr>
            <w:tcW w:w="0" w:type="dxa"/>
            <w:vAlign w:val="bottom"/>
          </w:tcPr>
          <w:p>
            <w:pPr>
              <w:spacing w:after="0"/>
              <w:rPr>
                <w:sz w:val="1"/>
                <w:szCs w:val="1"/>
                <w:color w:val="auto"/>
              </w:rPr>
            </w:pPr>
          </w:p>
        </w:tc>
      </w:tr>
      <w:tr>
        <w:trPr>
          <w:trHeight w:val="257"/>
        </w:trPr>
        <w:tc>
          <w:tcPr>
            <w:tcW w:w="4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permits and other intangible assets</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743,857</w:t>
            </w:r>
          </w:p>
        </w:tc>
        <w:tc>
          <w:tcPr>
            <w:tcW w:w="14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317,994</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425,863</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730,800</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288,925</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441,875</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Amortization expense of permits and other intangible assets was $8.4 million and $26.6 million in the three and nine months ended September 30, 2019, respectively. Amortization expense of permits and other intangible assets was $8.1 million and $26.0 million in the three and nine months ended September 30, 2018, respectively.</w:t>
      </w:r>
    </w:p>
    <w:p>
      <w:pPr>
        <w:sectPr>
          <w:pgSz w:w="11900" w:h="16838" w:orient="portrait"/>
          <w:cols w:equalWidth="0" w:num="1">
            <w:col w:w="11420"/>
          </w:cols>
          <w:pgMar w:left="240" w:top="121" w:right="239" w:bottom="1440" w:gutter="0" w:footer="0" w:header="0"/>
        </w:sect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121" w:right="239" w:bottom="1440" w:gutter="0" w:footer="0" w:header="0"/>
          <w:type w:val="continuous"/>
        </w:sectPr>
      </w:pPr>
    </w:p>
    <w:bookmarkStart w:id="16" w:name="page17"/>
    <w:bookmarkEnd w:id="1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expected amortization of the net carrying amount of finite-lived intangible assets at September 30, 2019 was as follows (in thousands):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Years Ending December 31,</w:t>
            </w:r>
          </w:p>
        </w:tc>
        <w:tc>
          <w:tcPr>
            <w:tcW w:w="1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Expected Amortization</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700" w:type="dxa"/>
            <w:vAlign w:val="bottom"/>
            <w:tcBorders>
              <w:top w:val="single" w:sz="8" w:color="auto"/>
              <w:bottom w:val="single" w:sz="8" w:color="CCEEFF"/>
            </w:tcBorders>
          </w:tcPr>
          <w:p>
            <w:pPr>
              <w:spacing w:after="0" w:line="20" w:lineRule="exact"/>
              <w:rPr>
                <w:sz w:val="1"/>
                <w:szCs w:val="1"/>
                <w:color w:val="auto"/>
              </w:rPr>
            </w:pPr>
          </w:p>
        </w:tc>
        <w:tc>
          <w:tcPr>
            <w:tcW w:w="63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80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2019 (three months)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8,305</w:t>
            </w:r>
          </w:p>
        </w:tc>
        <w:tc>
          <w:tcPr>
            <w:tcW w:w="0" w:type="dxa"/>
            <w:vAlign w:val="bottom"/>
          </w:tcPr>
          <w:p>
            <w:pPr>
              <w:spacing w:after="0"/>
              <w:rPr>
                <w:sz w:val="1"/>
                <w:szCs w:val="1"/>
                <w:color w:val="auto"/>
              </w:rPr>
            </w:pPr>
          </w:p>
        </w:tc>
      </w:tr>
      <w:tr>
        <w:trPr>
          <w:trHeight w:val="243"/>
        </w:trPr>
        <w:tc>
          <w:tcPr>
            <w:tcW w:w="17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2020</w:t>
            </w:r>
          </w:p>
        </w:tc>
        <w:tc>
          <w:tcPr>
            <w:tcW w:w="6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31,942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6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74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2021</w:t>
            </w:r>
          </w:p>
        </w:tc>
        <w:tc>
          <w:tcPr>
            <w:tcW w:w="63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28,667</w:t>
            </w:r>
          </w:p>
        </w:tc>
        <w:tc>
          <w:tcPr>
            <w:tcW w:w="0" w:type="dxa"/>
            <w:vAlign w:val="bottom"/>
          </w:tcPr>
          <w:p>
            <w:pPr>
              <w:spacing w:after="0"/>
              <w:rPr>
                <w:sz w:val="1"/>
                <w:szCs w:val="1"/>
                <w:color w:val="auto"/>
              </w:rPr>
            </w:pPr>
          </w:p>
        </w:tc>
      </w:tr>
      <w:tr>
        <w:trPr>
          <w:trHeight w:val="243"/>
        </w:trPr>
        <w:tc>
          <w:tcPr>
            <w:tcW w:w="17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2022</w:t>
            </w:r>
          </w:p>
        </w:tc>
        <w:tc>
          <w:tcPr>
            <w:tcW w:w="6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28,406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6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74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2023</w:t>
            </w:r>
          </w:p>
        </w:tc>
        <w:tc>
          <w:tcPr>
            <w:tcW w:w="63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24,193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0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Thereafter</w:t>
            </w: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181,590</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63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spacing w:after="0"/>
              <w:rPr>
                <w:sz w:val="22"/>
                <w:szCs w:val="22"/>
                <w:color w:val="auto"/>
              </w:rPr>
            </w:pPr>
          </w:p>
        </w:tc>
        <w:tc>
          <w:tcPr>
            <w:tcW w:w="63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303,103</w:t>
            </w:r>
          </w:p>
        </w:tc>
        <w:tc>
          <w:tcPr>
            <w:tcW w:w="0" w:type="dxa"/>
            <w:vAlign w:val="bottom"/>
          </w:tcPr>
          <w:p>
            <w:pPr>
              <w:spacing w:after="0"/>
              <w:rPr>
                <w:sz w:val="1"/>
                <w:szCs w:val="1"/>
                <w:color w:val="auto"/>
              </w:rPr>
            </w:pPr>
          </w:p>
        </w:tc>
      </w:tr>
      <w:tr>
        <w:trPr>
          <w:trHeight w:val="20"/>
        </w:trPr>
        <w:tc>
          <w:tcPr>
            <w:tcW w:w="8120" w:type="dxa"/>
            <w:vAlign w:val="bottom"/>
            <w:tcBorders>
              <w:top w:val="single" w:sz="8" w:color="CCEEFF"/>
              <w:bottom w:val="single" w:sz="8" w:color="CCEEFF"/>
            </w:tcBorders>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(8) ACCRUED EXPENSES</w:t>
            </w:r>
          </w:p>
        </w:tc>
        <w:tc>
          <w:tcPr>
            <w:tcW w:w="1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8120" w:type="dxa"/>
            <w:vAlign w:val="bottom"/>
            <w:gridSpan w:val="3"/>
            <w:vMerge w:val="continue"/>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40" w:type="dxa"/>
            <w:vAlign w:val="bottom"/>
          </w:tcPr>
          <w:p>
            <w:pPr>
              <w:spacing w:after="0"/>
              <w:rPr>
                <w:sz w:val="24"/>
                <w:szCs w:val="24"/>
                <w:color w:val="auto"/>
              </w:rPr>
            </w:pPr>
          </w:p>
        </w:tc>
        <w:tc>
          <w:tcPr>
            <w:tcW w:w="808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Accrued expenses consisted of the following (in thousands):</w:t>
            </w: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0"/>
        </w:trPr>
        <w:tc>
          <w:tcPr>
            <w:tcW w:w="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2019</w:t>
            </w:r>
          </w:p>
        </w:tc>
        <w:tc>
          <w:tcPr>
            <w:tcW w:w="180" w:type="dxa"/>
            <w:vAlign w:val="bottom"/>
          </w:tcPr>
          <w:p>
            <w:pPr>
              <w:spacing w:after="0"/>
              <w:rPr>
                <w:sz w:val="24"/>
                <w:szCs w:val="24"/>
                <w:color w:val="auto"/>
              </w:rPr>
            </w:pPr>
          </w:p>
        </w:tc>
        <w:tc>
          <w:tcPr>
            <w:tcW w:w="1420" w:type="dxa"/>
            <w:vAlign w:val="bottom"/>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0" w:type="dxa"/>
            <w:vAlign w:val="bottom"/>
          </w:tcPr>
          <w:p>
            <w:pPr>
              <w:spacing w:after="0"/>
              <w:rPr>
                <w:sz w:val="1"/>
                <w:szCs w:val="1"/>
                <w:color w:val="auto"/>
              </w:rPr>
            </w:pPr>
          </w:p>
        </w:tc>
      </w:tr>
      <w:tr>
        <w:trPr>
          <w:trHeight w:val="249"/>
        </w:trPr>
        <w:tc>
          <w:tcPr>
            <w:tcW w:w="8120" w:type="dxa"/>
            <w:vAlign w:val="bottom"/>
            <w:tcBorders>
              <w:top w:val="single" w:sz="8" w:color="CCEEFF"/>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Insurance</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69,641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70,217</w:t>
            </w:r>
          </w:p>
        </w:tc>
        <w:tc>
          <w:tcPr>
            <w:tcW w:w="0" w:type="dxa"/>
            <w:vAlign w:val="bottom"/>
          </w:tcPr>
          <w:p>
            <w:pPr>
              <w:spacing w:after="0"/>
              <w:rPr>
                <w:sz w:val="1"/>
                <w:szCs w:val="1"/>
                <w:color w:val="auto"/>
              </w:rPr>
            </w:pPr>
          </w:p>
        </w:tc>
      </w:tr>
      <w:tr>
        <w:trPr>
          <w:trHeight w:val="243"/>
        </w:trPr>
        <w:tc>
          <w:tcPr>
            <w:tcW w:w="81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Interest</w:t>
            </w:r>
          </w:p>
        </w:tc>
        <w:tc>
          <w:tcPr>
            <w:tcW w:w="160" w:type="dxa"/>
            <w:vAlign w:val="bottom"/>
          </w:tcPr>
          <w:p>
            <w:pPr>
              <w:spacing w:after="0"/>
              <w:rPr>
                <w:sz w:val="21"/>
                <w:szCs w:val="21"/>
                <w:color w:val="auto"/>
              </w:rPr>
            </w:pPr>
          </w:p>
        </w:tc>
        <w:tc>
          <w:tcPr>
            <w:tcW w:w="14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10,605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3,930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6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Compensation and benefits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69,369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77,881</w:t>
            </w:r>
          </w:p>
        </w:tc>
        <w:tc>
          <w:tcPr>
            <w:tcW w:w="0" w:type="dxa"/>
            <w:vAlign w:val="bottom"/>
          </w:tcPr>
          <w:p>
            <w:pPr>
              <w:spacing w:after="0"/>
              <w:rPr>
                <w:sz w:val="1"/>
                <w:szCs w:val="1"/>
                <w:color w:val="auto"/>
              </w:rPr>
            </w:pPr>
          </w:p>
        </w:tc>
      </w:tr>
      <w:tr>
        <w:trPr>
          <w:trHeight w:val="243"/>
        </w:trPr>
        <w:tc>
          <w:tcPr>
            <w:tcW w:w="81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Income, real estate, sales and other taxes</w:t>
            </w:r>
          </w:p>
        </w:tc>
        <w:tc>
          <w:tcPr>
            <w:tcW w:w="160" w:type="dxa"/>
            <w:vAlign w:val="bottom"/>
          </w:tcPr>
          <w:p>
            <w:pPr>
              <w:spacing w:after="0"/>
              <w:rPr>
                <w:sz w:val="21"/>
                <w:szCs w:val="21"/>
                <w:color w:val="auto"/>
              </w:rPr>
            </w:pPr>
          </w:p>
        </w:tc>
        <w:tc>
          <w:tcPr>
            <w:tcW w:w="14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40,306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25,670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6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63,534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55,707</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253,455</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233,405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63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CLOSURE AND POST-CLOSURE LIABILITIES</w:t>
      </w:r>
    </w:p>
    <w:p>
      <w:pPr>
        <w:spacing w:after="0" w:line="283"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The changes to closure and post-closure liabilities (also referred to as “asset retirement obligations”) from January 1, 2019 through September 30, 2019 were as follows (in thousands):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Landfill</w:t>
            </w:r>
          </w:p>
        </w:tc>
        <w:tc>
          <w:tcPr>
            <w:tcW w:w="220" w:type="dxa"/>
            <w:vAlign w:val="bottom"/>
          </w:tcPr>
          <w:p>
            <w:pPr>
              <w:spacing w:after="0"/>
              <w:rPr>
                <w:sz w:val="13"/>
                <w:szCs w:val="13"/>
                <w:color w:val="auto"/>
              </w:rPr>
            </w:pPr>
          </w:p>
        </w:tc>
        <w:tc>
          <w:tcPr>
            <w:tcW w:w="13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Non-Landfill</w:t>
            </w:r>
          </w:p>
        </w:tc>
        <w:tc>
          <w:tcPr>
            <w:tcW w:w="3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6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Retirement</w:t>
            </w:r>
          </w:p>
        </w:tc>
        <w:tc>
          <w:tcPr>
            <w:tcW w:w="220" w:type="dxa"/>
            <w:vAlign w:val="bottom"/>
          </w:tcPr>
          <w:p>
            <w:pPr>
              <w:spacing w:after="0"/>
              <w:rPr>
                <w:sz w:val="12"/>
                <w:szCs w:val="12"/>
                <w:color w:val="auto"/>
              </w:rPr>
            </w:pPr>
          </w:p>
        </w:tc>
        <w:tc>
          <w:tcPr>
            <w:tcW w:w="136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Retirement</w:t>
            </w:r>
          </w:p>
        </w:tc>
        <w:tc>
          <w:tcPr>
            <w:tcW w:w="360" w:type="dxa"/>
            <w:vAlign w:val="bottom"/>
          </w:tcPr>
          <w:p>
            <w:pPr>
              <w:spacing w:after="0"/>
              <w:rPr>
                <w:sz w:val="12"/>
                <w:szCs w:val="12"/>
                <w:color w:val="auto"/>
              </w:rPr>
            </w:pPr>
          </w:p>
        </w:tc>
        <w:tc>
          <w:tcPr>
            <w:tcW w:w="1120" w:type="dxa"/>
            <w:vAlign w:val="bottom"/>
            <w:vMerge w:val="restart"/>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6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Liability</w:t>
            </w:r>
          </w:p>
        </w:tc>
        <w:tc>
          <w:tcPr>
            <w:tcW w:w="220" w:type="dxa"/>
            <w:vAlign w:val="bottom"/>
          </w:tcPr>
          <w:p>
            <w:pPr>
              <w:spacing w:after="0"/>
              <w:rPr>
                <w:sz w:val="16"/>
                <w:szCs w:val="16"/>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Liability</w:t>
            </w:r>
          </w:p>
        </w:tc>
        <w:tc>
          <w:tcPr>
            <w:tcW w:w="36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6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January 1, 2019</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37,809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32,122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69,931</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Liabilities assumed in acquisitions</w:t>
            </w:r>
          </w:p>
        </w:tc>
        <w:tc>
          <w:tcPr>
            <w:tcW w:w="26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220</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New asset retirement obligations</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1,644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1,644</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Accretion</w:t>
            </w:r>
          </w:p>
        </w:tc>
        <w:tc>
          <w:tcPr>
            <w:tcW w:w="260" w:type="dxa"/>
            <w:vAlign w:val="bottom"/>
          </w:tcPr>
          <w:p>
            <w:pPr>
              <w:spacing w:after="0"/>
              <w:rPr>
                <w:sz w:val="21"/>
                <w:szCs w:val="21"/>
                <w:color w:val="auto"/>
              </w:rPr>
            </w:pPr>
          </w:p>
        </w:tc>
        <w:tc>
          <w:tcPr>
            <w:tcW w:w="12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2,113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2,100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4,213</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Changes in estimates recorded to statement of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Changes in estimates recorded to balance sheet</w:t>
            </w:r>
          </w:p>
        </w:tc>
        <w:tc>
          <w:tcPr>
            <w:tcW w:w="260" w:type="dxa"/>
            <w:vAlign w:val="bottom"/>
          </w:tcPr>
          <w:p>
            <w:pPr>
              <w:spacing w:after="0"/>
              <w:rPr>
                <w:sz w:val="21"/>
                <w:szCs w:val="21"/>
                <w:color w:val="auto"/>
              </w:rPr>
            </w:pPr>
          </w:p>
        </w:tc>
        <w:tc>
          <w:tcPr>
            <w:tcW w:w="12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3,803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3,803</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Expenditures</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(6,105)</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Currency translation and other</w:t>
            </w:r>
          </w:p>
        </w:tc>
        <w:tc>
          <w:tcPr>
            <w:tcW w:w="260" w:type="dxa"/>
            <w:vAlign w:val="bottom"/>
          </w:tcPr>
          <w:p>
            <w:pPr>
              <w:spacing w:after="0"/>
              <w:rPr>
                <w:sz w:val="21"/>
                <w:szCs w:val="21"/>
                <w:color w:val="auto"/>
              </w:rPr>
            </w:pPr>
          </w:p>
        </w:tc>
        <w:tc>
          <w:tcPr>
            <w:tcW w:w="12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311</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September 30, 2019</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41,201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32,958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74,159</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All the landfill facilities included in the above were active as of September 30, 2019. In the nine months ended September 30, 2019, there were no significant charges (benefits) resulting from changes in estimates for closure and post-closure liabilities.</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New asset retirement obligations incurred during the first nine months of 2019 were discounted at the credit-adjusted risk-free rate of 6.02%.</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121" w:right="239" w:bottom="1440" w:gutter="0" w:footer="0" w:header="0"/>
        </w:sectPr>
      </w:pPr>
    </w:p>
    <w:bookmarkStart w:id="17" w:name="page18"/>
    <w:bookmarkEnd w:id="1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REMEDIAL LIABILITIES</w:t>
      </w:r>
    </w:p>
    <w:p>
      <w:pPr>
        <w:spacing w:after="0" w:line="2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changes to remedial liabilities from January 1, 2019 through September 30, 2019 were as follows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Remedial</w:t>
            </w: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6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Liabilities</w:t>
            </w: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Remedial</w:t>
            </w:r>
          </w:p>
        </w:tc>
        <w:tc>
          <w:tcPr>
            <w:tcW w:w="160" w:type="dxa"/>
            <w:vAlign w:val="bottom"/>
          </w:tcPr>
          <w:p>
            <w:pPr>
              <w:spacing w:after="0"/>
              <w:rPr>
                <w:sz w:val="12"/>
                <w:szCs w:val="12"/>
                <w:color w:val="auto"/>
              </w:rPr>
            </w:pPr>
          </w:p>
        </w:tc>
        <w:tc>
          <w:tcPr>
            <w:tcW w:w="12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Remedial</w:t>
            </w:r>
          </w:p>
        </w:tc>
        <w:tc>
          <w:tcPr>
            <w:tcW w:w="140" w:type="dxa"/>
            <w:vAlign w:val="bottom"/>
          </w:tcPr>
          <w:p>
            <w:pPr>
              <w:spacing w:after="0"/>
              <w:rPr>
                <w:sz w:val="12"/>
                <w:szCs w:val="12"/>
                <w:color w:val="auto"/>
              </w:rPr>
            </w:pPr>
          </w:p>
        </w:tc>
        <w:tc>
          <w:tcPr>
            <w:tcW w:w="12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(Including</w:t>
            </w: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Superfund) for</w:t>
            </w: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Liabilities for</w:t>
            </w:r>
          </w:p>
        </w:tc>
        <w:tc>
          <w:tcPr>
            <w:tcW w:w="160" w:type="dxa"/>
            <w:vAlign w:val="bottom"/>
          </w:tcPr>
          <w:p>
            <w:pPr>
              <w:spacing w:after="0"/>
              <w:rPr>
                <w:sz w:val="12"/>
                <w:szCs w:val="12"/>
                <w:color w:val="auto"/>
              </w:rPr>
            </w:pPr>
          </w:p>
        </w:tc>
        <w:tc>
          <w:tcPr>
            <w:tcW w:w="12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Liabilities for</w:t>
            </w:r>
          </w:p>
        </w:tc>
        <w:tc>
          <w:tcPr>
            <w:tcW w:w="140" w:type="dxa"/>
            <w:vAlign w:val="bottom"/>
          </w:tcPr>
          <w:p>
            <w:pPr>
              <w:spacing w:after="0"/>
              <w:rPr>
                <w:sz w:val="12"/>
                <w:szCs w:val="12"/>
                <w:color w:val="auto"/>
              </w:rPr>
            </w:pPr>
          </w:p>
        </w:tc>
        <w:tc>
          <w:tcPr>
            <w:tcW w:w="12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Non-Landfill</w:t>
            </w:r>
          </w:p>
        </w:tc>
        <w:tc>
          <w:tcPr>
            <w:tcW w:w="300" w:type="dxa"/>
            <w:vAlign w:val="bottom"/>
          </w:tcPr>
          <w:p>
            <w:pPr>
              <w:spacing w:after="0"/>
              <w:rPr>
                <w:sz w:val="12"/>
                <w:szCs w:val="12"/>
                <w:color w:val="auto"/>
              </w:rPr>
            </w:pPr>
          </w:p>
        </w:tc>
        <w:tc>
          <w:tcPr>
            <w:tcW w:w="940" w:type="dxa"/>
            <w:vAlign w:val="bottom"/>
            <w:vMerge w:val="restart"/>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6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Landfill Sites</w:t>
            </w:r>
          </w:p>
        </w:tc>
        <w:tc>
          <w:tcPr>
            <w:tcW w:w="16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Inactive Sites</w:t>
            </w:r>
          </w:p>
        </w:tc>
        <w:tc>
          <w:tcPr>
            <w:tcW w:w="140" w:type="dxa"/>
            <w:vAlign w:val="bottom"/>
          </w:tcPr>
          <w:p>
            <w:pPr>
              <w:spacing w:after="0"/>
              <w:rPr>
                <w:sz w:val="16"/>
                <w:szCs w:val="16"/>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Operations</w:t>
            </w:r>
          </w:p>
        </w:tc>
        <w:tc>
          <w:tcPr>
            <w:tcW w:w="3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6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January 1, 2019</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1,838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65,315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53,864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121,017</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Accretion</w:t>
            </w:r>
          </w:p>
        </w:tc>
        <w:tc>
          <w:tcPr>
            <w:tcW w:w="160" w:type="dxa"/>
            <w:vAlign w:val="bottom"/>
          </w:tcPr>
          <w:p>
            <w:pPr>
              <w:spacing w:after="0"/>
              <w:rPr>
                <w:sz w:val="21"/>
                <w:szCs w:val="21"/>
                <w:color w:val="auto"/>
              </w:rPr>
            </w:pPr>
          </w:p>
        </w:tc>
        <w:tc>
          <w:tcPr>
            <w:tcW w:w="11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2,002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1,343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3,411</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Changes in estimates recorded to statement of operations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Expenditures</w:t>
            </w: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(6,699)</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Currency translation and other</w:t>
            </w:r>
          </w:p>
        </w:tc>
        <w:tc>
          <w:tcPr>
            <w:tcW w:w="1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249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267</w:t>
            </w:r>
          </w:p>
        </w:tc>
        <w:tc>
          <w:tcPr>
            <w:tcW w:w="0" w:type="dxa"/>
            <w:vAlign w:val="bottom"/>
          </w:tcPr>
          <w:p>
            <w:pPr>
              <w:spacing w:after="0"/>
              <w:rPr>
                <w:sz w:val="1"/>
                <w:szCs w:val="1"/>
                <w:color w:val="auto"/>
              </w:rPr>
            </w:pPr>
          </w:p>
        </w:tc>
      </w:tr>
      <w:tr>
        <w:trPr>
          <w:trHeight w:val="257"/>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Balance at September 30, 2019</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1,883</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63,577</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8"/>
                <w:szCs w:val="18"/>
                <w:color w:val="auto"/>
              </w:rPr>
              <w:t>51,809</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117,269</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ind w:right="720" w:firstLine="648"/>
        <w:spacing w:after="0" w:line="282" w:lineRule="auto"/>
        <w:rPr>
          <w:sz w:val="20"/>
          <w:szCs w:val="20"/>
          <w:color w:val="auto"/>
        </w:rPr>
      </w:pPr>
      <w:r>
        <w:rPr>
          <w:rFonts w:ascii="Times New Roman" w:cs="Times New Roman" w:eastAsia="Times New Roman" w:hAnsi="Times New Roman"/>
          <w:sz w:val="18"/>
          <w:szCs w:val="18"/>
          <w:color w:val="auto"/>
        </w:rPr>
        <w:t>In the nine months ended September 30, 2019, there were no significant charges (benefits) resulting from changes in estimates for remedial liabilities.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FINANCING ARRANGEMENTS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is a summary of the Company’s financing arrangements (in thousands):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0" w:type="dxa"/>
            <w:vAlign w:val="bottom"/>
          </w:tcPr>
          <w:p>
            <w:pPr>
              <w:spacing w:after="0"/>
              <w:rPr>
                <w:sz w:val="19"/>
                <w:szCs w:val="19"/>
                <w:color w:val="auto"/>
              </w:rPr>
            </w:pPr>
          </w:p>
        </w:tc>
        <w:tc>
          <w:tcPr>
            <w:tcW w:w="1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8"/>
              </w:rPr>
              <w:t>Current Obligations:</w:t>
            </w:r>
          </w:p>
        </w:tc>
        <w:tc>
          <w:tcPr>
            <w:tcW w:w="240" w:type="dxa"/>
            <w:vAlign w:val="bottom"/>
          </w:tcPr>
          <w:p>
            <w:pPr>
              <w:spacing w:after="0"/>
              <w:rPr>
                <w:sz w:val="19"/>
                <w:szCs w:val="19"/>
                <w:color w:val="auto"/>
              </w:rPr>
            </w:pPr>
          </w:p>
        </w:tc>
        <w:tc>
          <w:tcPr>
            <w:tcW w:w="6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2019</w:t>
            </w:r>
          </w:p>
        </w:tc>
        <w:tc>
          <w:tcPr>
            <w:tcW w:w="160" w:type="dxa"/>
            <w:vAlign w:val="bottom"/>
          </w:tcPr>
          <w:p>
            <w:pPr>
              <w:spacing w:after="0"/>
              <w:rPr>
                <w:sz w:val="19"/>
                <w:szCs w:val="19"/>
                <w:color w:val="auto"/>
              </w:rPr>
            </w:pPr>
          </w:p>
        </w:tc>
        <w:tc>
          <w:tcPr>
            <w:tcW w:w="142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December 31, 2018</w:t>
            </w:r>
          </w:p>
        </w:tc>
      </w:tr>
      <w:tr>
        <w:trPr>
          <w:trHeight w:val="48"/>
        </w:trPr>
        <w:tc>
          <w:tcPr>
            <w:tcW w:w="40" w:type="dxa"/>
            <w:vAlign w:val="bottom"/>
            <w:tcBorders>
              <w:bottom w:val="single" w:sz="8" w:color="CCEEFF"/>
            </w:tcBorders>
          </w:tcPr>
          <w:p>
            <w:pPr>
              <w:spacing w:after="0"/>
              <w:rPr>
                <w:sz w:val="4"/>
                <w:szCs w:val="4"/>
                <w:color w:val="auto"/>
              </w:rPr>
            </w:pPr>
          </w:p>
        </w:tc>
        <w:tc>
          <w:tcPr>
            <w:tcW w:w="1620" w:type="dxa"/>
            <w:vAlign w:val="bottom"/>
            <w:tcBorders>
              <w:bottom w:val="single" w:sz="8" w:color="CCEEFF"/>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622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r>
      <w:tr>
        <w:trPr>
          <w:trHeight w:val="257"/>
        </w:trPr>
        <w:tc>
          <w:tcPr>
            <w:tcW w:w="812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Secured senior term loans ("Term Loans")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7,535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7,535</w:t>
            </w:r>
          </w:p>
        </w:tc>
      </w:tr>
      <w:tr>
        <w:trPr>
          <w:trHeight w:val="20"/>
        </w:trPr>
        <w:tc>
          <w:tcPr>
            <w:tcW w:w="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71"/>
        </w:trPr>
        <w:tc>
          <w:tcPr>
            <w:tcW w:w="4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03"/>
        </w:trPr>
        <w:tc>
          <w:tcPr>
            <w:tcW w:w="8120" w:type="dxa"/>
            <w:vAlign w:val="bottom"/>
            <w:gridSpan w:val="4"/>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b w:val="1"/>
                <w:bCs w:val="1"/>
                <w:color w:val="auto"/>
              </w:rPr>
              <w:t>Long-Term Obligations:</w:t>
            </w:r>
          </w:p>
        </w:tc>
        <w:tc>
          <w:tcPr>
            <w:tcW w:w="1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620" w:type="dxa"/>
            <w:vAlign w:val="bottom"/>
            <w:tcBorders>
              <w:top w:val="single" w:sz="8" w:color="auto"/>
            </w:tcBorders>
            <w:shd w:val="clear" w:color="auto" w:fill="CCEEFF"/>
          </w:tcPr>
          <w:p>
            <w:pPr>
              <w:spacing w:after="0"/>
              <w:rPr>
                <w:sz w:val="4"/>
                <w:szCs w:val="4"/>
                <w:color w:val="auto"/>
              </w:rPr>
            </w:pPr>
          </w:p>
        </w:tc>
        <w:tc>
          <w:tcPr>
            <w:tcW w:w="240" w:type="dxa"/>
            <w:vAlign w:val="bottom"/>
            <w:tcBorders>
              <w:top w:val="single" w:sz="8" w:color="auto"/>
            </w:tcBorders>
            <w:shd w:val="clear" w:color="auto" w:fill="CCEEFF"/>
          </w:tcPr>
          <w:p>
            <w:pPr>
              <w:spacing w:after="0"/>
              <w:rPr>
                <w:sz w:val="4"/>
                <w:szCs w:val="4"/>
                <w:color w:val="auto"/>
              </w:rPr>
            </w:pPr>
          </w:p>
        </w:tc>
        <w:tc>
          <w:tcPr>
            <w:tcW w:w="62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4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420" w:type="dxa"/>
            <w:vAlign w:val="bottom"/>
            <w:tcBorders>
              <w:top w:val="single" w:sz="8" w:color="CCEEFF"/>
            </w:tcBorders>
            <w:shd w:val="clear" w:color="auto" w:fill="CCEEFF"/>
          </w:tcPr>
          <w:p>
            <w:pPr>
              <w:spacing w:after="0"/>
              <w:rPr>
                <w:sz w:val="4"/>
                <w:szCs w:val="4"/>
                <w:color w:val="auto"/>
              </w:rPr>
            </w:pPr>
          </w:p>
        </w:tc>
      </w:tr>
      <w:tr>
        <w:trPr>
          <w:trHeight w:val="243"/>
        </w:trPr>
        <w:tc>
          <w:tcPr>
            <w:tcW w:w="812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Secured senior Term Loans due June 30, 2024</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729,045</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734,697</w:t>
            </w:r>
          </w:p>
        </w:tc>
      </w:tr>
      <w:tr>
        <w:trPr>
          <w:trHeight w:val="27"/>
        </w:trPr>
        <w:tc>
          <w:tcPr>
            <w:tcW w:w="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Unsecured senior notes, at 4.875%, due July 15, 2027 ("2027 Notes")</w:t>
            </w: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545,000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12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Unsecured senior notes, at 5.125%, due July 15, 2029 ("2029 Notes")</w:t>
            </w:r>
          </w:p>
        </w:tc>
        <w:tc>
          <w:tcPr>
            <w:tcW w:w="14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300,000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Unsecured senior notes, at 5.125%, due June 1, 2021 ("2021 Notes")</w:t>
            </w:r>
          </w:p>
        </w:tc>
        <w:tc>
          <w:tcPr>
            <w:tcW w:w="14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845,000</w:t>
            </w:r>
          </w:p>
        </w:tc>
      </w:tr>
      <w:tr>
        <w:trPr>
          <w:trHeight w:val="237"/>
        </w:trPr>
        <w:tc>
          <w:tcPr>
            <w:tcW w:w="812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Long-term obligations, at par</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1,574,045</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1,579,697</w:t>
            </w:r>
          </w:p>
        </w:tc>
      </w:tr>
      <w:tr>
        <w:trPr>
          <w:trHeight w:val="27"/>
        </w:trPr>
        <w:tc>
          <w:tcPr>
            <w:tcW w:w="4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6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4"/>
        </w:trPr>
        <w:tc>
          <w:tcPr>
            <w:tcW w:w="812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Unamortized debt issuance costs and premium, net</w:t>
            </w:r>
          </w:p>
        </w:tc>
        <w:tc>
          <w:tcPr>
            <w:tcW w:w="14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(18,788)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(14,676)</w:t>
            </w:r>
          </w:p>
        </w:tc>
      </w:tr>
      <w:tr>
        <w:trPr>
          <w:trHeight w:val="257"/>
        </w:trPr>
        <w:tc>
          <w:tcPr>
            <w:tcW w:w="812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Long-term obligations, at carrying value</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1,555,257</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1,565,021</w:t>
            </w:r>
          </w:p>
        </w:tc>
      </w:tr>
      <w:tr>
        <w:trPr>
          <w:trHeight w:val="20"/>
        </w:trPr>
        <w:tc>
          <w:tcPr>
            <w:tcW w:w="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p>
      <w:pPr>
        <w:spacing w:after="0" w:line="121" w:lineRule="exact"/>
        <w:rPr>
          <w:sz w:val="20"/>
          <w:szCs w:val="20"/>
          <w:color w:val="auto"/>
        </w:rPr>
      </w:pPr>
    </w:p>
    <w:p>
      <w:pPr>
        <w:ind w:right="500" w:firstLine="648"/>
        <w:spacing w:after="0" w:line="282" w:lineRule="auto"/>
        <w:rPr>
          <w:sz w:val="20"/>
          <w:szCs w:val="20"/>
          <w:color w:val="auto"/>
        </w:rPr>
      </w:pPr>
      <w:r>
        <w:rPr>
          <w:rFonts w:ascii="Times New Roman" w:cs="Times New Roman" w:eastAsia="Times New Roman" w:hAnsi="Times New Roman"/>
          <w:sz w:val="18"/>
          <w:szCs w:val="18"/>
          <w:color w:val="auto"/>
        </w:rPr>
        <w:t>On July 2, 2019, the Company completed a private placement of $545.0 million aggregate principal amount of 2027 Notes and $300.0 million aggregate principal amount of 2029 Notes (collectively, the "New Notes").</w:t>
      </w:r>
    </w:p>
    <w:p>
      <w:pPr>
        <w:spacing w:after="0" w:line="81"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The 2027 Notes will mature on July 15, 2027, and the 2029 Notes will mature on July 15, 2029. Interest payments on each series of the New Notes will be paid semiannually on January 15 and July 15, commencing on January 15, 2020.</w:t>
      </w:r>
    </w:p>
    <w:p>
      <w:pPr>
        <w:spacing w:after="0" w:line="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also maintains a $400.0 million revolving credit facility under which the Company had no outstanding loan balance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2019 and December 31, 2018. At September 30, 2019, approximately $231.1 million was available to borrow and outstanding letters of credit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were $147.2 million. At December 31, 2018, $235.4 million was available to borrow and outstanding letters of credit were $130.1 million.</w:t>
      </w:r>
    </w:p>
    <w:p>
      <w:pPr>
        <w:spacing w:after="0" w:line="126"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The Company may redeem all or any portion of the 2027 Notes prior to July 15, 2022 or the 2029 Notes prior to July 15, 2024 at a redemption price equal to 100% of the principal amount redeemed plus a make whole premium as of the date of redemption including accrued and unpaid interest, if any, up to the date of redemption. Additionally, prior to July 15, 2022 for the 2027 Notes and July 15, 2024 for the 2029 Notes, the Company may use cash proceeds of one or more equity offerings to redeem up to 35% in aggregate principal of the 2027 Notes or the 2029 Notes at a redemption price equal to 104.875% or 105.125%, respectively, plus accrued and unpaid interest thereon, if any, up to the date of redemption.</w:t>
      </w:r>
    </w:p>
    <w:p>
      <w:pPr>
        <w:spacing w:after="0" w:line="103"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After the dates in the preceding paragraph, the Company may redeem all or any portion of the New Notes which remain outstanding at any time upon proper notice at the following redemption prices if redeemed during the twelve-month period commencing on July 15 of the years set forth below plus accrued and unpaid interest, if any, up to the date of redemption:</w:t>
      </w:r>
    </w:p>
    <w:p>
      <w:pPr>
        <w:sectPr>
          <w:pgSz w:w="11900" w:h="16838" w:orient="portrait"/>
          <w:cols w:equalWidth="0" w:num="1">
            <w:col w:w="11400"/>
          </w:cols>
          <w:pgMar w:left="240" w:top="121" w:right="259" w:bottom="1440" w:gutter="0" w:footer="0" w:header="0"/>
        </w:sect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00"/>
          </w:cols>
          <w:pgMar w:left="240" w:top="121" w:right="259" w:bottom="1440" w:gutter="0" w:footer="0" w:header="0"/>
          <w:type w:val="continuous"/>
        </w:sectPr>
      </w:pPr>
    </w:p>
    <w:bookmarkStart w:id="18" w:name="page19"/>
    <w:bookmarkEnd w:id="1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2027 Notes</w:t>
      </w:r>
    </w:p>
    <w:p>
      <w:pPr>
        <w:spacing w:after="0" w:line="19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7237730" cy="1803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37730" cy="180340"/>
                    </a:xfrm>
                    <a:prstGeom prst="rect">
                      <a:avLst/>
                    </a:prstGeom>
                    <a:noFill/>
                  </pic:spPr>
                </pic:pic>
              </a:graphicData>
            </a:graphic>
          </wp:anchor>
        </w:drawing>
      </w:r>
    </w:p>
    <w:p>
      <w:pPr>
        <w:spacing w:after="0" w:line="6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2022</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37730"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3773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2024 and thereafter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2029 Notes</w:t>
      </w:r>
    </w:p>
    <w:p>
      <w:pPr>
        <w:spacing w:after="0" w:line="19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7237730" cy="1803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37730" cy="180340"/>
                    </a:xfrm>
                    <a:prstGeom prst="rect">
                      <a:avLst/>
                    </a:prstGeom>
                    <a:noFill/>
                  </pic:spPr>
                </pic:pic>
              </a:graphicData>
            </a:graphic>
          </wp:anchor>
        </w:drawing>
      </w:r>
    </w:p>
    <w:p>
      <w:pPr>
        <w:spacing w:after="0" w:line="6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2024</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3773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3773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2026 and thereafter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Percentage</w:t>
      </w:r>
    </w:p>
    <w:p>
      <w:pPr>
        <w:spacing w:after="0" w:line="84"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102.438%</w:t>
      </w:r>
    </w:p>
    <w:p>
      <w:pPr>
        <w:spacing w:after="0" w:line="63"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101.219%</w:t>
      </w:r>
    </w:p>
    <w:p>
      <w:pPr>
        <w:spacing w:after="0" w:line="63"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100.000%</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Percentage</w:t>
      </w:r>
    </w:p>
    <w:p>
      <w:pPr>
        <w:spacing w:after="0" w:line="84"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102.563%</w:t>
      </w:r>
    </w:p>
    <w:p>
      <w:pPr>
        <w:spacing w:after="0" w:line="63"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101.281%</w:t>
      </w:r>
    </w:p>
    <w:p>
      <w:pPr>
        <w:spacing w:after="0" w:line="63"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100.000%</w:t>
      </w:r>
    </w:p>
    <w:p>
      <w:pPr>
        <w:spacing w:after="0" w:line="200" w:lineRule="exact"/>
        <w:rPr>
          <w:sz w:val="20"/>
          <w:szCs w:val="20"/>
          <w:color w:val="auto"/>
        </w:rPr>
      </w:pPr>
    </w:p>
    <w:p>
      <w:pPr>
        <w:sectPr>
          <w:pgSz w:w="11900" w:h="16838" w:orient="portrait"/>
          <w:cols w:equalWidth="0" w:num="2">
            <w:col w:w="9520" w:space="720"/>
            <w:col w:w="1160"/>
          </w:cols>
          <w:pgMar w:left="240" w:top="121" w:right="259" w:bottom="1440" w:gutter="0" w:footer="0" w:header="0"/>
        </w:sectPr>
      </w:pPr>
    </w:p>
    <w:p>
      <w:pPr>
        <w:spacing w:after="0" w:line="187" w:lineRule="exact"/>
        <w:rPr>
          <w:sz w:val="20"/>
          <w:szCs w:val="20"/>
          <w:color w:val="auto"/>
        </w:rPr>
      </w:pPr>
    </w:p>
    <w:p>
      <w:pPr>
        <w:ind w:right="800" w:firstLine="648"/>
        <w:spacing w:after="0" w:line="282" w:lineRule="auto"/>
        <w:rPr>
          <w:sz w:val="20"/>
          <w:szCs w:val="20"/>
          <w:color w:val="auto"/>
        </w:rPr>
      </w:pPr>
      <w:r>
        <w:rPr>
          <w:rFonts w:ascii="Times New Roman" w:cs="Times New Roman" w:eastAsia="Times New Roman" w:hAnsi="Times New Roman"/>
          <w:sz w:val="18"/>
          <w:szCs w:val="18"/>
          <w:color w:val="auto"/>
        </w:rPr>
        <w:t>The New Notes and the related indenture contain various customary non-financial covenants and are guaranteed by substantially all of the Company’s current and future domestic subsidiaries.</w:t>
      </w:r>
    </w:p>
    <w:p>
      <w:pPr>
        <w:spacing w:after="0" w:line="81"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Concurrently with the closing of the New Notes on July 2, 2019, the Company purchased, using a portion of the net proceeds from the sale of the New Notes, an aggregate principal amount of $701.0 million of the 2021 Notes. The total amount paid in purchasing the 2021 Notes was $706.2 million including $3.1 million of accrued interest. On July 17, 2019, the Company redeemed the remaining $144.0 million outstanding 2021 Notes, including $0.9 million of accrued interest, using the remaining net proceeds from the sale of the New Notes and available cash. In connection with this early repurchase and redemption of the 2021 Notes, the Company recorded a loss on early extinguishment of debt of $6.1 million during the three months ended September 30, 2019. With the repurchase and redemption of the 2021 Notes, none of the Company’s outstanding debt is registered under the Securities Act of 1933, as amended.</w:t>
      </w:r>
    </w:p>
    <w:p>
      <w:pPr>
        <w:spacing w:after="0" w:line="108" w:lineRule="exact"/>
        <w:rPr>
          <w:sz w:val="20"/>
          <w:szCs w:val="20"/>
          <w:color w:val="auto"/>
        </w:rPr>
      </w:pPr>
    </w:p>
    <w:p>
      <w:pPr>
        <w:ind w:right="220" w:firstLine="648"/>
        <w:spacing w:after="0" w:line="258" w:lineRule="auto"/>
        <w:rPr>
          <w:sz w:val="20"/>
          <w:szCs w:val="20"/>
          <w:color w:val="auto"/>
        </w:rPr>
      </w:pPr>
      <w:r>
        <w:rPr>
          <w:rFonts w:ascii="Times New Roman" w:cs="Times New Roman" w:eastAsia="Times New Roman" w:hAnsi="Times New Roman"/>
          <w:sz w:val="18"/>
          <w:szCs w:val="18"/>
          <w:color w:val="auto"/>
        </w:rPr>
        <w:t>As of September 30, 2019 and December 31, 2018, the estimated fair value of the Company’s outstanding long-term obligations, including the current portion, was $1.6 billion. The Company’s estimates of fair value of its long-term obligations, including the current portion, are based on quoted market prices or other available market data which are considered Level 2 measures according to the fair value hierarchy. Level 2 utilizes quoted market prices in markets that are not active, broker or dealer quotation, or alternative pricing sources with reasonable levels of price transparency for similar assets and liabilities.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 Hedges</w:t>
      </w:r>
    </w:p>
    <w:p>
      <w:pPr>
        <w:spacing w:after="0" w:line="148"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The Company’s strategy to hedge against fluctuations in variable interest rates involves entering into interest rate derivative agreements. Although the interest rate on all $736.6 million aggregate principal amount of Term Loans which were outstanding on September 30, 2019 is variable under the related Term Loan Agreement, the Company has effectively fixed the interest rate on $350.0 million aggregate principal amount of the Term Loans outstanding by entering into interest rate swap agreements with a notional amount of $350.0 million. Under the terms of the interest rate swap agreements, the Company receives interest based on the one-month LIBOR index and pays interest at a weighted average annual interest rate of approximately 2.92%. When combined with the 1.75% interest rate margin for Eurocurrency borrowings, the effective annual interest rate on such $350.0 million aggregate principal amount of Term Loans is therefore approximately 4.67%.</w:t>
      </w:r>
    </w:p>
    <w:p>
      <w:pPr>
        <w:spacing w:after="0" w:line="108"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Company recognizes derivative instruments as either assets or liabilities on the balance sheet at fair value. No ineffectiveness has been identified on these swaps and, therefore, all unrealized changes in fair value are recorded in accumulated other comprehensive loss. Amounts are reclassified from accumulated other comprehensive loss into interest expense on the statement of operations in the same period or periods during which the hedged transaction affects earnings.</w:t>
      </w:r>
    </w:p>
    <w:p>
      <w:pPr>
        <w:spacing w:after="0" w:line="99" w:lineRule="exact"/>
        <w:rPr>
          <w:sz w:val="20"/>
          <w:szCs w:val="20"/>
          <w:color w:val="auto"/>
        </w:rPr>
      </w:pPr>
    </w:p>
    <w:p>
      <w:pPr>
        <w:ind w:right="500" w:firstLine="648"/>
        <w:spacing w:after="0" w:line="282" w:lineRule="auto"/>
        <w:rPr>
          <w:sz w:val="20"/>
          <w:szCs w:val="20"/>
          <w:color w:val="auto"/>
        </w:rPr>
      </w:pPr>
      <w:r>
        <w:rPr>
          <w:rFonts w:ascii="Times New Roman" w:cs="Times New Roman" w:eastAsia="Times New Roman" w:hAnsi="Times New Roman"/>
          <w:sz w:val="18"/>
          <w:szCs w:val="18"/>
          <w:color w:val="auto"/>
        </w:rPr>
        <w:t>As of September 30, 2019 and December 31, 2018, the Company has recorded a derivative liability with a fair value of $25.3 million and $8.8 million, respectively, within accrued expenses in connection with these cash flow hedges.</w:t>
      </w:r>
    </w:p>
    <w:p>
      <w:pPr>
        <w:spacing w:after="0" w:line="81" w:lineRule="exact"/>
        <w:rPr>
          <w:sz w:val="20"/>
          <w:szCs w:val="20"/>
          <w:color w:val="auto"/>
        </w:rPr>
      </w:pPr>
    </w:p>
    <w:p>
      <w:pPr>
        <w:jc w:val="both"/>
        <w:ind w:right="140" w:firstLine="648"/>
        <w:spacing w:after="0" w:line="266" w:lineRule="auto"/>
        <w:rPr>
          <w:sz w:val="20"/>
          <w:szCs w:val="20"/>
          <w:color w:val="auto"/>
        </w:rPr>
      </w:pPr>
      <w:r>
        <w:rPr>
          <w:rFonts w:ascii="Times New Roman" w:cs="Times New Roman" w:eastAsia="Times New Roman" w:hAnsi="Times New Roman"/>
          <w:sz w:val="18"/>
          <w:szCs w:val="18"/>
          <w:color w:val="auto"/>
        </w:rPr>
        <w:t>The fair value of the interest rate swaps is calculated using discounted cash flow valuation methodologies based upon the one-month LIBOR yield curves that are observable at commonly quoted intervals for the full term of the interest rate swaps and as such is considered a Level 2 measure according to the fair value hierarchy</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INCOME TAXES</w:t>
      </w:r>
    </w:p>
    <w:p>
      <w:pPr>
        <w:spacing w:after="0" w:line="297"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Company records a tax provision or benefit on an interim basis using an estimated annual effective tax rate. This rate is applied to the current period ordinary income or loss to determine the income tax provision or benefit allocated to the interim period. Losses from jurisdictions for which no benefit can be recognized and the income tax effects of unusual or infrequent items</w:t>
      </w: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00"/>
          </w:cols>
          <w:pgMar w:left="240" w:top="121" w:right="259" w:bottom="1440" w:gutter="0" w:footer="0" w:header="0"/>
          <w:type w:val="continuous"/>
        </w:sectPr>
      </w:pPr>
    </w:p>
    <w:bookmarkStart w:id="19" w:name="page20"/>
    <w:bookmarkEnd w:id="1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87"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are excluded from the estimated annual effective tax rate and are recognized in the impacted interim period. The estimated annual effective tax rate may be significantly impacted by projected earnings mix by tax jurisdiction. Adjustments to the estimated annual effective income tax rate are recognized in the period when such estimates are revised.</w:t>
      </w:r>
    </w:p>
    <w:p>
      <w:pPr>
        <w:spacing w:after="0" w:line="95"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The Company’s effective tax rate for the three and nine months ended September 30, 2019 was 32.8% and 35.1%, respectively, compared to 26.6% and 36.3% for the comparable periods in 2018.</w:t>
      </w:r>
    </w:p>
    <w:p>
      <w:pPr>
        <w:spacing w:after="0" w:line="216" w:lineRule="exact"/>
        <w:rPr>
          <w:sz w:val="20"/>
          <w:szCs w:val="20"/>
          <w:color w:val="auto"/>
        </w:rPr>
      </w:pPr>
    </w:p>
    <w:p>
      <w:pPr>
        <w:ind w:right="760" w:firstLine="648"/>
        <w:spacing w:after="0" w:line="282" w:lineRule="auto"/>
        <w:rPr>
          <w:sz w:val="20"/>
          <w:szCs w:val="20"/>
          <w:color w:val="auto"/>
        </w:rPr>
      </w:pPr>
      <w:r>
        <w:rPr>
          <w:rFonts w:ascii="Times New Roman" w:cs="Times New Roman" w:eastAsia="Times New Roman" w:hAnsi="Times New Roman"/>
          <w:sz w:val="18"/>
          <w:szCs w:val="18"/>
          <w:color w:val="auto"/>
        </w:rPr>
        <w:t>As of September 30, 2019 and December 31, 2018, the Company had recorded $4.6 million and $3.2 million, respectively, of liabilities for unrecognized tax benefits and $1.2 million and $0.8 million of interest, respectively.</w:t>
      </w:r>
    </w:p>
    <w:p>
      <w:pPr>
        <w:spacing w:after="0" w:line="81"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The Company's tax years 2014-2016 are currently under audit by the Internal Revenue Service (“IRS”). While the examination has recently commenced and ultimate outcomes are unknown, the Company believes the examination will not result in material adjustments to previously filed returns.</w:t>
      </w:r>
    </w:p>
    <w:p>
      <w:pPr>
        <w:spacing w:after="0" w:line="81" w:lineRule="exact"/>
        <w:rPr>
          <w:sz w:val="20"/>
          <w:szCs w:val="20"/>
          <w:color w:val="auto"/>
        </w:rPr>
      </w:pPr>
    </w:p>
    <w:p>
      <w:pPr>
        <w:ind w:right="2120" w:firstLine="648"/>
        <w:spacing w:after="0" w:line="282" w:lineRule="auto"/>
        <w:rPr>
          <w:sz w:val="20"/>
          <w:szCs w:val="20"/>
          <w:color w:val="auto"/>
        </w:rPr>
      </w:pPr>
      <w:r>
        <w:rPr>
          <w:rFonts w:ascii="Times New Roman" w:cs="Times New Roman" w:eastAsia="Times New Roman" w:hAnsi="Times New Roman"/>
          <w:sz w:val="18"/>
          <w:szCs w:val="18"/>
          <w:color w:val="auto"/>
        </w:rPr>
        <w:t>Due to expiring statute of limitation periods, the Company believes that total unrecognized tax benefits will decrease by $1.0 million within the next 12 months.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EARNINGS PER SHARE</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are computations of basic and diluted earnings per share (in thousands, except per share amounts):</w:t>
      </w:r>
    </w:p>
    <w:p>
      <w:pPr>
        <w:spacing w:after="0" w:line="340"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6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4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6"/>
                <w:szCs w:val="16"/>
                <w:color w:val="auto"/>
              </w:rPr>
            </w:pPr>
          </w:p>
        </w:tc>
        <w:tc>
          <w:tcPr>
            <w:tcW w:w="2120" w:type="dxa"/>
            <w:vAlign w:val="bottom"/>
            <w:gridSpan w:val="4"/>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75"/>
        </w:trPr>
        <w:tc>
          <w:tcPr>
            <w:tcW w:w="652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4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40" w:type="dxa"/>
            <w:vAlign w:val="bottom"/>
            <w:tcBorders>
              <w:bottom w:val="single" w:sz="8" w:color="auto"/>
            </w:tcBorders>
          </w:tcPr>
          <w:p>
            <w:pPr>
              <w:spacing w:after="0"/>
              <w:rPr>
                <w:sz w:val="23"/>
                <w:szCs w:val="23"/>
                <w:color w:val="auto"/>
              </w:rPr>
            </w:pPr>
          </w:p>
        </w:tc>
      </w:tr>
      <w:tr>
        <w:trPr>
          <w:trHeight w:val="264"/>
        </w:trPr>
        <w:tc>
          <w:tcPr>
            <w:tcW w:w="65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49"/>
        </w:trPr>
        <w:tc>
          <w:tcPr>
            <w:tcW w:w="6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 for basic and diluted earnings per share:</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r>
      <w:tr>
        <w:trPr>
          <w:trHeight w:val="243"/>
        </w:trPr>
        <w:tc>
          <w:tcPr>
            <w:tcW w:w="6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36,369</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31,089</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73,589</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49,205</w:t>
            </w:r>
          </w:p>
        </w:tc>
      </w:tr>
      <w:tr>
        <w:trPr>
          <w:trHeight w:val="27"/>
        </w:trPr>
        <w:tc>
          <w:tcPr>
            <w:tcW w:w="65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77"/>
        </w:trPr>
        <w:tc>
          <w:tcPr>
            <w:tcW w:w="65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r>
      <w:tr>
        <w:trPr>
          <w:trHeight w:val="243"/>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27"/>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Basic shares outstanding</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55,850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56,059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55,858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56,222</w:t>
            </w:r>
          </w:p>
        </w:tc>
      </w:tr>
      <w:tr>
        <w:trPr>
          <w:trHeight w:val="243"/>
        </w:trPr>
        <w:tc>
          <w:tcPr>
            <w:tcW w:w="6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Dilutive effect of outstanding stock awards</w:t>
            </w:r>
          </w:p>
        </w:tc>
        <w:tc>
          <w:tcPr>
            <w:tcW w:w="260" w:type="dxa"/>
            <w:vAlign w:val="bottom"/>
          </w:tcPr>
          <w:p>
            <w:pPr>
              <w:spacing w:after="0"/>
              <w:rPr>
                <w:sz w:val="21"/>
                <w:szCs w:val="21"/>
                <w:color w:val="auto"/>
              </w:rPr>
            </w:pPr>
          </w:p>
        </w:tc>
        <w:tc>
          <w:tcPr>
            <w:tcW w:w="9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315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232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251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138</w:t>
            </w:r>
          </w:p>
        </w:tc>
      </w:tr>
      <w:tr>
        <w:trPr>
          <w:trHeight w:val="27"/>
        </w:trPr>
        <w:tc>
          <w:tcPr>
            <w:tcW w:w="65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57"/>
        </w:trPr>
        <w:tc>
          <w:tcPr>
            <w:tcW w:w="65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Dilutive shares outstanding</w:t>
            </w:r>
          </w:p>
        </w:tc>
        <w:tc>
          <w:tcPr>
            <w:tcW w:w="26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56,165</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56,291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56,109</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56,360</w:t>
            </w:r>
          </w:p>
        </w:tc>
      </w:tr>
      <w:tr>
        <w:trPr>
          <w:trHeight w:val="20"/>
        </w:trPr>
        <w:tc>
          <w:tcPr>
            <w:tcW w:w="6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271"/>
        </w:trPr>
        <w:tc>
          <w:tcPr>
            <w:tcW w:w="65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40" w:type="dxa"/>
            <w:vAlign w:val="bottom"/>
          </w:tcPr>
          <w:p>
            <w:pPr>
              <w:spacing w:after="0"/>
              <w:rPr>
                <w:sz w:val="23"/>
                <w:szCs w:val="23"/>
                <w:color w:val="auto"/>
              </w:rPr>
            </w:pPr>
          </w:p>
        </w:tc>
      </w:tr>
      <w:tr>
        <w:trPr>
          <w:trHeight w:val="264"/>
        </w:trPr>
        <w:tc>
          <w:tcPr>
            <w:tcW w:w="65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Basic income per share: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0.65</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0.55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0.88</w:t>
            </w:r>
          </w:p>
        </w:tc>
      </w:tr>
      <w:tr>
        <w:trPr>
          <w:trHeight w:val="20"/>
        </w:trPr>
        <w:tc>
          <w:tcPr>
            <w:tcW w:w="6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230"/>
        </w:trPr>
        <w:tc>
          <w:tcPr>
            <w:tcW w:w="6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264"/>
        </w:trPr>
        <w:tc>
          <w:tcPr>
            <w:tcW w:w="65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Diluted income per share: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0.65</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0.55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0.87</w:t>
            </w:r>
          </w:p>
        </w:tc>
      </w:tr>
      <w:tr>
        <w:trPr>
          <w:trHeight w:val="20"/>
        </w:trPr>
        <w:tc>
          <w:tcPr>
            <w:tcW w:w="6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ind w:right="420" w:firstLine="648"/>
        <w:spacing w:after="0" w:line="266" w:lineRule="auto"/>
        <w:rPr>
          <w:sz w:val="20"/>
          <w:szCs w:val="20"/>
          <w:color w:val="auto"/>
        </w:rPr>
      </w:pPr>
      <w:r>
        <w:rPr>
          <w:rFonts w:ascii="Times New Roman" w:cs="Times New Roman" w:eastAsia="Times New Roman" w:hAnsi="Times New Roman"/>
          <w:sz w:val="18"/>
          <w:szCs w:val="18"/>
          <w:color w:val="auto"/>
        </w:rPr>
        <w:t>For the three months ended September 30, 2019 and September 30, 2018, the dilutive effect of outstanding stock awards excludes 147,075 and 304,644, respectively, of performance stock awards for which the performance criteria were not achieved and 3,567 and 6,565, respectively, of restricted stock awards which were antidilutive.</w:t>
      </w:r>
    </w:p>
    <w:p>
      <w:pPr>
        <w:spacing w:after="0" w:line="95"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For the nine months ended September 30, 2019 and September 30, 2018, the dilutive effect of outstanding stock awards excludes 147,075 and 304,644, respectively, of performance stock awards for which the performance criteria were not achieved and 14,223 and 91,743, respectively, of restricted stock awards which were antidilutive.</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ACCUMULATED OTHER COMPREHENSIVE LOSS</w:t>
      </w:r>
    </w:p>
    <w:p>
      <w:pPr>
        <w:spacing w:after="0" w:line="283"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The changes in accumulated other comprehensive loss by component and related tax effects for the nine months ended September 30, 2019 were as follows (in thousands):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Unrealized (Losses)</w:t>
            </w:r>
          </w:p>
        </w:tc>
        <w:tc>
          <w:tcPr>
            <w:tcW w:w="136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Unrealized Losses</w:t>
            </w: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38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220" w:type="dxa"/>
            <w:vAlign w:val="bottom"/>
          </w:tcPr>
          <w:p>
            <w:pPr>
              <w:spacing w:after="0"/>
              <w:rPr>
                <w:sz w:val="12"/>
                <w:szCs w:val="12"/>
                <w:color w:val="auto"/>
              </w:rPr>
            </w:pPr>
          </w:p>
        </w:tc>
        <w:tc>
          <w:tcPr>
            <w:tcW w:w="114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Gains on</w:t>
            </w:r>
          </w:p>
        </w:tc>
        <w:tc>
          <w:tcPr>
            <w:tcW w:w="1360" w:type="dxa"/>
            <w:vAlign w:val="bottom"/>
            <w:gridSpan w:val="3"/>
            <w:vMerge w:val="continue"/>
          </w:tcPr>
          <w:p>
            <w:pPr>
              <w:spacing w:after="0"/>
              <w:rPr>
                <w:sz w:val="12"/>
                <w:szCs w:val="12"/>
                <w:color w:val="auto"/>
              </w:rPr>
            </w:pPr>
          </w:p>
        </w:tc>
        <w:tc>
          <w:tcPr>
            <w:tcW w:w="136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Unfunded Pension</w:t>
            </w: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380" w:type="dxa"/>
            <w:vAlign w:val="bottom"/>
            <w:gridSpan w:val="3"/>
            <w:vMerge w:val="continue"/>
          </w:tcPr>
          <w:p>
            <w:pPr>
              <w:spacing w:after="0"/>
              <w:rPr>
                <w:sz w:val="12"/>
                <w:szCs w:val="12"/>
                <w:color w:val="auto"/>
              </w:rPr>
            </w:pPr>
          </w:p>
        </w:tc>
        <w:tc>
          <w:tcPr>
            <w:tcW w:w="136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Available-For-Sale</w:t>
            </w:r>
          </w:p>
        </w:tc>
        <w:tc>
          <w:tcPr>
            <w:tcW w:w="120" w:type="dxa"/>
            <w:vAlign w:val="bottom"/>
          </w:tcPr>
          <w:p>
            <w:pPr>
              <w:spacing w:after="0"/>
              <w:rPr>
                <w:sz w:val="12"/>
                <w:szCs w:val="12"/>
                <w:color w:val="auto"/>
              </w:rPr>
            </w:pPr>
          </w:p>
        </w:tc>
        <w:tc>
          <w:tcPr>
            <w:tcW w:w="12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on Interest Rate</w:t>
            </w:r>
          </w:p>
        </w:tc>
        <w:tc>
          <w:tcPr>
            <w:tcW w:w="1360" w:type="dxa"/>
            <w:vAlign w:val="bottom"/>
            <w:gridSpan w:val="3"/>
            <w:vMerge w:val="continue"/>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vMerge w:val="restart"/>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Translation</w:t>
            </w:r>
          </w:p>
        </w:tc>
        <w:tc>
          <w:tcPr>
            <w:tcW w:w="220" w:type="dxa"/>
            <w:vAlign w:val="bottom"/>
          </w:tcPr>
          <w:p>
            <w:pPr>
              <w:spacing w:after="0"/>
              <w:rPr>
                <w:sz w:val="16"/>
                <w:szCs w:val="16"/>
                <w:color w:val="auto"/>
              </w:rPr>
            </w:pPr>
          </w:p>
        </w:tc>
        <w:tc>
          <w:tcPr>
            <w:tcW w:w="11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120" w:type="dxa"/>
            <w:vAlign w:val="bottom"/>
          </w:tcPr>
          <w:p>
            <w:pPr>
              <w:spacing w:after="0"/>
              <w:rPr>
                <w:sz w:val="16"/>
                <w:szCs w:val="16"/>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Hedge</w:t>
            </w:r>
          </w:p>
        </w:tc>
        <w:tc>
          <w:tcPr>
            <w:tcW w:w="240" w:type="dxa"/>
            <w:vAlign w:val="bottom"/>
          </w:tcPr>
          <w:p>
            <w:pPr>
              <w:spacing w:after="0"/>
              <w:rPr>
                <w:sz w:val="16"/>
                <w:szCs w:val="16"/>
                <w:color w:val="auto"/>
              </w:rPr>
            </w:pPr>
          </w:p>
        </w:tc>
        <w:tc>
          <w:tcPr>
            <w:tcW w:w="11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Liability</w:t>
            </w:r>
          </w:p>
        </w:tc>
        <w:tc>
          <w:tcPr>
            <w:tcW w:w="3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January 1, 2019</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(212,925)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(223,371)</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comprehensive income (loss) before tax effects</w:t>
            </w:r>
          </w:p>
        </w:tc>
        <w:tc>
          <w:tcPr>
            <w:tcW w:w="20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15,960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(17,896)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4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Tax impact related to items in other comprehensive income</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(loss)</w:t>
            </w: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25"/>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Amounts reclassified out of accumulated other comprehensive</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loss</w:t>
            </w:r>
          </w:p>
        </w:tc>
        <w:tc>
          <w:tcPr>
            <w:tcW w:w="20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332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1,369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1,701</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15,960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248</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(16,527)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0" w:type="dxa"/>
            <w:vAlign w:val="bottom"/>
          </w:tcPr>
          <w:p>
            <w:pPr>
              <w:spacing w:after="0"/>
              <w:rPr>
                <w:sz w:val="1"/>
                <w:szCs w:val="1"/>
                <w:color w:val="auto"/>
              </w:rPr>
            </w:pPr>
          </w:p>
        </w:tc>
      </w:tr>
      <w:tr>
        <w:trPr>
          <w:trHeight w:val="257"/>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Balance at September 30, 2019</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(196,965)</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179</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(25,300)</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(1,604)</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(223,690)</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ind w:right="400" w:firstLine="648"/>
        <w:spacing w:after="0" w:line="282" w:lineRule="auto"/>
        <w:rPr>
          <w:sz w:val="20"/>
          <w:szCs w:val="20"/>
          <w:color w:val="auto"/>
        </w:rPr>
      </w:pPr>
      <w:r>
        <w:rPr>
          <w:rFonts w:ascii="Times New Roman" w:cs="Times New Roman" w:eastAsia="Times New Roman" w:hAnsi="Times New Roman"/>
          <w:sz w:val="18"/>
          <w:szCs w:val="18"/>
          <w:color w:val="auto"/>
        </w:rPr>
        <w:t>The amounts reclassified out of accumulated other comprehensive loss into the consolidated statement of operations, with presentation location, during the three and nine months ended September 30, 2019 were as follows (in thousands):</w:t>
      </w:r>
    </w:p>
    <w:p>
      <w:pPr>
        <w:spacing w:after="0" w:line="89"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120" w:type="dxa"/>
            <w:vAlign w:val="bottom"/>
          </w:tcPr>
          <w:p>
            <w:pPr>
              <w:spacing w:after="0"/>
              <w:rPr>
                <w:sz w:val="13"/>
                <w:szCs w:val="13"/>
                <w:color w:val="auto"/>
              </w:rPr>
            </w:pP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For the Nine Months</w:t>
            </w:r>
          </w:p>
        </w:tc>
        <w:tc>
          <w:tcPr>
            <w:tcW w:w="3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320" w:type="dxa"/>
            <w:vAlign w:val="bottom"/>
            <w:vMerge w:val="restart"/>
          </w:tcPr>
          <w:p>
            <w:pPr>
              <w:ind w:left="620"/>
              <w:spacing w:after="0"/>
              <w:rPr>
                <w:sz w:val="20"/>
                <w:szCs w:val="20"/>
                <w:color w:val="auto"/>
              </w:rPr>
            </w:pPr>
            <w:r>
              <w:rPr>
                <w:rFonts w:ascii="Times New Roman" w:cs="Times New Roman" w:eastAsia="Times New Roman" w:hAnsi="Times New Roman"/>
                <w:sz w:val="14"/>
                <w:szCs w:val="14"/>
                <w:b w:val="1"/>
                <w:bCs w:val="1"/>
                <w:color w:val="auto"/>
              </w:rPr>
              <w:t>Other Comprehensive Income (Loss) Components</w:t>
            </w:r>
          </w:p>
        </w:tc>
        <w:tc>
          <w:tcPr>
            <w:tcW w:w="1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Ended September 30,</w:t>
            </w:r>
          </w:p>
        </w:tc>
        <w:tc>
          <w:tcPr>
            <w:tcW w:w="3420" w:type="dxa"/>
            <w:vAlign w:val="bottom"/>
            <w:vMerge w:val="restart"/>
          </w:tcPr>
          <w:p>
            <w:pPr>
              <w:ind w:left="144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0" w:type="dxa"/>
            <w:vAlign w:val="bottom"/>
          </w:tcPr>
          <w:p>
            <w:pPr>
              <w:spacing w:after="0"/>
              <w:rPr>
                <w:sz w:val="1"/>
                <w:szCs w:val="1"/>
                <w:color w:val="auto"/>
              </w:rPr>
            </w:pPr>
          </w:p>
        </w:tc>
      </w:tr>
      <w:tr>
        <w:trPr>
          <w:trHeight w:val="195"/>
        </w:trPr>
        <w:tc>
          <w:tcPr>
            <w:tcW w:w="43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7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Ended September 30, 2019</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00" w:type="dxa"/>
            <w:vAlign w:val="bottom"/>
            <w:tcBorders>
              <w:bottom w:val="single" w:sz="8" w:color="CCEEFF"/>
            </w:tcBorders>
          </w:tcPr>
          <w:p>
            <w:pPr>
              <w:spacing w:after="0"/>
              <w:rPr>
                <w:sz w:val="16"/>
                <w:szCs w:val="16"/>
                <w:color w:val="auto"/>
              </w:rPr>
            </w:pPr>
          </w:p>
        </w:tc>
        <w:tc>
          <w:tcPr>
            <w:tcW w:w="34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4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Unrealized loss on interest rate hedge</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(1,369)</w:t>
            </w:r>
          </w:p>
        </w:tc>
        <w:tc>
          <w:tcPr>
            <w:tcW w:w="100" w:type="dxa"/>
            <w:vAlign w:val="bottom"/>
            <w:tcBorders>
              <w:bottom w:val="single" w:sz="8" w:color="CCEEFF"/>
            </w:tcBorders>
            <w:shd w:val="clear" w:color="auto" w:fill="CCEEFF"/>
          </w:tcPr>
          <w:p>
            <w:pPr>
              <w:spacing w:after="0"/>
              <w:rPr>
                <w:sz w:val="21"/>
                <w:szCs w:val="21"/>
                <w:color w:val="auto"/>
              </w:rPr>
            </w:pPr>
          </w:p>
        </w:tc>
        <w:tc>
          <w:tcPr>
            <w:tcW w:w="3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expense, net of interest income</w:t>
            </w:r>
          </w:p>
        </w:tc>
        <w:tc>
          <w:tcPr>
            <w:tcW w:w="0" w:type="dxa"/>
            <w:vAlign w:val="bottom"/>
          </w:tcPr>
          <w:p>
            <w:pPr>
              <w:spacing w:after="0"/>
              <w:rPr>
                <w:sz w:val="1"/>
                <w:szCs w:val="1"/>
                <w:color w:val="auto"/>
              </w:rPr>
            </w:pPr>
          </w:p>
        </w:tc>
      </w:tr>
      <w:tr>
        <w:trPr>
          <w:trHeight w:val="243"/>
        </w:trPr>
        <w:tc>
          <w:tcPr>
            <w:tcW w:w="4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Unrealized loss on available-for-sale securities</w:t>
            </w:r>
          </w:p>
        </w:tc>
        <w:tc>
          <w:tcPr>
            <w:tcW w:w="140" w:type="dxa"/>
            <w:vAlign w:val="bottom"/>
          </w:tcPr>
          <w:p>
            <w:pPr>
              <w:spacing w:after="0"/>
              <w:rPr>
                <w:sz w:val="21"/>
                <w:szCs w:val="21"/>
                <w:color w:val="auto"/>
              </w:rPr>
            </w:pPr>
          </w:p>
        </w:tc>
        <w:tc>
          <w:tcPr>
            <w:tcW w:w="1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00" w:type="dxa"/>
            <w:vAlign w:val="bottom"/>
          </w:tcPr>
          <w:p>
            <w:pPr>
              <w:spacing w:after="0"/>
              <w:rPr>
                <w:sz w:val="21"/>
                <w:szCs w:val="21"/>
                <w:color w:val="auto"/>
              </w:rPr>
            </w:pPr>
          </w:p>
        </w:tc>
        <w:tc>
          <w:tcPr>
            <w:tcW w:w="3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(expense) income, net</w:t>
            </w:r>
          </w:p>
        </w:tc>
        <w:tc>
          <w:tcPr>
            <w:tcW w:w="0" w:type="dxa"/>
            <w:vAlign w:val="bottom"/>
          </w:tcPr>
          <w:p>
            <w:pPr>
              <w:spacing w:after="0"/>
              <w:rPr>
                <w:sz w:val="1"/>
                <w:szCs w:val="1"/>
                <w:color w:val="auto"/>
              </w:rPr>
            </w:pPr>
          </w:p>
        </w:tc>
      </w:tr>
    </w:tbl>
    <w:p>
      <w:pPr>
        <w:spacing w:after="0" w:line="3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were no reclassifications out of accumulated other comprehensive loss during the three and nine months ended September 30, 2018.</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STOCK-BASED COMPENSATION</w:t>
      </w:r>
    </w:p>
    <w:p>
      <w:pPr>
        <w:spacing w:after="0" w:line="148" w:lineRule="exact"/>
        <w:rPr>
          <w:sz w:val="20"/>
          <w:szCs w:val="20"/>
          <w:color w:val="auto"/>
        </w:rPr>
      </w:pPr>
    </w:p>
    <w:p>
      <w:pPr>
        <w:ind w:right="200" w:firstLine="648"/>
        <w:spacing w:after="0" w:line="256" w:lineRule="auto"/>
        <w:rPr>
          <w:sz w:val="20"/>
          <w:szCs w:val="20"/>
          <w:color w:val="auto"/>
        </w:rPr>
      </w:pPr>
      <w:r>
        <w:rPr>
          <w:rFonts w:ascii="Times New Roman" w:cs="Times New Roman" w:eastAsia="Times New Roman" w:hAnsi="Times New Roman"/>
          <w:sz w:val="18"/>
          <w:szCs w:val="18"/>
          <w:color w:val="auto"/>
        </w:rPr>
        <w:t>Total stock-based compensation cost charged to selling, general and administrative expenses for the three and nine months ended September 30, 2019 was $5.0 million and $14.7 million, respectively. Total stock-based compensation cost charged to selling, general and administrative expenses for the three and nine months ended September 30, 2018 was $4.1 million and $10.7 million, respectively. The total income tax benefit recognized in the consolidated statements of operations from stock-based compensation expense was $1.0 million and $2.8 million for the three and nine months ended September 30, 2019, respectively. The total income tax benefit recognized in the consolidated statements of operations from stock-based compensation was $0.8 million and $2.0 million for the three and nine months ended September 30, 2018, respectively.</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Awards</w:t>
      </w:r>
    </w:p>
    <w:p>
      <w:pPr>
        <w:spacing w:after="0" w:line="148"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The following information relates to restricted stock awards that have been granted to employees and directors under the Company's equity incentive plan adopted in 2010 (the "2010 Plan"). The restricted stock awards are not transferable until vested and the restrictions generally lapse upon the achievement of continued employment over a three-to-five-year period or service as a director until the following annual meeting of shareholders. The fair value of each restricted stock grant is based on the closing price of the Company's common stock on the date of grant and is amortized to expense over its vesting period.</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information about restricted stock awards for the nine months ended September 30, 2019:</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9"/>
        </w:trPr>
        <w:tc>
          <w:tcPr>
            <w:tcW w:w="83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Restricted Stock</w:t>
            </w:r>
          </w:p>
        </w:tc>
        <w:tc>
          <w:tcPr>
            <w:tcW w:w="1480" w:type="dxa"/>
            <w:vAlign w:val="bottom"/>
            <w:vMerge w:val="restart"/>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tcPr>
          <w:p>
            <w:pPr>
              <w:jc w:val="center"/>
              <w:ind w:right="57"/>
              <w:spacing w:after="0" w:line="149" w:lineRule="exact"/>
              <w:rPr>
                <w:sz w:val="20"/>
                <w:szCs w:val="20"/>
                <w:color w:val="auto"/>
              </w:rPr>
            </w:pPr>
            <w:r>
              <w:rPr>
                <w:rFonts w:ascii="Times New Roman" w:cs="Times New Roman" w:eastAsia="Times New Roman" w:hAnsi="Times New Roman"/>
                <w:sz w:val="14"/>
                <w:szCs w:val="14"/>
                <w:b w:val="1"/>
                <w:bCs w:val="1"/>
                <w:color w:val="auto"/>
              </w:rPr>
              <w:t>Grant-Date</w:t>
            </w:r>
          </w:p>
        </w:tc>
        <w:tc>
          <w:tcPr>
            <w:tcW w:w="0" w:type="dxa"/>
            <w:vAlign w:val="bottom"/>
          </w:tcPr>
          <w:p>
            <w:pPr>
              <w:spacing w:after="0"/>
              <w:rPr>
                <w:sz w:val="1"/>
                <w:szCs w:val="1"/>
                <w:color w:val="auto"/>
              </w:rPr>
            </w:pPr>
          </w:p>
        </w:tc>
      </w:tr>
      <w:tr>
        <w:trPr>
          <w:trHeight w:val="195"/>
        </w:trPr>
        <w:tc>
          <w:tcPr>
            <w:tcW w:w="8340" w:type="dxa"/>
            <w:vAlign w:val="bottom"/>
            <w:tcBorders>
              <w:bottom w:val="single" w:sz="8" w:color="CCEEFF"/>
            </w:tcBorders>
            <w:vMerge w:val="continue"/>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49"/>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January 1, 2019</w:t>
            </w: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657,240</w:t>
            </w: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54.65</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Granted</w:t>
            </w:r>
          </w:p>
        </w:tc>
        <w:tc>
          <w:tcPr>
            <w:tcW w:w="14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168,261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68.39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Vested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(230,214)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53.97</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Forfeited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(53,458)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55.27</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September 30, 2019</w:t>
            </w:r>
          </w:p>
        </w:tc>
        <w:tc>
          <w:tcPr>
            <w:tcW w:w="148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541,829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59.14</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121" w:right="239" w:bottom="1440" w:gutter="0" w:footer="0" w:header="0"/>
          <w:type w:val="continuous"/>
        </w:sectPr>
      </w:pPr>
    </w:p>
    <w:bookmarkStart w:id="21" w:name="page22"/>
    <w:bookmarkEnd w:id="2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right="260" w:firstLine="648"/>
        <w:spacing w:after="0" w:line="261" w:lineRule="auto"/>
        <w:rPr>
          <w:sz w:val="20"/>
          <w:szCs w:val="20"/>
          <w:color w:val="auto"/>
        </w:rPr>
      </w:pPr>
      <w:r>
        <w:rPr>
          <w:rFonts w:ascii="Times New Roman" w:cs="Times New Roman" w:eastAsia="Times New Roman" w:hAnsi="Times New Roman"/>
          <w:sz w:val="18"/>
          <w:szCs w:val="18"/>
          <w:color w:val="auto"/>
        </w:rPr>
        <w:t>As of September 30, 2019, there was $24.0 million of total unrecognized compensation cost arising from restricted stock awards under the Company's 2010 Plan. This cost is expected to be recognized over a weighted average period of 2.75 years. The total fair value of restricted stock vested during the three and nine months ended September 30, 2019 was $4.2 million and $15.3 million, respectively. The total fair value of restricted stock vested during the three and nine months ended September 30, 2018 was $1.1 million and $9.4 million,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Stock Awards</w:t>
      </w:r>
    </w:p>
    <w:p>
      <w:pPr>
        <w:spacing w:after="0" w:line="229" w:lineRule="exact"/>
        <w:rPr>
          <w:sz w:val="20"/>
          <w:szCs w:val="20"/>
          <w:color w:val="auto"/>
        </w:rPr>
      </w:pPr>
    </w:p>
    <w:p>
      <w:pPr>
        <w:ind w:right="160" w:firstLine="648"/>
        <w:spacing w:after="0" w:line="256" w:lineRule="auto"/>
        <w:rPr>
          <w:sz w:val="20"/>
          <w:szCs w:val="20"/>
          <w:color w:val="auto"/>
        </w:rPr>
      </w:pPr>
      <w:r>
        <w:rPr>
          <w:rFonts w:ascii="Times New Roman" w:cs="Times New Roman" w:eastAsia="Times New Roman" w:hAnsi="Times New Roman"/>
          <w:sz w:val="18"/>
          <w:szCs w:val="18"/>
          <w:color w:val="auto"/>
        </w:rPr>
        <w:t>The following information relates to performance stock awards that have been granted to employees under the Company's 2010 Plan. Performance stock awards are subject to performance criteria established by the compensation committee of the Company's board of directors prior to or at the date of grant. The vesting of the performance stock awards is based on achieving such targets typically based on revenue, Adjusted EBITDA margin, Adjusted Free Cash Flow and Total Recordable Incident Rate. In addition, performance stock awards include continued service conditions. The fair value of each performance stock award is based on the closing price of the Company's common stock on the date of grant and is amortized to expense over the service period if achievement of performance measures is considered probable.</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information about performance stock awards for the nine months ended September 30, 2019:</w:t>
      </w:r>
    </w:p>
    <w:p>
      <w:pPr>
        <w:spacing w:after="0" w:line="15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3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9"/>
        </w:trPr>
        <w:tc>
          <w:tcPr>
            <w:tcW w:w="83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Performance Stock</w:t>
            </w:r>
          </w:p>
        </w:tc>
        <w:tc>
          <w:tcPr>
            <w:tcW w:w="1480" w:type="dxa"/>
            <w:vAlign w:val="bottom"/>
            <w:vMerge w:val="restart"/>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jc w:val="center"/>
              <w:ind w:right="57"/>
              <w:spacing w:after="0" w:line="149" w:lineRule="exact"/>
              <w:rPr>
                <w:sz w:val="20"/>
                <w:szCs w:val="20"/>
                <w:color w:val="auto"/>
              </w:rPr>
            </w:pPr>
            <w:r>
              <w:rPr>
                <w:rFonts w:ascii="Times New Roman" w:cs="Times New Roman" w:eastAsia="Times New Roman" w:hAnsi="Times New Roman"/>
                <w:sz w:val="14"/>
                <w:szCs w:val="14"/>
                <w:b w:val="1"/>
                <w:bCs w:val="1"/>
                <w:color w:val="auto"/>
              </w:rPr>
              <w:t>Grant-Date</w:t>
            </w:r>
          </w:p>
        </w:tc>
        <w:tc>
          <w:tcPr>
            <w:tcW w:w="0" w:type="dxa"/>
            <w:vAlign w:val="bottom"/>
          </w:tcPr>
          <w:p>
            <w:pPr>
              <w:spacing w:after="0"/>
              <w:rPr>
                <w:sz w:val="1"/>
                <w:szCs w:val="1"/>
                <w:color w:val="auto"/>
              </w:rPr>
            </w:pPr>
          </w:p>
        </w:tc>
      </w:tr>
      <w:tr>
        <w:trPr>
          <w:trHeight w:val="195"/>
        </w:trPr>
        <w:tc>
          <w:tcPr>
            <w:tcW w:w="8340" w:type="dxa"/>
            <w:vAlign w:val="bottom"/>
            <w:tcBorders>
              <w:bottom w:val="single" w:sz="8" w:color="CCEEFF"/>
            </w:tcBorders>
            <w:vMerge w:val="continue"/>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249"/>
        </w:trPr>
        <w:tc>
          <w:tcPr>
            <w:tcW w:w="8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2019</w:t>
            </w:r>
          </w:p>
        </w:tc>
        <w:tc>
          <w:tcPr>
            <w:tcW w:w="14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213,490</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55.71</w:t>
            </w:r>
          </w:p>
        </w:tc>
        <w:tc>
          <w:tcPr>
            <w:tcW w:w="0" w:type="dxa"/>
            <w:vAlign w:val="bottom"/>
          </w:tcPr>
          <w:p>
            <w:pPr>
              <w:spacing w:after="0"/>
              <w:rPr>
                <w:sz w:val="1"/>
                <w:szCs w:val="1"/>
                <w:color w:val="auto"/>
              </w:rPr>
            </w:pPr>
          </w:p>
        </w:tc>
      </w:tr>
      <w:tr>
        <w:trPr>
          <w:trHeight w:val="243"/>
        </w:trPr>
        <w:tc>
          <w:tcPr>
            <w:tcW w:w="8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4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121,075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70.53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(51,996)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55.77</w:t>
            </w:r>
          </w:p>
        </w:tc>
        <w:tc>
          <w:tcPr>
            <w:tcW w:w="0" w:type="dxa"/>
            <w:vAlign w:val="bottom"/>
          </w:tcPr>
          <w:p>
            <w:pPr>
              <w:spacing w:after="0"/>
              <w:rPr>
                <w:sz w:val="1"/>
                <w:szCs w:val="1"/>
                <w:color w:val="auto"/>
              </w:rPr>
            </w:pPr>
          </w:p>
        </w:tc>
      </w:tr>
      <w:tr>
        <w:trPr>
          <w:trHeight w:val="243"/>
        </w:trPr>
        <w:tc>
          <w:tcPr>
            <w:tcW w:w="8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(27,308)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56.53</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September 30, 2019</w:t>
            </w:r>
          </w:p>
        </w:tc>
        <w:tc>
          <w:tcPr>
            <w:tcW w:w="148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255,261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62.64</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As of September 30, 2019, there was $4.5 million of total unrecognized compensation cost arising from unvested performance stock awards deemed probable of vesting under the Company's 2010 Plan. No performance awards vested during the three months ended September 30, 2019 and September 30, 2018. The total fair value of performance awards vested during the nine months ended September 30, 2019 and September 30, 2018 was $2.9 million and $0.5 million, respectively.</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Repurchases</w:t>
      </w:r>
    </w:p>
    <w:p>
      <w:pPr>
        <w:spacing w:after="0" w:line="148"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The Company's board of directors has authorized the repurchase of up to $600.0 million of the Company's common stock. During the three and nine months ended September 30, 2019, the Company repurchased and retired a total of approximately 0.1 million and 0.2 million shares, respectively, of the Company's common stock for total costs of approximately $5.1 million and $16.4 million, respectively. During the three and nine months ended September 30, 2018, the Company repurchased and retired a total of approximately 0.1 million and 0.6 million shares, respectively, of the Company's common stock for total costs of approximately $7.1 million and $33.6 million, respectively. Through September 30, 2019, the Company has repurchased and retired a total of approximately 5.8 million shares of its common stock for approximately $310.3 million under this program. As of September 30, 2019, an additional $289.7 million remained available for repurchase of shares under this program.</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COMMITMENTS AND CONTINGENCIES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and Administrative Proceedings</w:t>
      </w:r>
    </w:p>
    <w:p>
      <w:pPr>
        <w:spacing w:after="0" w:line="148"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The Company and its subsidiaries are subject to legal proceedings and claims arising in the ordinary course of business. Actions filed against the Company arise from commercial and employment-related claims including alleged class actions related to sales practices and wage and hour claims. The plaintiffs in these actions may be seeking damages or injunctive relief or both. These actions are in various jurisdictions and stages of proceedings, and some are covered in part by insurance. In addition, the Company’s waste management services operations are regulated by federal, state, provincial and local laws enacted to regulate discharge of materials into the environment, remediation of contaminated soil and groundwater or otherwise protect the environment. This ongoing regulation results in the Company frequently becoming a party to legal or administrative proceedings involving all levels of governmental authorities and other interested parties. The issues involved in such proceedings generally relate to alleged violations of existing permits and licenses or alleged responsibility under federal or state Superfund laws to remediate contamination at properties owned either by the Company or by other parties (“third-party sites”) to which either the Company or the prior owners of certain of the Company’s facilities shipped wastes.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87"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At September 30, 2019 and December 31, 2018, the Company had recorded reserves of $24.0 million and $25.4 million, respectively, in the Company's financial statements for actual or probable liabilities related to the legal and administrative proceedings in which the Company was then involved, the principal of which are described below. At September 30, 2019 and December 31, 2018, the Company also believed that it was reasonably possible that the amount of these potential liabilities could be as much as $1.8 million more. The Company periodically adjusts the aggregate amount of these reserves when actual or probable liabilities are paid or otherwise discharged, new claims arise or additional relevant information about existing or probable claims becomes available. As of September 30, 2019 and December 31, 2018, the $24.0 million and $25.4 million, respectively, of reserves consisted of (i) $18.1 million and $17.9 million, respectively, related to pending legal or administrative proceedings, including Superfund liabilities, which were included in remedial liabilities on the consolidated balance sheets, and (ii) $5.9 million and $7.5 million, respectively, primarily related to federal, state and provincial enforcement actions, which were included in accrued expenses on the consolidated balance sheets.</w:t>
      </w:r>
    </w:p>
    <w:p>
      <w:pPr>
        <w:spacing w:after="0" w:line="243"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As of September 30, 2019, the principal legal and administrative proceedings in which the Company was involved, or which had been terminated during 2019, were as follows:</w:t>
      </w:r>
    </w:p>
    <w:p>
      <w:pPr>
        <w:spacing w:after="0" w:line="214"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Ville Mercier. </w:t>
      </w:r>
      <w:r>
        <w:rPr>
          <w:rFonts w:ascii="Times New Roman" w:cs="Times New Roman" w:eastAsia="Times New Roman" w:hAnsi="Times New Roman"/>
          <w:sz w:val="18"/>
          <w:szCs w:val="18"/>
          <w:color w:val="auto"/>
        </w:rPr>
        <w:t>In September 2002, the Company acquired the stock of a subsidiary (the "Mercier Subsidiary") which owns a hazardous waste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incinerator in Ville Mercier, Quebec (the "Mercier Facility"). The property adjacent to the Mercier Facility, which is also owned by the Mercier Subsidiary, is now contaminated as a result of actions dating back to 1968, when the Government of Quebec issued two permits to dump organic liquids into lagoons on the property to a company unrelated to the Mercier Subsidiary. In 1999, Ville Mercier and three neighboring municipalities filed separate legal proceedings against the Mercier Subsidiary and the Government of Quebec. In 2012, the municipalities amended their existing statement of claim to seek $2.9 million (CAD) in general damages and $10.0 million (CAD) in punitive damages, plus interest and costs, as well as injunctive relief. Both the Government of Quebec and the Company have filed summary judgment motions against the municipalities. The parties are attempting to negotiate a resolution and hearings on the motions have been delayed. In September 2007, the Quebec Minister of Sustainable Development, Environment and Parks issued a notice pursuant to Section 115.1 of the Environment Quality Act, superseding notices issued in 1992, which are the subject of the pending litigation. The more recent notice notifies the Mercier Subsidiary that, if the Mercier Subsidiary does not take certain remedial measures at the site, the Minister intends to undertake those measures at the site and claim direct and indirect costs related to such measures. The Company has accrued for costs expected to be incurred relative to the resolution of this matter and believes this matter will not have future material effect on its financial position, results of operations or cash flows.</w:t>
      </w:r>
    </w:p>
    <w:p>
      <w:pPr>
        <w:spacing w:after="0" w:line="110" w:lineRule="exact"/>
        <w:rPr>
          <w:sz w:val="20"/>
          <w:szCs w:val="20"/>
          <w:color w:val="auto"/>
        </w:rPr>
      </w:pPr>
    </w:p>
    <w:p>
      <w:pPr>
        <w:jc w:val="both"/>
        <w:ind w:right="10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Safety-Kleen Legal Proceedings. </w:t>
      </w:r>
      <w:r>
        <w:rPr>
          <w:rFonts w:ascii="Times New Roman" w:cs="Times New Roman" w:eastAsia="Times New Roman" w:hAnsi="Times New Roman"/>
          <w:sz w:val="18"/>
          <w:szCs w:val="18"/>
          <w:color w:val="auto"/>
        </w:rPr>
        <w:t>On December 28, 2012, the Company acquired Safety-Kleen, Inc. ("Safety-Kleen") and thereby became subject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legal proceedings in which Safety-Kleen was a party on that date. In addition to certain Superfund proceedings in which Safety-Kleen has been named as a potentially responsible party as described below under “Superfund Proceedings,” the principal such legal proceedings involving Safety-Kleen which were outstanding as of September 30, 2019 were as follows:</w:t>
      </w:r>
    </w:p>
    <w:p>
      <w:pPr>
        <w:spacing w:after="0" w:line="99"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Product Liability Cases. </w:t>
      </w:r>
      <w:r>
        <w:rPr>
          <w:rFonts w:ascii="Times New Roman" w:cs="Times New Roman" w:eastAsia="Times New Roman" w:hAnsi="Times New Roman"/>
          <w:sz w:val="18"/>
          <w:szCs w:val="18"/>
          <w:color w:val="auto"/>
        </w:rPr>
        <w:t>Safety-Kleen has been named as a defendant in various lawsuits that are currently pending in various courts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jurisdictions throughout the United States, including approximately 59 proceedings (excluding cases which have been settled but not formally dismissed) as of September 30, 2019, wherein persons claim personal injury resulting from the use of Safety-Kleen's parts cleaning equipment or cleaning products. These proceedings typically involve allegations that the solvent used in Safety-Kleen's parts cleaning equipment contains contaminants and/or that Safety-Kleen's recycling process does not effectively remove the contaminants that become entrained in the solvent during their use. In addition, certain claimants assert that Safety-Kleen failed to adequately warn the product user of potential risks, including a historic failure to warn that solvent contains trace amounts of toxic or hazardous substances such as benzene.</w:t>
      </w:r>
    </w:p>
    <w:p>
      <w:pPr>
        <w:spacing w:after="0" w:line="23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Safety-Kleen maintains insurance that it believes will provide coverage for these product liability claims (over amounts accrued for self-insured retentions and deductibles in certain limited cases), except for punitive damages to the extent not insurable under state law or excluded from insurance coverage. Safety-Kleen also believes that these claims lack merit and has historically vigorously defended, and intends to continue to vigorously defend, itself and the safety of its products against all these claims. Such matters are subject to many uncertainties and outcomes are not predictable with assurance. Consequently, Safety-Kleen is unable to ascertain the ultimate aggregate amount of monetary liability or financial impact with respect to these matters as of September 30, 2019. From January 1, 2019 to September 30, 2019, 21 product liability claims were settled or dismissed. Due to the nature of these claims and the related insurance, the Company did not incur any expense as Safety-Kleen's insurance provided coverage in full for all such claims. Safety-Kleen may be named in similar, additional lawsuits in the future, including claims for which insurance coverage may not be available.</w:t>
      </w: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00"/>
          </w:cols>
          <w:pgMar w:left="240" w:top="121" w:right="259" w:bottom="1440" w:gutter="0" w:footer="0" w:header="0"/>
        </w:sectPr>
      </w:pPr>
    </w:p>
    <w:bookmarkStart w:id="23" w:name="page24"/>
    <w:bookmarkEnd w:id="2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Superfund Proceedings</w:t>
      </w:r>
    </w:p>
    <w:p>
      <w:pPr>
        <w:spacing w:after="0" w:line="148"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The Company has been notified that either the Company (which, since December 28, 2012, includes Safety-Kleen) or the prior owners of certain of the Company's facilities for which the Company may have certain indemnification obligations have been identified as potentially responsible parties ("PRPs") or potential PRPs in connection with 129 sites which are subject to or are proposed to become subject to proceedings under federal or state Superfund laws. Of the 129 sites, five (including the BR Facility described below) involve facilities that are now owned or leased by the Company and 124 involve third-party sites to which either the Company or the prior owners of certain of the Company’s facilities shipped wastes. Of the 124 third-party sites, 31 are now settled, 16 are currently requiring expenditures on remediation and 77 are not currently requiring expenditures on remediation.</w:t>
      </w:r>
    </w:p>
    <w:p>
      <w:pPr>
        <w:spacing w:after="0" w:line="107"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In connection with each site, the Company has estimated the extent, if any, to which it may be subject, either directly or as a result of any indemnification obligations, for cleanup and remediation costs, related legal and consulting costs associated with PRP investigations, settlements and related legal and administrative proceedings. The amount of such actual and potential liability is inherently difficult to estimate because of, among other relevant factors, uncertainties as to the legal liability, if any, of the Company or the prior owners of certain of the Company's facilities to contribute a portion of the cleanup costs, the assumptions that must be made in calculating the estimated cost and timing of remediation, the identification of other PRPs and their respective capability and obligation to contribute to remediation efforts and the existence and legal standing of indemnification agreements, if any, with prior owners, which may either benefit the Company or subject the Company to potential indemnification obligations. The Company believes its potential liability could exceed $100,000 at ten of the 124 third-party sites.</w:t>
      </w:r>
    </w:p>
    <w:p>
      <w:pPr>
        <w:spacing w:after="0" w:line="237"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BR Facility. </w:t>
      </w:r>
      <w:r>
        <w:rPr>
          <w:rFonts w:ascii="Times New Roman" w:cs="Times New Roman" w:eastAsia="Times New Roman" w:hAnsi="Times New Roman"/>
          <w:sz w:val="18"/>
          <w:szCs w:val="18"/>
          <w:color w:val="auto"/>
        </w:rPr>
        <w:t>The Company acquired in 2002 a former hazardous waste incinerator and landfill in Baton Rouge (the "BR Facility"), for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operations had been previously discontinued by the prior owner. In September 2007, the U.S. Environmental Protection Agency ("EPA")" issued a special notice letter to the Company related to the Devil's Swamp Lake Site ("Devil's Swamp") in East Baton Rouge Parish, Louisiana. Devil's Swamp includes a lake located downstream of an outfall ditch where wastewater and storm water have been discharged, and Devil's Swamp is proposed to be included on the National Priorities List due to the presence of Contaminants of Concern ("COC") cited by the EPA. These COCs include substances of the kind found in wastewater and storm water discharged from the BR Facility in past operations. The EPA originally requested COC generators to submit a good faith offer to conduct a remedial investigation feasibility study directed towards the eventual remediation of the site. In 2018, the Company completed performing corrective actions at the BR Facility under an order issued by the Louisiana Department of Environmental Quality and has also completed conducting the remedial investigation and feasibility study for Devil's Swamp under an order issued by the EPA. The Company cannot presently estimate the potential additional liability for the Devil's Swamp cleanup until a final remedy is selected by the EPA with issuance of a Record of Decision.</w:t>
      </w:r>
    </w:p>
    <w:p>
      <w:pPr>
        <w:spacing w:after="0" w:line="240"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Third-Party Sites. </w:t>
      </w:r>
      <w:r>
        <w:rPr>
          <w:rFonts w:ascii="Times New Roman" w:cs="Times New Roman" w:eastAsia="Times New Roman" w:hAnsi="Times New Roman"/>
          <w:sz w:val="18"/>
          <w:szCs w:val="18"/>
          <w:color w:val="auto"/>
        </w:rPr>
        <w:t>Of the 124 third-party sites at which the Company has been notified it is a PRP or potential PRP or may have indemnification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obligations, Clean Harbors has an indemnification agreement at 11 of these sites with ChemWaste, a former subsidiary of Waste Management, Inc., and at six additional of these third-party sites, Safety-Kleen has a similar indemnification agreement with McKesson Corporation. These agreements indemnify the Company (which now includes Safety-Kleen) with respect to any liability at the 17 sites for waste disposed prior to the Company's (or Safety-Kleen's) acquisition of the former subsidiaries of Waste Management and McKesson which had shipped wastes to those sites. Accordingly, Waste Management or McKesson are paying all costs of defending those subsidiaries in those 17 cases, including legal fees and settlement costs. However, there can be no guarantee that the Company's ultimate liabilities for those sites will not exceed the amount recorded or that indemnities applicable to any of these sites will be available to pay all or a portion of related costs. Except for the indemnification agreements which the Company holds from ChemWaste, McKesson and two other entities, the Company does not have an indemnity agreement with respect to any of the 124 third-party sites discussed above.</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Federal, State and Provincial Enforcement Actions</w:t>
      </w:r>
    </w:p>
    <w:p>
      <w:pPr>
        <w:spacing w:after="0" w:line="148"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From time to time, the Company pays fines or penalties in regulatory proceedings relating primarily to waste treatment, storage or disposal facilities. As of September 30, 2019 and December 31, 2018, there were ten proceedings for which the Company reasonably believes that the sanctions could equal or exceed $100,000. The Company believes that the fines or other penalties in these or any of the other regulatory proceedings will, individually or in the aggregate, not have a material effect on its financial condition, results of operations or cash flows.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LEASES</w:t>
      </w:r>
    </w:p>
    <w:p>
      <w:pPr>
        <w:spacing w:after="0" w:line="148" w:lineRule="exact"/>
        <w:rPr>
          <w:sz w:val="20"/>
          <w:szCs w:val="20"/>
          <w:color w:val="auto"/>
        </w:rPr>
      </w:pPr>
    </w:p>
    <w:p>
      <w:pPr>
        <w:ind w:right="840" w:firstLine="648"/>
        <w:spacing w:after="0" w:line="282" w:lineRule="auto"/>
        <w:rPr>
          <w:sz w:val="20"/>
          <w:szCs w:val="20"/>
          <w:color w:val="auto"/>
        </w:rPr>
      </w:pPr>
      <w:r>
        <w:rPr>
          <w:rFonts w:ascii="Times New Roman" w:cs="Times New Roman" w:eastAsia="Times New Roman" w:hAnsi="Times New Roman"/>
          <w:sz w:val="18"/>
          <w:szCs w:val="18"/>
          <w:color w:val="auto"/>
        </w:rPr>
        <w:t>As of September 30, 2019, the Company’s leases were all operating leases except for two leases associated with the Company’s corporate headquarters, which were amended during 2019, resulting in the classification as finance leases.</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Company’s lease expense was as follows (in thousands):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140" w:type="dxa"/>
            <w:vAlign w:val="bottom"/>
          </w:tcPr>
          <w:p>
            <w:pPr>
              <w:spacing w:after="0"/>
              <w:rPr>
                <w:sz w:val="13"/>
                <w:szCs w:val="13"/>
                <w:color w:val="auto"/>
              </w:rPr>
            </w:pPr>
          </w:p>
        </w:tc>
        <w:tc>
          <w:tcPr>
            <w:tcW w:w="1460" w:type="dxa"/>
            <w:vAlign w:val="bottom"/>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For the Nine Months</w:t>
            </w:r>
          </w:p>
        </w:tc>
        <w:tc>
          <w:tcPr>
            <w:tcW w:w="0" w:type="dxa"/>
            <w:vAlign w:val="bottom"/>
          </w:tcPr>
          <w:p>
            <w:pPr>
              <w:spacing w:after="0"/>
              <w:rPr>
                <w:sz w:val="1"/>
                <w:szCs w:val="1"/>
                <w:color w:val="auto"/>
              </w:rPr>
            </w:pPr>
          </w:p>
        </w:tc>
      </w:tr>
      <w:tr>
        <w:trPr>
          <w:trHeight w:val="149"/>
        </w:trPr>
        <w:tc>
          <w:tcPr>
            <w:tcW w:w="8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Ended September 30,</w:t>
            </w:r>
          </w:p>
        </w:tc>
        <w:tc>
          <w:tcPr>
            <w:tcW w:w="140" w:type="dxa"/>
            <w:vAlign w:val="bottom"/>
          </w:tcPr>
          <w:p>
            <w:pPr>
              <w:spacing w:after="0"/>
              <w:rPr>
                <w:sz w:val="12"/>
                <w:szCs w:val="12"/>
                <w:color w:val="auto"/>
              </w:rPr>
            </w:pPr>
          </w:p>
        </w:tc>
        <w:tc>
          <w:tcPr>
            <w:tcW w:w="1460" w:type="dxa"/>
            <w:vAlign w:val="bottom"/>
          </w:tcPr>
          <w:p>
            <w:pPr>
              <w:jc w:val="center"/>
              <w:ind w:right="54"/>
              <w:spacing w:after="0" w:line="149" w:lineRule="exact"/>
              <w:rPr>
                <w:sz w:val="20"/>
                <w:szCs w:val="20"/>
                <w:color w:val="auto"/>
              </w:rPr>
            </w:pPr>
            <w:r>
              <w:rPr>
                <w:rFonts w:ascii="Times New Roman" w:cs="Times New Roman" w:eastAsia="Times New Roman" w:hAnsi="Times New Roman"/>
                <w:sz w:val="14"/>
                <w:szCs w:val="14"/>
                <w:b w:val="1"/>
                <w:bCs w:val="1"/>
                <w:color w:val="auto"/>
              </w:rPr>
              <w:t>Ended September 30,</w:t>
            </w:r>
          </w:p>
        </w:tc>
        <w:tc>
          <w:tcPr>
            <w:tcW w:w="0" w:type="dxa"/>
            <w:vAlign w:val="bottom"/>
          </w:tcPr>
          <w:p>
            <w:pPr>
              <w:spacing w:after="0"/>
              <w:rPr>
                <w:sz w:val="1"/>
                <w:szCs w:val="1"/>
                <w:color w:val="auto"/>
              </w:rPr>
            </w:pPr>
          </w:p>
        </w:tc>
      </w:tr>
      <w:tr>
        <w:trPr>
          <w:trHeight w:val="195"/>
        </w:trPr>
        <w:tc>
          <w:tcPr>
            <w:tcW w:w="8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0" w:type="dxa"/>
            <w:vAlign w:val="bottom"/>
          </w:tcPr>
          <w:p>
            <w:pPr>
              <w:spacing w:after="0"/>
              <w:rPr>
                <w:sz w:val="1"/>
                <w:szCs w:val="1"/>
                <w:color w:val="auto"/>
              </w:rPr>
            </w:pPr>
          </w:p>
        </w:tc>
      </w:tr>
      <w:tr>
        <w:trPr>
          <w:trHeight w:val="249"/>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lease cost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14,056</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41,406</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Finance lease cost:</w:t>
            </w: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Amortization of ROU asset</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245</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735</w:t>
            </w:r>
          </w:p>
        </w:tc>
        <w:tc>
          <w:tcPr>
            <w:tcW w:w="0" w:type="dxa"/>
            <w:vAlign w:val="bottom"/>
          </w:tcPr>
          <w:p>
            <w:pPr>
              <w:spacing w:after="0"/>
              <w:rPr>
                <w:sz w:val="1"/>
                <w:szCs w:val="1"/>
                <w:color w:val="auto"/>
              </w:rPr>
            </w:pPr>
          </w:p>
        </w:tc>
      </w:tr>
      <w:tr>
        <w:trPr>
          <w:trHeight w:val="243"/>
        </w:trPr>
        <w:tc>
          <w:tcPr>
            <w:tcW w:w="8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Interest on lease liability</w:t>
            </w:r>
          </w:p>
        </w:tc>
        <w:tc>
          <w:tcPr>
            <w:tcW w:w="120" w:type="dxa"/>
            <w:vAlign w:val="bottom"/>
          </w:tcPr>
          <w:p>
            <w:pPr>
              <w:spacing w:after="0"/>
              <w:rPr>
                <w:sz w:val="21"/>
                <w:szCs w:val="21"/>
                <w:color w:val="auto"/>
              </w:rPr>
            </w:pPr>
          </w:p>
        </w:tc>
        <w:tc>
          <w:tcPr>
            <w:tcW w:w="14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367</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979</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finance lease cost</w:t>
            </w:r>
          </w:p>
        </w:tc>
        <w:tc>
          <w:tcPr>
            <w:tcW w:w="1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612</w:t>
            </w: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1,714</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Short-term lease cost</w:t>
            </w:r>
          </w:p>
        </w:tc>
        <w:tc>
          <w:tcPr>
            <w:tcW w:w="1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22,258</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60,295</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Variable lease cost</w:t>
            </w:r>
          </w:p>
        </w:tc>
        <w:tc>
          <w:tcPr>
            <w:tcW w:w="1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2,139</w:t>
            </w: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6,372</w:t>
            </w:r>
          </w:p>
        </w:tc>
        <w:tc>
          <w:tcPr>
            <w:tcW w:w="0" w:type="dxa"/>
            <w:vAlign w:val="bottom"/>
          </w:tcPr>
          <w:p>
            <w:pPr>
              <w:spacing w:after="0"/>
              <w:rPr>
                <w:sz w:val="1"/>
                <w:szCs w:val="1"/>
                <w:color w:val="auto"/>
              </w:rPr>
            </w:pPr>
          </w:p>
        </w:tc>
      </w:tr>
      <w:tr>
        <w:trPr>
          <w:trHeight w:val="257"/>
        </w:trPr>
        <w:tc>
          <w:tcPr>
            <w:tcW w:w="8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lease cost</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39,065</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109,787</w:t>
            </w:r>
          </w:p>
        </w:tc>
        <w:tc>
          <w:tcPr>
            <w:tcW w:w="0" w:type="dxa"/>
            <w:vAlign w:val="bottom"/>
          </w:tcPr>
          <w:p>
            <w:pPr>
              <w:spacing w:after="0"/>
              <w:rPr>
                <w:sz w:val="1"/>
                <w:szCs w:val="1"/>
                <w:color w:val="auto"/>
              </w:rPr>
            </w:pPr>
          </w:p>
        </w:tc>
      </w:tr>
      <w:tr>
        <w:trPr>
          <w:trHeight w:val="20"/>
        </w:trPr>
        <w:tc>
          <w:tcPr>
            <w:tcW w:w="8120" w:type="dxa"/>
            <w:vAlign w:val="bottom"/>
            <w:vMerge w:val="restart"/>
          </w:tcPr>
          <w:p>
            <w:pPr>
              <w:ind w:left="660"/>
              <w:spacing w:after="0"/>
              <w:rPr>
                <w:sz w:val="20"/>
                <w:szCs w:val="20"/>
                <w:color w:val="auto"/>
              </w:rPr>
            </w:pPr>
            <w:r>
              <w:rPr>
                <w:rFonts w:ascii="Times New Roman" w:cs="Times New Roman" w:eastAsia="Times New Roman" w:hAnsi="Times New Roman"/>
                <w:sz w:val="18"/>
                <w:szCs w:val="18"/>
                <w:color w:val="auto"/>
              </w:rPr>
              <w:t>Other information related to leases was as follows (in thousands, except lease term and discount rate):</w:t>
            </w: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7"/>
        </w:trPr>
        <w:tc>
          <w:tcPr>
            <w:tcW w:w="81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8"/>
        </w:trPr>
        <w:tc>
          <w:tcPr>
            <w:tcW w:w="81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Supplemental Lease Balance Sheet Information:</w:t>
            </w:r>
          </w:p>
        </w:tc>
        <w:tc>
          <w:tcPr>
            <w:tcW w:w="120" w:type="dxa"/>
            <w:vAlign w:val="bottom"/>
            <w:tcBorders>
              <w:bottom w:val="single" w:sz="8" w:color="CCEEFF"/>
            </w:tcBorders>
          </w:tcPr>
          <w:p>
            <w:pPr>
              <w:spacing w:after="0"/>
              <w:rPr>
                <w:sz w:val="24"/>
                <w:szCs w:val="24"/>
                <w:color w:val="auto"/>
              </w:rPr>
            </w:pPr>
          </w:p>
        </w:tc>
        <w:tc>
          <w:tcPr>
            <w:tcW w:w="14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September 30, 2019</w:t>
            </w:r>
          </w:p>
        </w:tc>
        <w:tc>
          <w:tcPr>
            <w:tcW w:w="0" w:type="dxa"/>
            <w:vAlign w:val="bottom"/>
          </w:tcPr>
          <w:p>
            <w:pPr>
              <w:spacing w:after="0"/>
              <w:rPr>
                <w:sz w:val="1"/>
                <w:szCs w:val="1"/>
                <w:color w:val="auto"/>
              </w:rPr>
            </w:pPr>
          </w:p>
        </w:tc>
      </w:tr>
      <w:tr>
        <w:trPr>
          <w:trHeight w:val="249"/>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ROU assets:</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Operating leases</w:t>
            </w: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164,302</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Finance leases (included in property, plant and equipment, net)</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30,276</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portion of lease liabilities:</w:t>
            </w: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Operating leases</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41,364</w:t>
            </w:r>
          </w:p>
        </w:tc>
        <w:tc>
          <w:tcPr>
            <w:tcW w:w="0" w:type="dxa"/>
            <w:vAlign w:val="bottom"/>
          </w:tcPr>
          <w:p>
            <w:pPr>
              <w:spacing w:after="0"/>
              <w:rPr>
                <w:sz w:val="1"/>
                <w:szCs w:val="1"/>
                <w:color w:val="auto"/>
              </w:rPr>
            </w:pPr>
          </w:p>
        </w:tc>
      </w:tr>
      <w:tr>
        <w:trPr>
          <w:trHeight w:val="243"/>
        </w:trPr>
        <w:tc>
          <w:tcPr>
            <w:tcW w:w="8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Finance leases (included in accrued expenses)</w:t>
            </w: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440</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Long-term portion of lease liabilities:</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Operating leases</w:t>
            </w: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122,668</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Finance leases (included in deferred taxes, unrecognized tax benefits and other long-term liabilities)</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32,228</w:t>
            </w:r>
          </w:p>
        </w:tc>
        <w:tc>
          <w:tcPr>
            <w:tcW w:w="0" w:type="dxa"/>
            <w:vAlign w:val="bottom"/>
          </w:tcPr>
          <w:p>
            <w:pPr>
              <w:spacing w:after="0"/>
              <w:rPr>
                <w:sz w:val="1"/>
                <w:szCs w:val="1"/>
                <w:color w:val="auto"/>
              </w:rPr>
            </w:pPr>
          </w:p>
        </w:tc>
      </w:tr>
      <w:tr>
        <w:trPr>
          <w:trHeight w:val="724"/>
        </w:trPr>
        <w:tc>
          <w:tcPr>
            <w:tcW w:w="81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Weighted Average Remaining Lease Term (years)</w:t>
            </w:r>
          </w:p>
        </w:tc>
        <w:tc>
          <w:tcPr>
            <w:tcW w:w="120" w:type="dxa"/>
            <w:vAlign w:val="bottom"/>
            <w:tcBorders>
              <w:bottom w:val="single" w:sz="8" w:color="CCEEFF"/>
            </w:tcBorders>
          </w:tcPr>
          <w:p>
            <w:pPr>
              <w:spacing w:after="0"/>
              <w:rPr>
                <w:sz w:val="24"/>
                <w:szCs w:val="24"/>
                <w:color w:val="auto"/>
              </w:rPr>
            </w:pPr>
          </w:p>
        </w:tc>
        <w:tc>
          <w:tcPr>
            <w:tcW w:w="14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September 30, 2019</w:t>
            </w:r>
          </w:p>
        </w:tc>
        <w:tc>
          <w:tcPr>
            <w:tcW w:w="0" w:type="dxa"/>
            <w:vAlign w:val="bottom"/>
          </w:tcPr>
          <w:p>
            <w:pPr>
              <w:spacing w:after="0"/>
              <w:rPr>
                <w:sz w:val="1"/>
                <w:szCs w:val="1"/>
                <w:color w:val="auto"/>
              </w:rPr>
            </w:pPr>
          </w:p>
        </w:tc>
      </w:tr>
      <w:tr>
        <w:trPr>
          <w:trHeight w:val="249"/>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leases</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Finance leases</w:t>
            </w: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22.8</w:t>
            </w:r>
          </w:p>
        </w:tc>
        <w:tc>
          <w:tcPr>
            <w:tcW w:w="0" w:type="dxa"/>
            <w:vAlign w:val="bottom"/>
          </w:tcPr>
          <w:p>
            <w:pPr>
              <w:spacing w:after="0"/>
              <w:rPr>
                <w:sz w:val="1"/>
                <w:szCs w:val="1"/>
                <w:color w:val="auto"/>
              </w:rPr>
            </w:pPr>
          </w:p>
        </w:tc>
      </w:tr>
      <w:tr>
        <w:trPr>
          <w:trHeight w:val="270"/>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Weighted Average Discount Rate</w:t>
            </w:r>
          </w:p>
        </w:tc>
        <w:tc>
          <w:tcPr>
            <w:tcW w:w="1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leases</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Finance leases</w:t>
            </w: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0" w:type="dxa"/>
            <w:vAlign w:val="bottom"/>
          </w:tcPr>
          <w:p>
            <w:pPr>
              <w:spacing w:after="0"/>
              <w:rPr>
                <w:sz w:val="1"/>
                <w:szCs w:val="1"/>
                <w:color w:val="auto"/>
              </w:rPr>
            </w:pPr>
          </w:p>
        </w:tc>
      </w:tr>
    </w:tbl>
    <w:p>
      <w:pPr>
        <w:spacing w:after="0" w:line="333" w:lineRule="exact"/>
        <w:rPr>
          <w:sz w:val="20"/>
          <w:szCs w:val="20"/>
          <w:color w:val="auto"/>
        </w:rPr>
      </w:pPr>
    </w:p>
    <w:p>
      <w:pPr>
        <w:ind w:right="560" w:firstLine="648"/>
        <w:spacing w:after="0" w:line="282" w:lineRule="auto"/>
        <w:rPr>
          <w:sz w:val="20"/>
          <w:szCs w:val="20"/>
          <w:color w:val="auto"/>
        </w:rPr>
      </w:pPr>
      <w:r>
        <w:rPr>
          <w:rFonts w:ascii="Times New Roman" w:cs="Times New Roman" w:eastAsia="Times New Roman" w:hAnsi="Times New Roman"/>
          <w:sz w:val="18"/>
          <w:szCs w:val="18"/>
          <w:color w:val="auto"/>
        </w:rPr>
        <w:t>At September 30, 2019, the Company's future lease payments under non-cancelable leases that have lease terms in excess of one year were as follows (in thousands):</w:t>
      </w:r>
    </w:p>
    <w:p>
      <w:pPr>
        <w:spacing w:after="0" w:line="197"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1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Years Ending December 31,</w:t>
            </w:r>
          </w:p>
        </w:tc>
        <w:tc>
          <w:tcPr>
            <w:tcW w:w="300" w:type="dxa"/>
            <w:vAlign w:val="bottom"/>
          </w:tcPr>
          <w:p>
            <w:pPr>
              <w:spacing w:after="0"/>
              <w:rPr>
                <w:sz w:val="13"/>
                <w:szCs w:val="13"/>
                <w:color w:val="auto"/>
              </w:rPr>
            </w:pPr>
          </w:p>
        </w:tc>
        <w:tc>
          <w:tcPr>
            <w:tcW w:w="140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340" w:type="dxa"/>
            <w:vAlign w:val="bottom"/>
          </w:tcPr>
          <w:p>
            <w:pPr>
              <w:spacing w:after="0"/>
              <w:rPr>
                <w:sz w:val="13"/>
                <w:szCs w:val="13"/>
                <w:color w:val="auto"/>
              </w:rPr>
            </w:pPr>
          </w:p>
        </w:tc>
        <w:tc>
          <w:tcPr>
            <w:tcW w:w="126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Finance</w:t>
            </w:r>
          </w:p>
        </w:tc>
        <w:tc>
          <w:tcPr>
            <w:tcW w:w="0" w:type="dxa"/>
            <w:vAlign w:val="bottom"/>
          </w:tcPr>
          <w:p>
            <w:pPr>
              <w:spacing w:after="0"/>
              <w:rPr>
                <w:sz w:val="1"/>
                <w:szCs w:val="1"/>
                <w:color w:val="auto"/>
              </w:rPr>
            </w:pPr>
          </w:p>
        </w:tc>
      </w:tr>
      <w:tr>
        <w:trPr>
          <w:trHeight w:val="160"/>
        </w:trPr>
        <w:tc>
          <w:tcPr>
            <w:tcW w:w="8100" w:type="dxa"/>
            <w:vAlign w:val="bottom"/>
            <w:gridSpan w:val="3"/>
            <w:vMerge w:val="continue"/>
          </w:tcPr>
          <w:p>
            <w:pPr>
              <w:spacing w:after="0"/>
              <w:rPr>
                <w:sz w:val="13"/>
                <w:szCs w:val="13"/>
                <w:color w:val="auto"/>
              </w:rPr>
            </w:pPr>
          </w:p>
        </w:tc>
        <w:tc>
          <w:tcPr>
            <w:tcW w:w="300" w:type="dxa"/>
            <w:vAlign w:val="bottom"/>
          </w:tcPr>
          <w:p>
            <w:pPr>
              <w:spacing w:after="0"/>
              <w:rPr>
                <w:sz w:val="13"/>
                <w:szCs w:val="13"/>
                <w:color w:val="auto"/>
              </w:rPr>
            </w:pPr>
          </w:p>
        </w:tc>
        <w:tc>
          <w:tcPr>
            <w:tcW w:w="1400" w:type="dxa"/>
            <w:vAlign w:val="bottom"/>
            <w:gridSpan w:val="2"/>
          </w:tcPr>
          <w:p>
            <w:pPr>
              <w:jc w:val="center"/>
              <w:ind w:right="400"/>
              <w:spacing w:after="0" w:line="160" w:lineRule="exact"/>
              <w:rPr>
                <w:sz w:val="20"/>
                <w:szCs w:val="20"/>
                <w:color w:val="auto"/>
              </w:rPr>
            </w:pPr>
            <w:r>
              <w:rPr>
                <w:rFonts w:ascii="Times New Roman" w:cs="Times New Roman" w:eastAsia="Times New Roman" w:hAnsi="Times New Roman"/>
                <w:sz w:val="14"/>
                <w:szCs w:val="14"/>
                <w:b w:val="1"/>
                <w:bCs w:val="1"/>
                <w:color w:val="auto"/>
              </w:rPr>
              <w:t>Leases</w:t>
            </w:r>
          </w:p>
        </w:tc>
        <w:tc>
          <w:tcPr>
            <w:tcW w:w="340" w:type="dxa"/>
            <w:vAlign w:val="bottom"/>
          </w:tcPr>
          <w:p>
            <w:pPr>
              <w:spacing w:after="0"/>
              <w:rPr>
                <w:sz w:val="13"/>
                <w:szCs w:val="13"/>
                <w:color w:val="auto"/>
              </w:rPr>
            </w:pPr>
          </w:p>
        </w:tc>
        <w:tc>
          <w:tcPr>
            <w:tcW w:w="1260" w:type="dxa"/>
            <w:vAlign w:val="bottom"/>
          </w:tcPr>
          <w:p>
            <w:pPr>
              <w:jc w:val="right"/>
              <w:ind w:right="513"/>
              <w:spacing w:after="0" w:line="160" w:lineRule="exact"/>
              <w:rPr>
                <w:sz w:val="20"/>
                <w:szCs w:val="20"/>
                <w:color w:val="auto"/>
              </w:rPr>
            </w:pPr>
            <w:r>
              <w:rPr>
                <w:rFonts w:ascii="Times New Roman" w:cs="Times New Roman" w:eastAsia="Times New Roman" w:hAnsi="Times New Roman"/>
                <w:sz w:val="14"/>
                <w:szCs w:val="14"/>
                <w:b w:val="1"/>
                <w:bCs w:val="1"/>
                <w:color w:val="auto"/>
              </w:rPr>
              <w:t>Leases</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700" w:type="dxa"/>
            <w:vAlign w:val="bottom"/>
            <w:tcBorders>
              <w:top w:val="single" w:sz="8" w:color="auto"/>
              <w:bottom w:val="single" w:sz="8" w:color="CCEEFF"/>
            </w:tcBorders>
          </w:tcPr>
          <w:p>
            <w:pPr>
              <w:spacing w:after="0" w:line="20" w:lineRule="exact"/>
              <w:rPr>
                <w:sz w:val="1"/>
                <w:szCs w:val="1"/>
                <w:color w:val="auto"/>
              </w:rPr>
            </w:pPr>
          </w:p>
        </w:tc>
        <w:tc>
          <w:tcPr>
            <w:tcW w:w="63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4"/>
        </w:trPr>
        <w:tc>
          <w:tcPr>
            <w:tcW w:w="81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2019 (three months)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13,856</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535</w:t>
            </w:r>
          </w:p>
        </w:tc>
        <w:tc>
          <w:tcPr>
            <w:tcW w:w="0" w:type="dxa"/>
            <w:vAlign w:val="bottom"/>
          </w:tcPr>
          <w:p>
            <w:pPr>
              <w:spacing w:after="0"/>
              <w:rPr>
                <w:sz w:val="1"/>
                <w:szCs w:val="1"/>
                <w:color w:val="auto"/>
              </w:rPr>
            </w:pPr>
          </w:p>
        </w:tc>
      </w:tr>
      <w:tr>
        <w:trPr>
          <w:trHeight w:val="243"/>
        </w:trPr>
        <w:tc>
          <w:tcPr>
            <w:tcW w:w="1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2020</w:t>
            </w:r>
          </w:p>
        </w:tc>
        <w:tc>
          <w:tcPr>
            <w:tcW w:w="63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48,577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2,194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6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7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63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36,506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2,244</w:t>
            </w:r>
          </w:p>
        </w:tc>
        <w:tc>
          <w:tcPr>
            <w:tcW w:w="0" w:type="dxa"/>
            <w:vAlign w:val="bottom"/>
          </w:tcPr>
          <w:p>
            <w:pPr>
              <w:spacing w:after="0"/>
              <w:rPr>
                <w:sz w:val="1"/>
                <w:szCs w:val="1"/>
                <w:color w:val="auto"/>
              </w:rPr>
            </w:pPr>
          </w:p>
        </w:tc>
      </w:tr>
      <w:tr>
        <w:trPr>
          <w:trHeight w:val="243"/>
        </w:trPr>
        <w:tc>
          <w:tcPr>
            <w:tcW w:w="1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63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28,814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2,297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6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7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63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20,793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2,356</w:t>
            </w:r>
          </w:p>
        </w:tc>
        <w:tc>
          <w:tcPr>
            <w:tcW w:w="0" w:type="dxa"/>
            <w:vAlign w:val="bottom"/>
          </w:tcPr>
          <w:p>
            <w:pPr>
              <w:spacing w:after="0"/>
              <w:rPr>
                <w:sz w:val="1"/>
                <w:szCs w:val="1"/>
                <w:color w:val="auto"/>
              </w:rPr>
            </w:pPr>
          </w:p>
        </w:tc>
      </w:tr>
      <w:tr>
        <w:trPr>
          <w:trHeight w:val="243"/>
        </w:trPr>
        <w:tc>
          <w:tcPr>
            <w:tcW w:w="1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63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13,930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2,411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6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27,697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51,151</w:t>
            </w:r>
          </w:p>
        </w:tc>
        <w:tc>
          <w:tcPr>
            <w:tcW w:w="0" w:type="dxa"/>
            <w:vAlign w:val="bottom"/>
          </w:tcPr>
          <w:p>
            <w:pPr>
              <w:spacing w:after="0"/>
              <w:rPr>
                <w:sz w:val="1"/>
                <w:szCs w:val="1"/>
                <w:color w:val="auto"/>
              </w:rPr>
            </w:pPr>
          </w:p>
        </w:tc>
      </w:tr>
      <w:tr>
        <w:trPr>
          <w:trHeight w:val="237"/>
        </w:trPr>
        <w:tc>
          <w:tcPr>
            <w:tcW w:w="81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 future lease payments</w:t>
            </w:r>
          </w:p>
        </w:tc>
        <w:tc>
          <w:tcPr>
            <w:tcW w:w="3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190,173</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63,188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6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 representing interest</w:t>
            </w: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(26,141)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(30,520)</w:t>
            </w:r>
          </w:p>
        </w:tc>
        <w:tc>
          <w:tcPr>
            <w:tcW w:w="0" w:type="dxa"/>
            <w:vAlign w:val="bottom"/>
          </w:tcPr>
          <w:p>
            <w:pPr>
              <w:spacing w:after="0"/>
              <w:rPr>
                <w:sz w:val="1"/>
                <w:szCs w:val="1"/>
                <w:color w:val="auto"/>
              </w:rPr>
            </w:pPr>
          </w:p>
        </w:tc>
      </w:tr>
      <w:tr>
        <w:trPr>
          <w:trHeight w:val="257"/>
        </w:trPr>
        <w:tc>
          <w:tcPr>
            <w:tcW w:w="81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 lease liabilities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164,032</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32,668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At September 30, 2019, none of the Company's executed leases that had not yet commenced will create significant rights or obligations in the future and its sublease transactions are not material. Additionally, the Company does not have any related party leases and there were no restrictions or covenants imposed by its leases.</w:t>
      </w:r>
    </w:p>
    <w:p>
      <w:pPr>
        <w:sectPr>
          <w:pgSz w:w="11900" w:h="16838" w:orient="portrait"/>
          <w:cols w:equalWidth="0" w:num="1">
            <w:col w:w="11420"/>
          </w:cols>
          <w:pgMar w:left="240" w:top="121" w:right="239" w:bottom="1157" w:gutter="0" w:footer="0" w:header="0"/>
        </w:sect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121" w:right="239" w:bottom="1157" w:gutter="0" w:footer="0" w:header="0"/>
          <w:type w:val="continuous"/>
        </w:sectPr>
      </w:pPr>
    </w:p>
    <w:bookmarkStart w:id="25" w:name="page26"/>
    <w:bookmarkEnd w:id="2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Disclosures related to periods prior to adoption of Topic 842</w:t>
      </w:r>
    </w:p>
    <w:p>
      <w:pPr>
        <w:spacing w:after="0" w:line="281"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The following is a summary of future minimum payments under operating leases that have initial or remaining non-cancelable lease terms in excess of one year at December 31, 2018 (in thousands):</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00" w:type="dxa"/>
            <w:vAlign w:val="bottom"/>
          </w:tcPr>
          <w:p>
            <w:pPr>
              <w:jc w:val="center"/>
              <w:ind w:right="21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982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Year</w:t>
            </w:r>
          </w:p>
        </w:tc>
        <w:tc>
          <w:tcPr>
            <w:tcW w:w="300" w:type="dxa"/>
            <w:vAlign w:val="bottom"/>
          </w:tcPr>
          <w:p>
            <w:pPr>
              <w:spacing w:after="0"/>
              <w:rPr>
                <w:sz w:val="12"/>
                <w:szCs w:val="12"/>
                <w:color w:val="auto"/>
              </w:rPr>
            </w:pPr>
          </w:p>
        </w:tc>
        <w:tc>
          <w:tcPr>
            <w:tcW w:w="1300" w:type="dxa"/>
            <w:vAlign w:val="bottom"/>
          </w:tcPr>
          <w:p>
            <w:pPr>
              <w:jc w:val="center"/>
              <w:ind w:right="215"/>
              <w:spacing w:after="0" w:line="149" w:lineRule="exact"/>
              <w:rPr>
                <w:sz w:val="20"/>
                <w:szCs w:val="20"/>
                <w:color w:val="auto"/>
              </w:rPr>
            </w:pPr>
            <w:r>
              <w:rPr>
                <w:rFonts w:ascii="Times New Roman" w:cs="Times New Roman" w:eastAsia="Times New Roman" w:hAnsi="Times New Roman"/>
                <w:sz w:val="14"/>
                <w:szCs w:val="14"/>
                <w:b w:val="1"/>
                <w:bCs w:val="1"/>
                <w:color w:val="auto"/>
              </w:rPr>
              <w:t>Operating</w:t>
            </w:r>
          </w:p>
        </w:tc>
        <w:tc>
          <w:tcPr>
            <w:tcW w:w="0" w:type="dxa"/>
            <w:vAlign w:val="bottom"/>
          </w:tcPr>
          <w:p>
            <w:pPr>
              <w:spacing w:after="0"/>
              <w:rPr>
                <w:sz w:val="1"/>
                <w:szCs w:val="1"/>
                <w:color w:val="auto"/>
              </w:rPr>
            </w:pPr>
          </w:p>
        </w:tc>
      </w:tr>
      <w:tr>
        <w:trPr>
          <w:trHeight w:val="160"/>
        </w:trPr>
        <w:tc>
          <w:tcPr>
            <w:tcW w:w="9820" w:type="dxa"/>
            <w:vAlign w:val="bottom"/>
            <w:gridSpan w:val="3"/>
            <w:vMerge w:val="continue"/>
          </w:tcPr>
          <w:p>
            <w:pPr>
              <w:spacing w:after="0"/>
              <w:rPr>
                <w:sz w:val="13"/>
                <w:szCs w:val="13"/>
                <w:color w:val="auto"/>
              </w:rPr>
            </w:pPr>
          </w:p>
        </w:tc>
        <w:tc>
          <w:tcPr>
            <w:tcW w:w="300" w:type="dxa"/>
            <w:vAlign w:val="bottom"/>
          </w:tcPr>
          <w:p>
            <w:pPr>
              <w:spacing w:after="0"/>
              <w:rPr>
                <w:sz w:val="13"/>
                <w:szCs w:val="13"/>
                <w:color w:val="auto"/>
              </w:rPr>
            </w:pPr>
          </w:p>
        </w:tc>
        <w:tc>
          <w:tcPr>
            <w:tcW w:w="1300" w:type="dxa"/>
            <w:vAlign w:val="bottom"/>
          </w:tcPr>
          <w:p>
            <w:pPr>
              <w:jc w:val="center"/>
              <w:ind w:right="215"/>
              <w:spacing w:after="0" w:line="160" w:lineRule="exact"/>
              <w:rPr>
                <w:sz w:val="20"/>
                <w:szCs w:val="20"/>
                <w:color w:val="auto"/>
              </w:rPr>
            </w:pPr>
            <w:r>
              <w:rPr>
                <w:rFonts w:ascii="Times New Roman" w:cs="Times New Roman" w:eastAsia="Times New Roman" w:hAnsi="Times New Roman"/>
                <w:sz w:val="14"/>
                <w:szCs w:val="14"/>
                <w:b w:val="1"/>
                <w:bCs w:val="1"/>
                <w:color w:val="auto"/>
              </w:rPr>
              <w:t>Leases</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CCEEFF"/>
            </w:tcBorders>
          </w:tcPr>
          <w:p>
            <w:pPr>
              <w:spacing w:after="0" w:line="20" w:lineRule="exact"/>
              <w:rPr>
                <w:sz w:val="1"/>
                <w:szCs w:val="1"/>
                <w:color w:val="auto"/>
              </w:rPr>
            </w:pPr>
          </w:p>
        </w:tc>
        <w:tc>
          <w:tcPr>
            <w:tcW w:w="95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982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2019</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56,480</w:t>
            </w:r>
          </w:p>
        </w:tc>
        <w:tc>
          <w:tcPr>
            <w:tcW w:w="0" w:type="dxa"/>
            <w:vAlign w:val="bottom"/>
          </w:tcPr>
          <w:p>
            <w:pPr>
              <w:spacing w:after="0"/>
              <w:rPr>
                <w:sz w:val="1"/>
                <w:szCs w:val="1"/>
                <w:color w:val="auto"/>
              </w:rPr>
            </w:pPr>
          </w:p>
        </w:tc>
      </w:tr>
      <w:tr>
        <w:trPr>
          <w:trHeight w:val="243"/>
        </w:trPr>
        <w:tc>
          <w:tcPr>
            <w:tcW w:w="98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2020</w:t>
            </w:r>
          </w:p>
        </w:tc>
        <w:tc>
          <w:tcPr>
            <w:tcW w:w="300" w:type="dxa"/>
            <w:vAlign w:val="bottom"/>
          </w:tcPr>
          <w:p>
            <w:pPr>
              <w:spacing w:after="0"/>
              <w:rPr>
                <w:sz w:val="21"/>
                <w:szCs w:val="21"/>
                <w:color w:val="auto"/>
              </w:rPr>
            </w:pPr>
          </w:p>
        </w:tc>
        <w:tc>
          <w:tcPr>
            <w:tcW w:w="13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45,467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82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2021</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33,564</w:t>
            </w:r>
          </w:p>
        </w:tc>
        <w:tc>
          <w:tcPr>
            <w:tcW w:w="0" w:type="dxa"/>
            <w:vAlign w:val="bottom"/>
          </w:tcPr>
          <w:p>
            <w:pPr>
              <w:spacing w:after="0"/>
              <w:rPr>
                <w:sz w:val="1"/>
                <w:szCs w:val="1"/>
                <w:color w:val="auto"/>
              </w:rPr>
            </w:pPr>
          </w:p>
        </w:tc>
      </w:tr>
      <w:tr>
        <w:trPr>
          <w:trHeight w:val="243"/>
        </w:trPr>
        <w:tc>
          <w:tcPr>
            <w:tcW w:w="98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2022</w:t>
            </w:r>
          </w:p>
        </w:tc>
        <w:tc>
          <w:tcPr>
            <w:tcW w:w="300" w:type="dxa"/>
            <w:vAlign w:val="bottom"/>
          </w:tcPr>
          <w:p>
            <w:pPr>
              <w:spacing w:after="0"/>
              <w:rPr>
                <w:sz w:val="21"/>
                <w:szCs w:val="21"/>
                <w:color w:val="auto"/>
              </w:rPr>
            </w:pPr>
          </w:p>
        </w:tc>
        <w:tc>
          <w:tcPr>
            <w:tcW w:w="13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24,509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82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2023</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15,253</w:t>
            </w:r>
          </w:p>
        </w:tc>
        <w:tc>
          <w:tcPr>
            <w:tcW w:w="0" w:type="dxa"/>
            <w:vAlign w:val="bottom"/>
          </w:tcPr>
          <w:p>
            <w:pPr>
              <w:spacing w:after="0"/>
              <w:rPr>
                <w:sz w:val="1"/>
                <w:szCs w:val="1"/>
                <w:color w:val="auto"/>
              </w:rPr>
            </w:pPr>
          </w:p>
        </w:tc>
      </w:tr>
      <w:tr>
        <w:trPr>
          <w:trHeight w:val="243"/>
        </w:trPr>
        <w:tc>
          <w:tcPr>
            <w:tcW w:w="98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Thereafter</w:t>
            </w:r>
          </w:p>
        </w:tc>
        <w:tc>
          <w:tcPr>
            <w:tcW w:w="300" w:type="dxa"/>
            <w:vAlign w:val="bottom"/>
          </w:tcPr>
          <w:p>
            <w:pPr>
              <w:spacing w:after="0"/>
              <w:rPr>
                <w:sz w:val="21"/>
                <w:szCs w:val="21"/>
                <w:color w:val="auto"/>
              </w:rPr>
            </w:pPr>
          </w:p>
        </w:tc>
        <w:tc>
          <w:tcPr>
            <w:tcW w:w="13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35,778</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95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982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211,051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5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2018, 2017 and 2016, rent expense including short-term rentals was approximately $141.1 million, $125.4 million and $121.9 million, respectively.</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SEGMENT REPORTING</w:t>
      </w:r>
    </w:p>
    <w:p>
      <w:pPr>
        <w:spacing w:after="0" w:line="148"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Segment reporting is prepared on the same basis that the Company's chief executive officer, who is the Company's chief operating decision maker, manages the business, makes operating decisions and assesses performance. The Company's operations are managed in two operating segments: Environmental Services and Safety-Kleen.</w:t>
      </w:r>
    </w:p>
    <w:p>
      <w:pPr>
        <w:spacing w:after="0" w:line="95"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Third-party revenue is revenue billed to outside customers by a particular segment. Direct revenue is revenue allocated to the segment providing the product or service. Intersegment revenues represent the sharing of third-party revenues among the segments based on products and services provided by each segment as if the products and services were sold directly to the third-party. The intersegment revenues are shown net. The operations not managed through the Company’s operating segments described above are recorded as “Corporate Items.”</w:t>
      </w:r>
    </w:p>
    <w:p>
      <w:pPr>
        <w:spacing w:after="0" w:line="99"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reconciles third-party revenues to direct revenues for the three and nine months ended September 30, 2019 and September 30, 2018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5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900" w:type="dxa"/>
            <w:vAlign w:val="bottom"/>
            <w:tcBorders>
              <w:bottom w:val="single" w:sz="8" w:color="auto"/>
            </w:tcBorders>
            <w:gridSpan w:val="9"/>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 2019</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840" w:type="dxa"/>
            <w:vAlign w:val="bottom"/>
            <w:tcBorders>
              <w:bottom w:val="single" w:sz="8" w:color="auto"/>
            </w:tcBorders>
            <w:gridSpan w:val="9"/>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 2018</w:t>
            </w: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1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Third-party</w:t>
            </w:r>
          </w:p>
        </w:tc>
        <w:tc>
          <w:tcPr>
            <w:tcW w:w="140" w:type="dxa"/>
            <w:vAlign w:val="bottom"/>
          </w:tcPr>
          <w:p>
            <w:pPr>
              <w:spacing w:after="0"/>
              <w:rPr>
                <w:sz w:val="12"/>
                <w:szCs w:val="12"/>
                <w:color w:val="auto"/>
              </w:rPr>
            </w:pPr>
          </w:p>
        </w:tc>
        <w:tc>
          <w:tcPr>
            <w:tcW w:w="114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Intersegment</w:t>
            </w:r>
          </w:p>
        </w:tc>
        <w:tc>
          <w:tcPr>
            <w:tcW w:w="124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Corporate Items,</w:t>
            </w:r>
          </w:p>
        </w:tc>
        <w:tc>
          <w:tcPr>
            <w:tcW w:w="124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Direct revenues</w:t>
            </w:r>
          </w:p>
        </w:tc>
        <w:tc>
          <w:tcPr>
            <w:tcW w:w="16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Third-party</w:t>
            </w:r>
          </w:p>
        </w:tc>
        <w:tc>
          <w:tcPr>
            <w:tcW w:w="140" w:type="dxa"/>
            <w:vAlign w:val="bottom"/>
          </w:tcPr>
          <w:p>
            <w:pPr>
              <w:spacing w:after="0"/>
              <w:rPr>
                <w:sz w:val="12"/>
                <w:szCs w:val="12"/>
                <w:color w:val="auto"/>
              </w:rPr>
            </w:pPr>
          </w:p>
        </w:tc>
        <w:tc>
          <w:tcPr>
            <w:tcW w:w="110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Intersegment</w:t>
            </w:r>
          </w:p>
        </w:tc>
        <w:tc>
          <w:tcPr>
            <w:tcW w:w="124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Corporate Items,</w:t>
            </w:r>
          </w:p>
        </w:tc>
        <w:tc>
          <w:tcPr>
            <w:tcW w:w="1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Direct revenues</w:t>
            </w:r>
          </w:p>
        </w:tc>
        <w:tc>
          <w:tcPr>
            <w:tcW w:w="0" w:type="dxa"/>
            <w:vAlign w:val="bottom"/>
          </w:tcPr>
          <w:p>
            <w:pPr>
              <w:spacing w:after="0"/>
              <w:rPr>
                <w:sz w:val="1"/>
                <w:szCs w:val="1"/>
                <w:color w:val="auto"/>
              </w:rPr>
            </w:pPr>
          </w:p>
        </w:tc>
      </w:tr>
      <w:tr>
        <w:trPr>
          <w:trHeight w:val="195"/>
        </w:trPr>
        <w:tc>
          <w:tcPr>
            <w:tcW w:w="1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40" w:type="dxa"/>
            <w:vAlign w:val="bottom"/>
          </w:tcPr>
          <w:p>
            <w:pPr>
              <w:spacing w:after="0"/>
              <w:rPr>
                <w:sz w:val="16"/>
                <w:szCs w:val="16"/>
                <w:color w:val="auto"/>
              </w:rPr>
            </w:pPr>
          </w:p>
        </w:tc>
        <w:tc>
          <w:tcPr>
            <w:tcW w:w="11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revenues, net</w:t>
            </w:r>
          </w:p>
        </w:tc>
        <w:tc>
          <w:tcPr>
            <w:tcW w:w="280" w:type="dxa"/>
            <w:vAlign w:val="bottom"/>
          </w:tcPr>
          <w:p>
            <w:pPr>
              <w:spacing w:after="0"/>
              <w:rPr>
                <w:sz w:val="16"/>
                <w:szCs w:val="16"/>
                <w:color w:val="auto"/>
              </w:rPr>
            </w:pPr>
          </w:p>
        </w:tc>
        <w:tc>
          <w:tcPr>
            <w:tcW w:w="9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net</w:t>
            </w:r>
          </w:p>
        </w:tc>
        <w:tc>
          <w:tcPr>
            <w:tcW w:w="124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40" w:type="dxa"/>
            <w:vAlign w:val="bottom"/>
          </w:tcPr>
          <w:p>
            <w:pPr>
              <w:spacing w:after="0"/>
              <w:rPr>
                <w:sz w:val="16"/>
                <w:szCs w:val="16"/>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revenues, net</w:t>
            </w:r>
          </w:p>
        </w:tc>
        <w:tc>
          <w:tcPr>
            <w:tcW w:w="300" w:type="dxa"/>
            <w:vAlign w:val="bottom"/>
          </w:tcPr>
          <w:p>
            <w:pPr>
              <w:spacing w:after="0"/>
              <w:rPr>
                <w:sz w:val="16"/>
                <w:szCs w:val="16"/>
                <w:color w:val="auto"/>
              </w:rPr>
            </w:pPr>
          </w:p>
        </w:tc>
        <w:tc>
          <w:tcPr>
            <w:tcW w:w="9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net</w:t>
            </w:r>
          </w:p>
        </w:tc>
        <w:tc>
          <w:tcPr>
            <w:tcW w:w="11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50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Environmental</w:t>
            </w: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Services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550,122</w:t>
            </w:r>
          </w:p>
        </w:tc>
        <w:tc>
          <w:tcPr>
            <w:tcW w:w="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35,274</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1,476</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586,872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508,813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33,022</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1,145</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542,980</w:t>
            </w:r>
          </w:p>
        </w:tc>
        <w:tc>
          <w:tcPr>
            <w:tcW w:w="0" w:type="dxa"/>
            <w:vAlign w:val="bottom"/>
          </w:tcPr>
          <w:p>
            <w:pPr>
              <w:spacing w:after="0"/>
              <w:rPr>
                <w:sz w:val="1"/>
                <w:szCs w:val="1"/>
                <w:color w:val="auto"/>
              </w:rPr>
            </w:pPr>
          </w:p>
        </w:tc>
      </w:tr>
      <w:tr>
        <w:trPr>
          <w:trHeight w:val="243"/>
        </w:trPr>
        <w:tc>
          <w:tcPr>
            <w:tcW w:w="1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Safety-Kleen</w:t>
            </w:r>
          </w:p>
        </w:tc>
        <w:tc>
          <w:tcPr>
            <w:tcW w:w="160" w:type="dxa"/>
            <w:vAlign w:val="bottom"/>
          </w:tcPr>
          <w:p>
            <w:pPr>
              <w:spacing w:after="0"/>
              <w:rPr>
                <w:sz w:val="21"/>
                <w:szCs w:val="21"/>
                <w:color w:val="auto"/>
              </w:rPr>
            </w:pPr>
          </w:p>
        </w:tc>
        <w:tc>
          <w:tcPr>
            <w:tcW w:w="100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341,417</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(35,274)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306,145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333,901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(33,022)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300,885</w:t>
            </w:r>
          </w:p>
        </w:tc>
        <w:tc>
          <w:tcPr>
            <w:tcW w:w="0" w:type="dxa"/>
            <w:vAlign w:val="bottom"/>
          </w:tcPr>
          <w:p>
            <w:pPr>
              <w:spacing w:after="0"/>
              <w:rPr>
                <w:sz w:val="1"/>
                <w:szCs w:val="1"/>
                <w:color w:val="auto"/>
              </w:rPr>
            </w:pPr>
          </w:p>
        </w:tc>
      </w:tr>
      <w:tr>
        <w:trPr>
          <w:trHeight w:val="27"/>
        </w:trPr>
        <w:tc>
          <w:tcPr>
            <w:tcW w:w="1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Corporate Items</w:t>
            </w: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129</w:t>
            </w:r>
          </w:p>
        </w:tc>
        <w:tc>
          <w:tcPr>
            <w:tcW w:w="1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(1,478)</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467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0" w:type="dxa"/>
            <w:vAlign w:val="bottom"/>
          </w:tcPr>
          <w:p>
            <w:pPr>
              <w:spacing w:after="0"/>
              <w:rPr>
                <w:sz w:val="1"/>
                <w:szCs w:val="1"/>
                <w:color w:val="auto"/>
              </w:rPr>
            </w:pPr>
          </w:p>
        </w:tc>
      </w:tr>
      <w:tr>
        <w:trPr>
          <w:trHeight w:val="257"/>
        </w:trPr>
        <w:tc>
          <w:tcPr>
            <w:tcW w:w="1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ind w:right="38"/>
              <w:spacing w:after="0"/>
              <w:rPr>
                <w:sz w:val="20"/>
                <w:szCs w:val="20"/>
                <w:color w:val="auto"/>
              </w:rPr>
            </w:pPr>
            <w:r>
              <w:rPr>
                <w:rFonts w:ascii="Times New Roman" w:cs="Times New Roman" w:eastAsia="Times New Roman" w:hAnsi="Times New Roman"/>
                <w:sz w:val="18"/>
                <w:szCs w:val="18"/>
                <w:color w:val="auto"/>
              </w:rPr>
              <w:t>891,668</w:t>
            </w:r>
          </w:p>
        </w:tc>
        <w:tc>
          <w:tcPr>
            <w:tcW w:w="14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891,668</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ind w:right="38"/>
              <w:spacing w:after="0"/>
              <w:rPr>
                <w:sz w:val="20"/>
                <w:szCs w:val="20"/>
                <w:color w:val="auto"/>
              </w:rPr>
            </w:pPr>
            <w:r>
              <w:rPr>
                <w:rFonts w:ascii="Times New Roman" w:cs="Times New Roman" w:eastAsia="Times New Roman" w:hAnsi="Times New Roman"/>
                <w:sz w:val="18"/>
                <w:szCs w:val="18"/>
                <w:color w:val="auto"/>
              </w:rPr>
              <w:t>843,181</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843,181</w:t>
            </w: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8"/>
        </w:trPr>
        <w:tc>
          <w:tcPr>
            <w:tcW w:w="15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900" w:type="dxa"/>
            <w:vAlign w:val="bottom"/>
            <w:tcBorders>
              <w:bottom w:val="single" w:sz="8" w:color="auto"/>
            </w:tcBorders>
            <w:gridSpan w:val="9"/>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 2019</w:t>
            </w: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gridSpan w:val="9"/>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 2018</w:t>
            </w: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Third-party</w:t>
            </w:r>
          </w:p>
        </w:tc>
        <w:tc>
          <w:tcPr>
            <w:tcW w:w="140" w:type="dxa"/>
            <w:vAlign w:val="bottom"/>
          </w:tcPr>
          <w:p>
            <w:pPr>
              <w:spacing w:after="0"/>
              <w:rPr>
                <w:sz w:val="12"/>
                <w:szCs w:val="12"/>
                <w:color w:val="auto"/>
              </w:rPr>
            </w:pPr>
          </w:p>
        </w:tc>
        <w:tc>
          <w:tcPr>
            <w:tcW w:w="114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Intersegment</w:t>
            </w:r>
          </w:p>
        </w:tc>
        <w:tc>
          <w:tcPr>
            <w:tcW w:w="124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Corporate Items,</w:t>
            </w:r>
          </w:p>
        </w:tc>
        <w:tc>
          <w:tcPr>
            <w:tcW w:w="124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Direct revenues</w:t>
            </w:r>
          </w:p>
        </w:tc>
        <w:tc>
          <w:tcPr>
            <w:tcW w:w="16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Third-party</w:t>
            </w:r>
          </w:p>
        </w:tc>
        <w:tc>
          <w:tcPr>
            <w:tcW w:w="140" w:type="dxa"/>
            <w:vAlign w:val="bottom"/>
          </w:tcPr>
          <w:p>
            <w:pPr>
              <w:spacing w:after="0"/>
              <w:rPr>
                <w:sz w:val="12"/>
                <w:szCs w:val="12"/>
                <w:color w:val="auto"/>
              </w:rPr>
            </w:pPr>
          </w:p>
        </w:tc>
        <w:tc>
          <w:tcPr>
            <w:tcW w:w="110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Intersegment</w:t>
            </w:r>
          </w:p>
        </w:tc>
        <w:tc>
          <w:tcPr>
            <w:tcW w:w="124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Corporate Items,</w:t>
            </w:r>
          </w:p>
        </w:tc>
        <w:tc>
          <w:tcPr>
            <w:tcW w:w="1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Direct revenues</w:t>
            </w:r>
          </w:p>
        </w:tc>
        <w:tc>
          <w:tcPr>
            <w:tcW w:w="0" w:type="dxa"/>
            <w:vAlign w:val="bottom"/>
          </w:tcPr>
          <w:p>
            <w:pPr>
              <w:spacing w:after="0"/>
              <w:rPr>
                <w:sz w:val="1"/>
                <w:szCs w:val="1"/>
                <w:color w:val="auto"/>
              </w:rPr>
            </w:pPr>
          </w:p>
        </w:tc>
      </w:tr>
      <w:tr>
        <w:trPr>
          <w:trHeight w:val="195"/>
        </w:trPr>
        <w:tc>
          <w:tcPr>
            <w:tcW w:w="1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40" w:type="dxa"/>
            <w:vAlign w:val="bottom"/>
          </w:tcPr>
          <w:p>
            <w:pPr>
              <w:spacing w:after="0"/>
              <w:rPr>
                <w:sz w:val="16"/>
                <w:szCs w:val="16"/>
                <w:color w:val="auto"/>
              </w:rPr>
            </w:pPr>
          </w:p>
        </w:tc>
        <w:tc>
          <w:tcPr>
            <w:tcW w:w="11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revenues, net</w:t>
            </w:r>
          </w:p>
        </w:tc>
        <w:tc>
          <w:tcPr>
            <w:tcW w:w="280" w:type="dxa"/>
            <w:vAlign w:val="bottom"/>
          </w:tcPr>
          <w:p>
            <w:pPr>
              <w:spacing w:after="0"/>
              <w:rPr>
                <w:sz w:val="16"/>
                <w:szCs w:val="16"/>
                <w:color w:val="auto"/>
              </w:rPr>
            </w:pPr>
          </w:p>
        </w:tc>
        <w:tc>
          <w:tcPr>
            <w:tcW w:w="9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net</w:t>
            </w:r>
          </w:p>
        </w:tc>
        <w:tc>
          <w:tcPr>
            <w:tcW w:w="124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40" w:type="dxa"/>
            <w:vAlign w:val="bottom"/>
          </w:tcPr>
          <w:p>
            <w:pPr>
              <w:spacing w:after="0"/>
              <w:rPr>
                <w:sz w:val="16"/>
                <w:szCs w:val="16"/>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revenues, net</w:t>
            </w:r>
          </w:p>
        </w:tc>
        <w:tc>
          <w:tcPr>
            <w:tcW w:w="300" w:type="dxa"/>
            <w:vAlign w:val="bottom"/>
          </w:tcPr>
          <w:p>
            <w:pPr>
              <w:spacing w:after="0"/>
              <w:rPr>
                <w:sz w:val="16"/>
                <w:szCs w:val="16"/>
                <w:color w:val="auto"/>
              </w:rPr>
            </w:pPr>
          </w:p>
        </w:tc>
        <w:tc>
          <w:tcPr>
            <w:tcW w:w="9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net</w:t>
            </w:r>
          </w:p>
        </w:tc>
        <w:tc>
          <w:tcPr>
            <w:tcW w:w="11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50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Environmental</w:t>
            </w: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Services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1,550,114</w:t>
            </w:r>
          </w:p>
        </w:tc>
        <w:tc>
          <w:tcPr>
            <w:tcW w:w="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105,555</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3,301</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1,658,970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1,468,417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99,278</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2,546</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1,570,241</w:t>
            </w:r>
          </w:p>
        </w:tc>
        <w:tc>
          <w:tcPr>
            <w:tcW w:w="0" w:type="dxa"/>
            <w:vAlign w:val="bottom"/>
          </w:tcPr>
          <w:p>
            <w:pPr>
              <w:spacing w:after="0"/>
              <w:rPr>
                <w:sz w:val="1"/>
                <w:szCs w:val="1"/>
                <w:color w:val="auto"/>
              </w:rPr>
            </w:pPr>
          </w:p>
        </w:tc>
      </w:tr>
      <w:tr>
        <w:trPr>
          <w:trHeight w:val="243"/>
        </w:trPr>
        <w:tc>
          <w:tcPr>
            <w:tcW w:w="1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Safety-Kleen</w:t>
            </w:r>
          </w:p>
        </w:tc>
        <w:tc>
          <w:tcPr>
            <w:tcW w:w="160" w:type="dxa"/>
            <w:vAlign w:val="bottom"/>
          </w:tcPr>
          <w:p>
            <w:pPr>
              <w:spacing w:after="0"/>
              <w:rPr>
                <w:sz w:val="21"/>
                <w:szCs w:val="21"/>
                <w:color w:val="auto"/>
              </w:rPr>
            </w:pPr>
          </w:p>
        </w:tc>
        <w:tc>
          <w:tcPr>
            <w:tcW w:w="100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990,146</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(105,555)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884,606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972,534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(99,278)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873,284</w:t>
            </w:r>
          </w:p>
        </w:tc>
        <w:tc>
          <w:tcPr>
            <w:tcW w:w="0" w:type="dxa"/>
            <w:vAlign w:val="bottom"/>
          </w:tcPr>
          <w:p>
            <w:pPr>
              <w:spacing w:after="0"/>
              <w:rPr>
                <w:sz w:val="1"/>
                <w:szCs w:val="1"/>
                <w:color w:val="auto"/>
              </w:rPr>
            </w:pPr>
          </w:p>
        </w:tc>
      </w:tr>
      <w:tr>
        <w:trPr>
          <w:trHeight w:val="27"/>
        </w:trPr>
        <w:tc>
          <w:tcPr>
            <w:tcW w:w="1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Corporate Items</w:t>
            </w: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925</w:t>
            </w:r>
          </w:p>
        </w:tc>
        <w:tc>
          <w:tcPr>
            <w:tcW w:w="1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(3,316)</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1,148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(1,426)</w:t>
            </w:r>
          </w:p>
        </w:tc>
        <w:tc>
          <w:tcPr>
            <w:tcW w:w="0" w:type="dxa"/>
            <w:vAlign w:val="bottom"/>
          </w:tcPr>
          <w:p>
            <w:pPr>
              <w:spacing w:after="0"/>
              <w:rPr>
                <w:sz w:val="1"/>
                <w:szCs w:val="1"/>
                <w:color w:val="auto"/>
              </w:rPr>
            </w:pPr>
          </w:p>
        </w:tc>
      </w:tr>
      <w:tr>
        <w:trPr>
          <w:trHeight w:val="257"/>
        </w:trPr>
        <w:tc>
          <w:tcPr>
            <w:tcW w:w="1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ind w:right="38"/>
              <w:spacing w:after="0"/>
              <w:rPr>
                <w:sz w:val="20"/>
                <w:szCs w:val="20"/>
                <w:color w:val="auto"/>
              </w:rPr>
            </w:pPr>
            <w:r>
              <w:rPr>
                <w:rFonts w:ascii="Times New Roman" w:cs="Times New Roman" w:eastAsia="Times New Roman" w:hAnsi="Times New Roman"/>
                <w:sz w:val="18"/>
                <w:szCs w:val="18"/>
                <w:color w:val="auto"/>
              </w:rPr>
              <w:t>2,541,185</w:t>
            </w:r>
          </w:p>
        </w:tc>
        <w:tc>
          <w:tcPr>
            <w:tcW w:w="14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2,541,185</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ind w:right="38"/>
              <w:spacing w:after="0"/>
              <w:rPr>
                <w:sz w:val="20"/>
                <w:szCs w:val="20"/>
                <w:color w:val="auto"/>
              </w:rPr>
            </w:pPr>
            <w:r>
              <w:rPr>
                <w:rFonts w:ascii="Times New Roman" w:cs="Times New Roman" w:eastAsia="Times New Roman" w:hAnsi="Times New Roman"/>
                <w:sz w:val="18"/>
                <w:szCs w:val="18"/>
                <w:color w:val="auto"/>
              </w:rPr>
              <w:t>2,442,099</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2,442,099</w:t>
            </w: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ind w:right="240" w:firstLine="648"/>
        <w:spacing w:after="0" w:line="261" w:lineRule="auto"/>
        <w:rPr>
          <w:sz w:val="20"/>
          <w:szCs w:val="20"/>
          <w:color w:val="auto"/>
        </w:rPr>
      </w:pPr>
      <w:r>
        <w:rPr>
          <w:rFonts w:ascii="Times New Roman" w:cs="Times New Roman" w:eastAsia="Times New Roman" w:hAnsi="Times New Roman"/>
          <w:sz w:val="18"/>
          <w:szCs w:val="18"/>
          <w:color w:val="auto"/>
        </w:rPr>
        <w:t>The primary financial measure by which the Company evaluates the performance of its segments is "Adjusted EBITDA," which consists of net income plus accretion of environmental liabilities, depreciation and amortization, interest expense, net of interest income, provision for income taxes and other gains or non-cash charges not deemed representative of fundamental segment results and excludes other expense (income), net. Transactions between the segments are accounted for at the Company’s best estimate based on similar transactions with outside customers.</w:t>
      </w:r>
    </w:p>
    <w:p>
      <w:pPr>
        <w:sectPr>
          <w:pgSz w:w="11900" w:h="16838" w:orient="portrait"/>
          <w:cols w:equalWidth="0" w:num="1">
            <w:col w:w="11420"/>
          </w:cols>
          <w:pgMar w:left="240" w:top="121" w:right="239" w:bottom="1440" w:gutter="0" w:footer="0" w:header="0"/>
        </w:sect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121" w:right="239" w:bottom="1440" w:gutter="0" w:footer="0" w:header="0"/>
          <w:type w:val="continuous"/>
        </w:sectPr>
      </w:pPr>
    </w:p>
    <w:bookmarkStart w:id="26" w:name="page27"/>
    <w:bookmarkEnd w:id="2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Adjusted EBITDA information used by management by reported segment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5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40" w:type="dxa"/>
            <w:vAlign w:val="bottom"/>
            <w:gridSpan w:val="6"/>
          </w:tcPr>
          <w:p>
            <w:pPr>
              <w:ind w:left="22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200" w:type="dxa"/>
            <w:vAlign w:val="bottom"/>
          </w:tcPr>
          <w:p>
            <w:pPr>
              <w:spacing w:after="0"/>
              <w:rPr>
                <w:sz w:val="16"/>
                <w:szCs w:val="16"/>
                <w:color w:val="auto"/>
              </w:rPr>
            </w:pPr>
          </w:p>
        </w:tc>
        <w:tc>
          <w:tcPr>
            <w:tcW w:w="2640" w:type="dxa"/>
            <w:vAlign w:val="bottom"/>
            <w:gridSpan w:val="9"/>
          </w:tcPr>
          <w:p>
            <w:pPr>
              <w:ind w:left="360"/>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560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620" w:type="dxa"/>
            <w:vAlign w:val="bottom"/>
            <w:tcBorders>
              <w:bottom w:val="single" w:sz="8" w:color="auto"/>
            </w:tcBorders>
            <w:gridSpan w:val="3"/>
          </w:tcPr>
          <w:p>
            <w:pPr>
              <w:ind w:left="6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6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74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56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2018</w:t>
            </w:r>
          </w:p>
        </w:tc>
        <w:tc>
          <w:tcPr>
            <w:tcW w:w="3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2018</w:t>
            </w: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Environmental Services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121,658</w:t>
            </w:r>
          </w:p>
        </w:tc>
        <w:tc>
          <w:tcPr>
            <w:tcW w:w="120" w:type="dxa"/>
            <w:vAlign w:val="bottom"/>
          </w:tcPr>
          <w:p>
            <w:pPr>
              <w:spacing w:after="0"/>
              <w:rPr>
                <w:sz w:val="21"/>
                <w:szCs w:val="21"/>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44"/>
              <w:spacing w:after="0"/>
              <w:rPr>
                <w:sz w:val="20"/>
                <w:szCs w:val="20"/>
                <w:color w:val="auto"/>
              </w:rPr>
            </w:pPr>
            <w:r>
              <w:rPr>
                <w:rFonts w:ascii="Times New Roman" w:cs="Times New Roman" w:eastAsia="Times New Roman" w:hAnsi="Times New Roman"/>
                <w:sz w:val="18"/>
                <w:szCs w:val="18"/>
                <w:color w:val="auto"/>
              </w:rPr>
              <w:t>102,419</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329,036</w:t>
            </w:r>
          </w:p>
        </w:tc>
        <w:tc>
          <w:tcPr>
            <w:tcW w:w="100" w:type="dxa"/>
            <w:vAlign w:val="bottom"/>
          </w:tcPr>
          <w:p>
            <w:pPr>
              <w:spacing w:after="0"/>
              <w:rPr>
                <w:sz w:val="21"/>
                <w:szCs w:val="21"/>
                <w:color w:val="auto"/>
              </w:rPr>
            </w:pPr>
          </w:p>
        </w:tc>
        <w:tc>
          <w:tcPr>
            <w:tcW w:w="58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273,035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6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Safety-Kleen</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81,326</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44"/>
              <w:spacing w:after="0"/>
              <w:rPr>
                <w:sz w:val="20"/>
                <w:szCs w:val="20"/>
                <w:color w:val="auto"/>
              </w:rPr>
            </w:pPr>
            <w:r>
              <w:rPr>
                <w:rFonts w:ascii="Times New Roman" w:cs="Times New Roman" w:eastAsia="Times New Roman" w:hAnsi="Times New Roman"/>
                <w:sz w:val="18"/>
                <w:szCs w:val="18"/>
                <w:color w:val="auto"/>
              </w:rPr>
              <w:t>79,502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215,578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214,455</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Corporate Items</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(46,371)</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(40,644)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(136,513)</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(118,387)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6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6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156,613</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44"/>
              <w:spacing w:after="0"/>
              <w:rPr>
                <w:sz w:val="20"/>
                <w:szCs w:val="20"/>
                <w:color w:val="auto"/>
              </w:rPr>
            </w:pPr>
            <w:r>
              <w:rPr>
                <w:rFonts w:ascii="Times New Roman" w:cs="Times New Roman" w:eastAsia="Times New Roman" w:hAnsi="Times New Roman"/>
                <w:sz w:val="18"/>
                <w:szCs w:val="18"/>
                <w:color w:val="auto"/>
              </w:rPr>
              <w:t>141,277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408,101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369,103</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Reconciliation to Consolidated Statements of Operations:</w:t>
            </w: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6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Accretion of environmental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2,490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44"/>
              <w:spacing w:after="0"/>
              <w:rPr>
                <w:sz w:val="20"/>
                <w:szCs w:val="20"/>
                <w:color w:val="auto"/>
              </w:rPr>
            </w:pPr>
            <w:r>
              <w:rPr>
                <w:rFonts w:ascii="Times New Roman" w:cs="Times New Roman" w:eastAsia="Times New Roman" w:hAnsi="Times New Roman"/>
                <w:sz w:val="18"/>
                <w:szCs w:val="18"/>
                <w:color w:val="auto"/>
              </w:rPr>
              <w:t>2,450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7,328</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Pr>
          <w:p>
            <w:pPr>
              <w:spacing w:after="0"/>
              <w:rPr>
                <w:sz w:val="21"/>
                <w:szCs w:val="21"/>
                <w:color w:val="auto"/>
              </w:rPr>
            </w:pPr>
          </w:p>
        </w:tc>
        <w:tc>
          <w:tcPr>
            <w:tcW w:w="10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73,756</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gridSpan w:val="2"/>
          </w:tcPr>
          <w:p>
            <w:pPr>
              <w:jc w:val="right"/>
              <w:ind w:right="44"/>
              <w:spacing w:after="0"/>
              <w:rPr>
                <w:sz w:val="20"/>
                <w:szCs w:val="20"/>
                <w:color w:val="auto"/>
              </w:rPr>
            </w:pPr>
            <w:r>
              <w:rPr>
                <w:rFonts w:ascii="Times New Roman" w:cs="Times New Roman" w:eastAsia="Times New Roman" w:hAnsi="Times New Roman"/>
                <w:sz w:val="18"/>
                <w:szCs w:val="18"/>
                <w:color w:val="auto"/>
              </w:rPr>
              <w:t>73,082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223,328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220,686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6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6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Income from operations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80,367</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44"/>
              <w:spacing w:after="0"/>
              <w:rPr>
                <w:sz w:val="20"/>
                <w:szCs w:val="20"/>
                <w:color w:val="auto"/>
              </w:rPr>
            </w:pPr>
            <w:r>
              <w:rPr>
                <w:rFonts w:ascii="Times New Roman" w:cs="Times New Roman" w:eastAsia="Times New Roman" w:hAnsi="Times New Roman"/>
                <w:sz w:val="18"/>
                <w:szCs w:val="18"/>
                <w:color w:val="auto"/>
              </w:rPr>
              <w:t>65,745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177,149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141,089</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expense (income), net</w:t>
            </w:r>
          </w:p>
        </w:tc>
        <w:tc>
          <w:tcPr>
            <w:tcW w:w="320" w:type="dxa"/>
            <w:vAlign w:val="bottom"/>
          </w:tcPr>
          <w:p>
            <w:pPr>
              <w:spacing w:after="0"/>
              <w:rPr>
                <w:sz w:val="21"/>
                <w:szCs w:val="21"/>
                <w:color w:val="auto"/>
              </w:rPr>
            </w:pPr>
          </w:p>
        </w:tc>
        <w:tc>
          <w:tcPr>
            <w:tcW w:w="10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427</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gridSpan w:val="2"/>
          </w:tcPr>
          <w:p>
            <w:pPr>
              <w:jc w:val="right"/>
              <w:ind w:right="44"/>
              <w:spacing w:after="0"/>
              <w:rPr>
                <w:sz w:val="20"/>
                <w:szCs w:val="20"/>
                <w:color w:val="auto"/>
              </w:rPr>
            </w:pPr>
            <w:r>
              <w:rPr>
                <w:rFonts w:ascii="Times New Roman" w:cs="Times New Roman" w:eastAsia="Times New Roman" w:hAnsi="Times New Roman"/>
                <w:sz w:val="18"/>
                <w:szCs w:val="18"/>
                <w:color w:val="auto"/>
              </w:rPr>
              <w:t>996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(1,992)</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449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6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Loss on early extinguishment of debt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6,119</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44"/>
              <w:spacing w:after="0"/>
              <w:rPr>
                <w:sz w:val="20"/>
                <w:szCs w:val="20"/>
                <w:color w:val="auto"/>
              </w:rPr>
            </w:pPr>
            <w:r>
              <w:rPr>
                <w:rFonts w:ascii="Times New Roman" w:cs="Times New Roman" w:eastAsia="Times New Roman" w:hAnsi="Times New Roman"/>
                <w:sz w:val="18"/>
                <w:szCs w:val="18"/>
                <w:color w:val="auto"/>
              </w:rPr>
              <w:t>2,469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2,469</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 expense, net of interest income</w:t>
            </w:r>
          </w:p>
        </w:tc>
        <w:tc>
          <w:tcPr>
            <w:tcW w:w="320" w:type="dxa"/>
            <w:vAlign w:val="bottom"/>
          </w:tcPr>
          <w:p>
            <w:pPr>
              <w:spacing w:after="0"/>
              <w:rPr>
                <w:sz w:val="21"/>
                <w:szCs w:val="21"/>
                <w:color w:val="auto"/>
              </w:rPr>
            </w:pPr>
          </w:p>
        </w:tc>
        <w:tc>
          <w:tcPr>
            <w:tcW w:w="10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19,702</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gridSpan w:val="2"/>
          </w:tcPr>
          <w:p>
            <w:pPr>
              <w:jc w:val="right"/>
              <w:ind w:right="44"/>
              <w:spacing w:after="0"/>
              <w:rPr>
                <w:sz w:val="20"/>
                <w:szCs w:val="20"/>
                <w:color w:val="auto"/>
              </w:rPr>
            </w:pPr>
            <w:r>
              <w:rPr>
                <w:rFonts w:ascii="Times New Roman" w:cs="Times New Roman" w:eastAsia="Times New Roman" w:hAnsi="Times New Roman"/>
                <w:sz w:val="18"/>
                <w:szCs w:val="18"/>
                <w:color w:val="auto"/>
              </w:rPr>
              <w:t>19,916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59,681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60,955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6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6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54,119</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gridSpan w:val="2"/>
            <w:shd w:val="clear" w:color="auto" w:fill="CCEEFF"/>
          </w:tcPr>
          <w:p>
            <w:pPr>
              <w:jc w:val="right"/>
              <w:ind w:right="44"/>
              <w:spacing w:after="0"/>
              <w:rPr>
                <w:sz w:val="20"/>
                <w:szCs w:val="20"/>
                <w:color w:val="auto"/>
              </w:rPr>
            </w:pPr>
            <w:r>
              <w:rPr>
                <w:rFonts w:ascii="Times New Roman" w:cs="Times New Roman" w:eastAsia="Times New Roman" w:hAnsi="Times New Roman"/>
                <w:sz w:val="18"/>
                <w:szCs w:val="18"/>
                <w:color w:val="auto"/>
              </w:rPr>
              <w:t>42,364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113,341</w:t>
            </w:r>
          </w:p>
        </w:tc>
        <w:tc>
          <w:tcPr>
            <w:tcW w:w="10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77,216</w:t>
            </w:r>
          </w:p>
        </w:tc>
        <w:tc>
          <w:tcPr>
            <w:tcW w:w="2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4"/>
        </w:trPr>
        <w:tc>
          <w:tcPr>
            <w:tcW w:w="20" w:type="dxa"/>
            <w:vAlign w:val="bottom"/>
          </w:tcPr>
          <w:p>
            <w:pPr>
              <w:spacing w:after="0"/>
              <w:rPr>
                <w:sz w:val="24"/>
                <w:szCs w:val="24"/>
                <w:color w:val="auto"/>
              </w:rPr>
            </w:pPr>
          </w:p>
        </w:tc>
        <w:tc>
          <w:tcPr>
            <w:tcW w:w="8560" w:type="dxa"/>
            <w:vAlign w:val="bottom"/>
            <w:gridSpan w:val="8"/>
          </w:tcPr>
          <w:p>
            <w:pPr>
              <w:ind w:left="640"/>
              <w:spacing w:after="0"/>
              <w:rPr>
                <w:sz w:val="20"/>
                <w:szCs w:val="20"/>
                <w:color w:val="auto"/>
              </w:rPr>
            </w:pPr>
            <w:r>
              <w:rPr>
                <w:rFonts w:ascii="Times New Roman" w:cs="Times New Roman" w:eastAsia="Times New Roman" w:hAnsi="Times New Roman"/>
                <w:sz w:val="18"/>
                <w:szCs w:val="18"/>
                <w:color w:val="auto"/>
              </w:rPr>
              <w:t>The following table presents certain assets by reportable segment and in the aggregate (in thousands):</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0"/>
        </w:trPr>
        <w:tc>
          <w:tcPr>
            <w:tcW w:w="2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720" w:type="dxa"/>
            <w:vAlign w:val="bottom"/>
            <w:gridSpan w:val="7"/>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September 30, 2019</w:t>
            </w:r>
          </w:p>
        </w:tc>
        <w:tc>
          <w:tcPr>
            <w:tcW w:w="100" w:type="dxa"/>
            <w:vAlign w:val="bottom"/>
          </w:tcPr>
          <w:p>
            <w:pPr>
              <w:spacing w:after="0"/>
              <w:rPr>
                <w:sz w:val="24"/>
                <w:szCs w:val="24"/>
                <w:color w:val="auto"/>
              </w:rPr>
            </w:pPr>
          </w:p>
        </w:tc>
        <w:tc>
          <w:tcPr>
            <w:tcW w:w="148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Property, plant and equipment, net:</w:t>
            </w:r>
          </w:p>
        </w:tc>
        <w:tc>
          <w:tcPr>
            <w:tcW w:w="320" w:type="dxa"/>
            <w:vAlign w:val="bottom"/>
            <w:tcBorders>
              <w:top w:val="single" w:sz="8" w:color="CCEEFF"/>
              <w:bottom w:val="single" w:sz="8" w:color="CCEEFF"/>
            </w:tcBorders>
            <w:shd w:val="clear" w:color="auto" w:fill="CCEEFF"/>
          </w:tcPr>
          <w:p>
            <w:pPr>
              <w:spacing w:after="0"/>
              <w:rPr>
                <w:sz w:val="21"/>
                <w:szCs w:val="21"/>
                <w:color w:val="auto"/>
              </w:rPr>
            </w:pPr>
          </w:p>
        </w:tc>
        <w:tc>
          <w:tcPr>
            <w:tcW w:w="106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CCEEFF"/>
              <w:bottom w:val="single" w:sz="8" w:color="CCEEFF"/>
            </w:tcBorders>
            <w:shd w:val="clear" w:color="auto" w:fill="CCEEFF"/>
          </w:tcPr>
          <w:p>
            <w:pPr>
              <w:spacing w:after="0"/>
              <w:rPr>
                <w:sz w:val="21"/>
                <w:szCs w:val="21"/>
                <w:color w:val="auto"/>
              </w:rPr>
            </w:pPr>
          </w:p>
        </w:tc>
        <w:tc>
          <w:tcPr>
            <w:tcW w:w="56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Environmental Services</w:t>
            </w: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gridSpan w:val="2"/>
          </w:tcPr>
          <w:p>
            <w:pPr>
              <w:jc w:val="right"/>
              <w:ind w:right="16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946,367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951,867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6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Safety-Kleen</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556,247</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553,220</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Corporate Items</w:t>
            </w: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91,379</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56,891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60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6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property, plant and equipment, net</w:t>
            </w: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16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1,593,993</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1,561,978</w:t>
            </w:r>
          </w:p>
        </w:tc>
        <w:tc>
          <w:tcPr>
            <w:tcW w:w="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20" w:type="dxa"/>
            <w:vAlign w:val="bottom"/>
          </w:tcPr>
          <w:p>
            <w:pPr>
              <w:spacing w:after="0"/>
              <w:rPr>
                <w:sz w:val="23"/>
                <w:szCs w:val="23"/>
                <w:color w:val="auto"/>
              </w:rPr>
            </w:pPr>
          </w:p>
        </w:tc>
        <w:tc>
          <w:tcPr>
            <w:tcW w:w="56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Goodwill and Permits and other intangibles, net: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Environmental Services</w:t>
            </w: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6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Goodwill</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16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212,638</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207,019</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Permits and other intangibles, net</w:t>
            </w: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91,292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93,313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60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56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Environmental Services</w:t>
            </w: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303,930</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300,332</w:t>
            </w:r>
          </w:p>
        </w:tc>
        <w:tc>
          <w:tcPr>
            <w:tcW w:w="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Safety-Kleen</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Goodwill</w:t>
            </w: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gridSpan w:val="2"/>
          </w:tcPr>
          <w:p>
            <w:pPr>
              <w:jc w:val="right"/>
              <w:ind w:right="16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311,943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307,170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56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Permits and other intangibles, net</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334,571</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348,562</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Safety-Kleen</w:t>
            </w: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646,514</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655,732</w:t>
            </w:r>
          </w:p>
        </w:tc>
        <w:tc>
          <w:tcPr>
            <w:tcW w:w="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60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56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20" w:type="dxa"/>
            <w:vAlign w:val="bottom"/>
            <w:gridSpan w:val="2"/>
          </w:tcPr>
          <w:p>
            <w:pPr>
              <w:jc w:val="right"/>
              <w:ind w:right="16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950,444</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956,064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00" w:type="dxa"/>
            <w:vAlign w:val="bottom"/>
            <w:gridSpan w:val="4"/>
            <w:vMerge w:val="restart"/>
          </w:tcPr>
          <w:p>
            <w:pPr>
              <w:ind w:left="640"/>
              <w:spacing w:after="0"/>
              <w:rPr>
                <w:sz w:val="20"/>
                <w:szCs w:val="20"/>
                <w:color w:val="auto"/>
              </w:rPr>
            </w:pPr>
            <w:r>
              <w:rPr>
                <w:rFonts w:ascii="Times New Roman" w:cs="Times New Roman" w:eastAsia="Times New Roman" w:hAnsi="Times New Roman"/>
                <w:sz w:val="18"/>
                <w:szCs w:val="18"/>
                <w:color w:val="auto"/>
              </w:rPr>
              <w:t>The following table presents the total assets by reportable segment (in thousands):</w:t>
            </w: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4"/>
        </w:trPr>
        <w:tc>
          <w:tcPr>
            <w:tcW w:w="20" w:type="dxa"/>
            <w:vAlign w:val="bottom"/>
          </w:tcPr>
          <w:p>
            <w:pPr>
              <w:spacing w:after="0"/>
              <w:rPr>
                <w:sz w:val="24"/>
                <w:szCs w:val="24"/>
                <w:color w:val="auto"/>
              </w:rPr>
            </w:pPr>
          </w:p>
        </w:tc>
        <w:tc>
          <w:tcPr>
            <w:tcW w:w="7100" w:type="dxa"/>
            <w:vAlign w:val="bottom"/>
            <w:gridSpan w:val="4"/>
            <w:vMerge w:val="continue"/>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0"/>
        </w:trPr>
        <w:tc>
          <w:tcPr>
            <w:tcW w:w="20" w:type="dxa"/>
            <w:vAlign w:val="bottom"/>
            <w:tcBorders>
              <w:bottom w:val="single" w:sz="8" w:color="CCEEFF"/>
            </w:tcBorders>
          </w:tcPr>
          <w:p>
            <w:pPr>
              <w:spacing w:after="0"/>
              <w:rPr>
                <w:sz w:val="24"/>
                <w:szCs w:val="24"/>
                <w:color w:val="auto"/>
              </w:rPr>
            </w:pPr>
          </w:p>
        </w:tc>
        <w:tc>
          <w:tcPr>
            <w:tcW w:w="560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10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440" w:type="dxa"/>
            <w:vAlign w:val="bottom"/>
            <w:tcBorders>
              <w:bottom w:val="single" w:sz="8" w:color="CCEEFF"/>
            </w:tcBorders>
          </w:tcPr>
          <w:p>
            <w:pPr>
              <w:spacing w:after="0"/>
              <w:rPr>
                <w:sz w:val="24"/>
                <w:szCs w:val="24"/>
                <w:color w:val="auto"/>
              </w:rPr>
            </w:pPr>
          </w:p>
        </w:tc>
        <w:tc>
          <w:tcPr>
            <w:tcW w:w="560" w:type="dxa"/>
            <w:vAlign w:val="bottom"/>
            <w:tcBorders>
              <w:bottom w:val="single" w:sz="8" w:color="CCEEFF"/>
            </w:tcBorders>
          </w:tcPr>
          <w:p>
            <w:pPr>
              <w:spacing w:after="0"/>
              <w:rPr>
                <w:sz w:val="24"/>
                <w:szCs w:val="24"/>
                <w:color w:val="auto"/>
              </w:rPr>
            </w:pPr>
          </w:p>
        </w:tc>
        <w:tc>
          <w:tcPr>
            <w:tcW w:w="1580" w:type="dxa"/>
            <w:vAlign w:val="bottom"/>
            <w:tcBorders>
              <w:bottom w:val="single" w:sz="8" w:color="auto"/>
            </w:tcBorders>
            <w:gridSpan w:val="4"/>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September 30, 2019</w:t>
            </w:r>
          </w:p>
        </w:tc>
        <w:tc>
          <w:tcPr>
            <w:tcW w:w="120" w:type="dxa"/>
            <w:vAlign w:val="bottom"/>
            <w:tcBorders>
              <w:bottom w:val="single" w:sz="8" w:color="CCEEFF"/>
            </w:tcBorders>
            <w:gridSpan w:val="2"/>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20" w:type="dxa"/>
            <w:vAlign w:val="bottom"/>
            <w:tcBorders>
              <w:bottom w:val="single" w:sz="8" w:color="CCEEFF"/>
            </w:tcBorders>
            <w:shd w:val="clear" w:color="auto" w:fill="CCEEFF"/>
          </w:tcPr>
          <w:p>
            <w:pPr>
              <w:spacing w:after="0"/>
              <w:rPr>
                <w:sz w:val="21"/>
                <w:szCs w:val="21"/>
                <w:color w:val="auto"/>
              </w:rPr>
            </w:pPr>
          </w:p>
        </w:tc>
        <w:tc>
          <w:tcPr>
            <w:tcW w:w="5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Environmental Services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18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1,750,343</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1,640,706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Safety-Kleen</w:t>
            </w: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1,501,838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1,431,381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5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Items</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769,681</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666,234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84"/>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4,021,862</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 w:type="dxa"/>
            <w:vAlign w:val="bottom"/>
            <w:tcBorders>
              <w:top w:val="single" w:sz="8" w:color="auto"/>
              <w:bottom w:val="single" w:sz="8" w:color="auto"/>
            </w:tcBorders>
          </w:tcPr>
          <w:p>
            <w:pPr>
              <w:spacing w:after="0"/>
              <w:rPr>
                <w:sz w:val="22"/>
                <w:szCs w:val="22"/>
                <w:color w:val="auto"/>
              </w:rPr>
            </w:pPr>
          </w:p>
        </w:tc>
        <w:tc>
          <w:tcPr>
            <w:tcW w:w="46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3,738,321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00" w:type="dxa"/>
            <w:vAlign w:val="bottom"/>
            <w:gridSpan w:val="4"/>
            <w:vMerge w:val="restart"/>
          </w:tcPr>
          <w:p>
            <w:pPr>
              <w:ind w:left="400"/>
              <w:spacing w:after="0"/>
              <w:rPr>
                <w:sz w:val="20"/>
                <w:szCs w:val="20"/>
                <w:color w:val="auto"/>
              </w:rPr>
            </w:pPr>
            <w:r>
              <w:rPr>
                <w:rFonts w:ascii="Times New Roman" w:cs="Times New Roman" w:eastAsia="Times New Roman" w:hAnsi="Times New Roman"/>
                <w:sz w:val="18"/>
                <w:szCs w:val="18"/>
                <w:color w:val="auto"/>
              </w:rPr>
              <w:t>The following table presents the total assets by geographical area (in thousands):</w:t>
            </w: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4"/>
        </w:trPr>
        <w:tc>
          <w:tcPr>
            <w:tcW w:w="20" w:type="dxa"/>
            <w:vAlign w:val="bottom"/>
          </w:tcPr>
          <w:p>
            <w:pPr>
              <w:spacing w:after="0"/>
              <w:rPr>
                <w:sz w:val="24"/>
                <w:szCs w:val="24"/>
                <w:color w:val="auto"/>
              </w:rPr>
            </w:pPr>
          </w:p>
        </w:tc>
        <w:tc>
          <w:tcPr>
            <w:tcW w:w="7100" w:type="dxa"/>
            <w:vAlign w:val="bottom"/>
            <w:gridSpan w:val="4"/>
            <w:vMerge w:val="continue"/>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0"/>
        </w:trPr>
        <w:tc>
          <w:tcPr>
            <w:tcW w:w="20" w:type="dxa"/>
            <w:vAlign w:val="bottom"/>
            <w:tcBorders>
              <w:bottom w:val="single" w:sz="8" w:color="CCEEFF"/>
            </w:tcBorders>
          </w:tcPr>
          <w:p>
            <w:pPr>
              <w:spacing w:after="0"/>
              <w:rPr>
                <w:sz w:val="24"/>
                <w:szCs w:val="24"/>
                <w:color w:val="auto"/>
              </w:rPr>
            </w:pPr>
          </w:p>
        </w:tc>
        <w:tc>
          <w:tcPr>
            <w:tcW w:w="560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10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440" w:type="dxa"/>
            <w:vAlign w:val="bottom"/>
            <w:tcBorders>
              <w:bottom w:val="single" w:sz="8" w:color="CCEEFF"/>
            </w:tcBorders>
          </w:tcPr>
          <w:p>
            <w:pPr>
              <w:spacing w:after="0"/>
              <w:rPr>
                <w:sz w:val="24"/>
                <w:szCs w:val="24"/>
                <w:color w:val="auto"/>
              </w:rPr>
            </w:pPr>
          </w:p>
        </w:tc>
        <w:tc>
          <w:tcPr>
            <w:tcW w:w="560" w:type="dxa"/>
            <w:vAlign w:val="bottom"/>
            <w:tcBorders>
              <w:bottom w:val="single" w:sz="8" w:color="CCEEFF"/>
            </w:tcBorders>
          </w:tcPr>
          <w:p>
            <w:pPr>
              <w:spacing w:after="0"/>
              <w:rPr>
                <w:sz w:val="24"/>
                <w:szCs w:val="24"/>
                <w:color w:val="auto"/>
              </w:rPr>
            </w:pPr>
          </w:p>
        </w:tc>
        <w:tc>
          <w:tcPr>
            <w:tcW w:w="1580" w:type="dxa"/>
            <w:vAlign w:val="bottom"/>
            <w:tcBorders>
              <w:bottom w:val="single" w:sz="8" w:color="auto"/>
            </w:tcBorders>
            <w:gridSpan w:val="4"/>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September 30, 2019</w:t>
            </w:r>
          </w:p>
        </w:tc>
        <w:tc>
          <w:tcPr>
            <w:tcW w:w="120" w:type="dxa"/>
            <w:vAlign w:val="bottom"/>
            <w:tcBorders>
              <w:bottom w:val="single" w:sz="8" w:color="CCEEFF"/>
            </w:tcBorders>
            <w:gridSpan w:val="2"/>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20" w:type="dxa"/>
            <w:vAlign w:val="bottom"/>
            <w:tcBorders>
              <w:bottom w:val="single" w:sz="8" w:color="CCEEFF"/>
            </w:tcBorders>
            <w:shd w:val="clear" w:color="auto" w:fill="CCEEFF"/>
          </w:tcPr>
          <w:p>
            <w:pPr>
              <w:spacing w:after="0"/>
              <w:rPr>
                <w:sz w:val="21"/>
                <w:szCs w:val="21"/>
                <w:color w:val="auto"/>
              </w:rPr>
            </w:pPr>
          </w:p>
        </w:tc>
        <w:tc>
          <w:tcPr>
            <w:tcW w:w="5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18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3,339,899</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3,090,311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681,963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648,010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560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shd w:val="clear" w:color="auto" w:fill="CCEEFF"/>
          </w:tcPr>
          <w:p>
            <w:pPr>
              <w:spacing w:after="0"/>
              <w:rPr>
                <w:sz w:val="22"/>
                <w:szCs w:val="22"/>
                <w:color w:val="auto"/>
              </w:rPr>
            </w:pPr>
          </w:p>
        </w:tc>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18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4,021,862</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3,738,321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6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04" w:gutter="0" w:footer="0" w:header="0"/>
        </w:sect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121" w:right="239" w:bottom="104" w:gutter="0" w:footer="0" w:header="0"/>
          <w:type w:val="continuous"/>
        </w:sectPr>
      </w:pPr>
    </w:p>
    <w:bookmarkStart w:id="27" w:name="page28"/>
    <w:bookmarkEnd w:id="2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w:t>
      </w:r>
    </w:p>
    <w:p>
      <w:pPr>
        <w:spacing w:after="0" w:line="148"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In addition to historical information, this Quarterly Report on Form 10-Q contains forward-looking statements, which are generally identifiable by use of the words “believes,” “expects,” “intends,” “anticipates,” “plans to,” “estimates,” “projects,” “may,” “likely” or similar expressions. These forward-looking statements are subject to certain risks and uncertainties that could cause actual results to differ materially from those reflected in these forward-looking statements. Factors that might cause such a difference include, but are not limited to, those discussed under Item 1A, “Risk Factors,” in our Annual Report on Form 10-K filed with the Securities and Exchange Commission on February 27, 2019, under Item 1A, “Risk Factors,” included in Part II—Other Information in this report, and in other documents we file from time to time with the SEC. Readers are cautioned not to place undue reliance on these forward-looking statements, which reflect management’s opinions only as of the date hereof. We undertake no obligation to revise or publicly release the results of any revision to these forward-looking statements.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48" w:lineRule="exact"/>
        <w:rPr>
          <w:sz w:val="20"/>
          <w:szCs w:val="20"/>
          <w:color w:val="auto"/>
        </w:rPr>
      </w:pPr>
    </w:p>
    <w:p>
      <w:pPr>
        <w:ind w:right="140" w:firstLine="405"/>
        <w:spacing w:after="0" w:line="256" w:lineRule="auto"/>
        <w:rPr>
          <w:sz w:val="20"/>
          <w:szCs w:val="20"/>
          <w:color w:val="auto"/>
        </w:rPr>
      </w:pPr>
      <w:r>
        <w:rPr>
          <w:rFonts w:ascii="Times New Roman" w:cs="Times New Roman" w:eastAsia="Times New Roman" w:hAnsi="Times New Roman"/>
          <w:sz w:val="18"/>
          <w:szCs w:val="18"/>
          <w:color w:val="auto"/>
        </w:rPr>
        <w:t>We are North America’s leading provider of environmental, energy and industrial services. We believe we operate, in the aggregate, the largest number of hazardous waste incinerators, landfills and treatment, storage and disposal facilities ("TSDFs") in North America. We serve a diverse customer base, including Fortune 500 companies, across the chemical, energy, manufacturing and additional markets, as well as numerous government agencies. These customers rely on us to deliver a broad range of services including but not limited to end-to-end hazardous waste management, emergency response, industrial cleaning and maintenance and recycling services. We are also the largest re-refiner and recycler of used oil in the world and the largest provider of parts cleaning and related environmental services to commercial, industrial and automotive customers in North America.</w:t>
      </w:r>
    </w:p>
    <w:p>
      <w:pPr>
        <w:spacing w:after="0" w:line="107" w:lineRule="exact"/>
        <w:rPr>
          <w:sz w:val="20"/>
          <w:szCs w:val="20"/>
          <w:color w:val="auto"/>
        </w:rPr>
      </w:pPr>
    </w:p>
    <w:p>
      <w:pPr>
        <w:ind w:right="500" w:firstLine="405"/>
        <w:spacing w:after="0" w:line="266" w:lineRule="auto"/>
        <w:rPr>
          <w:sz w:val="20"/>
          <w:szCs w:val="20"/>
          <w:color w:val="auto"/>
        </w:rPr>
      </w:pPr>
      <w:r>
        <w:rPr>
          <w:rFonts w:ascii="Times New Roman" w:cs="Times New Roman" w:eastAsia="Times New Roman" w:hAnsi="Times New Roman"/>
          <w:sz w:val="18"/>
          <w:szCs w:val="18"/>
          <w:color w:val="auto"/>
        </w:rPr>
        <w:t>Performance of our segments is evaluated on several factors of which the primary financial measure is Adjusted EBITDA as described more fully below. The following is a discussion of how management evaluates its segments in regards to other factors including key performance indicators that management uses to assess the segments’ results, as well as certain macroeconomic trends and influences that impact each reportable segment:</w:t>
      </w:r>
    </w:p>
    <w:p>
      <w:pPr>
        <w:spacing w:after="0" w:line="91" w:lineRule="exact"/>
        <w:rPr>
          <w:sz w:val="20"/>
          <w:szCs w:val="20"/>
          <w:color w:val="auto"/>
        </w:rPr>
      </w:pPr>
    </w:p>
    <w:p>
      <w:pPr>
        <w:ind w:left="980" w:right="20" w:hanging="324"/>
        <w:spacing w:after="0" w:line="254"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Environmental Services - </w:t>
      </w:r>
      <w:r>
        <w:rPr>
          <w:rFonts w:ascii="Times New Roman" w:cs="Times New Roman" w:eastAsia="Times New Roman" w:hAnsi="Times New Roman"/>
          <w:sz w:val="18"/>
          <w:szCs w:val="18"/>
          <w:color w:val="auto"/>
        </w:rPr>
        <w:t>Environmental Services segment results are predicated upon the demand by our customers for waste services directly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attributable to volume and nature of waste streams generated by them and project work for which waste handling and/or disposal is required. In managing the business and evaluating performance, management tracks the volumes and average price of waste handled and disposed of through our owned incinerators and landfills, as well as utilization of such incinerators, labor and billable hours and equipment among other key metrics. Levels of activity and ultimate performance associated with this segment can be impacted by several factors including overall U.S. GDP and U.S. industrial production, weather conditions, efficiency of our operations, competition and market pricing of our services and the management of our related operating costs. Environmental Services results are also impacted by the demand for planned and unplanned industrial related cleaning and maintenance services at customer sites and for environmental cleanup services on a scheduled or emergency basis, including response to national events such as major oil spills, natural disasters or other events where immediate and specialized services are required.</w:t>
      </w:r>
    </w:p>
    <w:p>
      <w:pPr>
        <w:spacing w:after="0" w:line="118" w:lineRule="exact"/>
        <w:rPr>
          <w:rFonts w:ascii="Times New Roman" w:cs="Times New Roman" w:eastAsia="Times New Roman" w:hAnsi="Times New Roman"/>
          <w:sz w:val="18"/>
          <w:szCs w:val="18"/>
          <w:color w:val="auto"/>
        </w:rPr>
      </w:pPr>
    </w:p>
    <w:p>
      <w:pPr>
        <w:ind w:left="980" w:right="80" w:hanging="324"/>
        <w:spacing w:after="0" w:line="261"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Safety-Kleen - </w:t>
      </w:r>
      <w:r>
        <w:rPr>
          <w:rFonts w:ascii="Times New Roman" w:cs="Times New Roman" w:eastAsia="Times New Roman" w:hAnsi="Times New Roman"/>
          <w:sz w:val="18"/>
          <w:szCs w:val="18"/>
          <w:color w:val="auto"/>
        </w:rPr>
        <w:t>Safety-Kleen segment results are impacted by an array of core service offerings that serve to attract small quantity waste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producers as customers and integrate them into the Clean Harbors waste network. Core service offerings include parts washer services, containerized waste services, vacuum services, used motor oil collection and sale of base and blended oil products as well as complementary products including automotive related fluids and shop supplies. Key performance indicators tracked by management relative to these services include the number of parts washer services performed and used motor oil and waste volumes collected. Results from these services are primarily driven by the overall number of parts washers placed at customer sites and volumes of waste collected. These factors can be impacted by overall economic conditions in the marketplace, especially in the automotive related area. Safety-Kleen offers high quality base and blended oil products to end users including fleet customers, distributors and manufacturers of oil products. Relative to these oil related products, management tracks the Company's volumes and relative percentages of base and blended oil sales along with various pricing metrics associated with the commodity driven marketplace. The segment's results are significantly impacted by the overall market pricing and product mix associated with base and blended oil products and, more specifically, the market prices of Group II base oils, which historically have correlated with overall crude oil prices. Costs incurred in connection with the collection of used oils and other raw materials associated with the segment’s oil related products can also be volatile. The implementation of our OilPlus</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closed loop initiative resulting in the sale of our renewable oil products directly to our end customers will also impact future operating results.</w:t>
      </w: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Highlights</w:t>
      </w:r>
    </w:p>
    <w:p>
      <w:pPr>
        <w:spacing w:after="0" w:line="148"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Total revenues for the three and nine months ended September 30, 2019 were $891.7 million and $2,541.2 million compared with $843.2 million and $2,442.1 million for the three and nine months ended September 30, 2018. In the three and nine months ended September 30, 2019, our Environmental Services segment increased direct revenues 8.1% and 5.7% from the comparable periods in 2018 primarily due to continued improvements in average pricing driven by a more profitable mix of waste streams primarily from chemical and manufacturing customers. In the three and nine months ended September 30, 2019, our Safety-Kleen segment increased direct revenues 1.7% and 1.3% from the comparable periods in 2018 as a result of continued growth across Safety-Kleen's core service offerings and our blended oil sales. The fluctuation of the Canadian dollar negatively impacted our consolidated revenues by $1.5 million and $13.1 million in the three and nine months ended September 30, 2019.</w:t>
      </w:r>
    </w:p>
    <w:p>
      <w:pPr>
        <w:spacing w:after="0" w:line="108" w:lineRule="exact"/>
        <w:rPr>
          <w:sz w:val="20"/>
          <w:szCs w:val="20"/>
          <w:color w:val="auto"/>
        </w:rPr>
      </w:pPr>
    </w:p>
    <w:p>
      <w:pPr>
        <w:ind w:right="240" w:firstLine="648"/>
        <w:spacing w:after="0" w:line="261" w:lineRule="auto"/>
        <w:rPr>
          <w:sz w:val="20"/>
          <w:szCs w:val="20"/>
          <w:color w:val="auto"/>
        </w:rPr>
      </w:pPr>
      <w:r>
        <w:rPr>
          <w:rFonts w:ascii="Times New Roman" w:cs="Times New Roman" w:eastAsia="Times New Roman" w:hAnsi="Times New Roman"/>
          <w:sz w:val="18"/>
          <w:szCs w:val="18"/>
          <w:color w:val="auto"/>
        </w:rPr>
        <w:t>We reported income from operations for the three and nine months ended September 30, 2019 of $80.4 million and $177.1 million compared with $65.7 million and $141.1 million in the three and nine months ended September 30, 2018. We reported net income for the three and nine months ended September 30, 2019 of $36.4 million and $73.6 million compared with net income of $31.1 million and $49.2 million in the three and nine months ended September 30, 2018.</w:t>
      </w:r>
    </w:p>
    <w:p>
      <w:pPr>
        <w:spacing w:after="0" w:line="126"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 xml:space="preserve">Adjusted EBITDA, which is the primary financial measure by which our segments are evaluated, increased 10.9% to $156.6 million in the three months ended September 30, 2019 from $141.3 million in the three months ended September 30, 2018 and increased 10.6% to $408.1 million in the nine months ended September 30, 2019 from $369.1 million in the nine months ended September 30, 2018. Additional information, including a reconciliation of Adjusted EBITDA to net income, appears below under the heading </w:t>
      </w:r>
      <w:r>
        <w:rPr>
          <w:rFonts w:ascii="Times New Roman" w:cs="Times New Roman" w:eastAsia="Times New Roman" w:hAnsi="Times New Roman"/>
          <w:sz w:val="18"/>
          <w:szCs w:val="18"/>
          <w:i w:val="1"/>
          <w:iCs w:val="1"/>
          <w:color w:val="auto"/>
        </w:rPr>
        <w:t>"Adjusted EBITDA."</w:t>
      </w:r>
    </w:p>
    <w:p>
      <w:pPr>
        <w:spacing w:after="0" w:line="126"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 xml:space="preserve">Net cash from operating activities for the nine months ended September 30, 2019 was $284.7 million, an increase of $37.5 million from the comparable period in 2018. Adjusted free cash flow, which management uses to measure our financial strength and ability to generate cash, was $119.1 million in the nine months ended September 30, 2019, compared to $102.6 million in the comparable period of 2018. The increase in adjusted free cash flow in the first nine months of 2019 as compared to the first nine months of 2018 was most directly attributable to greater levels of operating income and improvements in working capital, offset by increased capital spending. During the most recent three-month period ended September 30, 2019 adjusted free cash flow was $91.6 million as compared to $64.4 million in the same period of 2018. Additional information, including a reconciliation of adjusted free cash flow to net cash from operating activities, appears below under the heading </w:t>
      </w:r>
      <w:r>
        <w:rPr>
          <w:rFonts w:ascii="Times New Roman" w:cs="Times New Roman" w:eastAsia="Times New Roman" w:hAnsi="Times New Roman"/>
          <w:sz w:val="18"/>
          <w:szCs w:val="18"/>
          <w:i w:val="1"/>
          <w:iCs w:val="1"/>
          <w:color w:val="auto"/>
        </w:rPr>
        <w:t>"Adjusted Free Cash Flow."</w:t>
      </w: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00"/>
          </w:cols>
          <w:pgMar w:left="240" w:top="121" w:right="259" w:bottom="1440" w:gutter="0" w:footer="0" w:header="0"/>
        </w:sectPr>
      </w:pPr>
    </w:p>
    <w:bookmarkStart w:id="29" w:name="page30"/>
    <w:bookmarkEnd w:id="2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Performance</w:t>
      </w:r>
    </w:p>
    <w:p>
      <w:pPr>
        <w:spacing w:after="0" w:line="148"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The primary financial measure by which we evaluate the performance of our segments is Adjusted EBITDA. The following table sets forth certain financial information associated with our results of operations for the three and nine months ended September 30, 2019 and September 30, 2018 (in thousands, except percentages).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9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Summary of Operations</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9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980" w:type="dxa"/>
            <w:vAlign w:val="bottom"/>
            <w:tcBorders>
              <w:bottom w:val="single" w:sz="8" w:color="auto"/>
            </w:tcBorders>
            <w:gridSpan w:val="5"/>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1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000" w:type="dxa"/>
            <w:vAlign w:val="bottom"/>
            <w:tcBorders>
              <w:bottom w:val="single" w:sz="8" w:color="auto"/>
            </w:tcBorders>
            <w:gridSpan w:val="4"/>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c>
          <w:tcPr>
            <w:tcW w:w="1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980" w:type="dxa"/>
            <w:vAlign w:val="bottom"/>
          </w:tcPr>
          <w:p>
            <w:pPr>
              <w:spacing w:after="0"/>
              <w:rPr>
                <w:sz w:val="12"/>
                <w:szCs w:val="12"/>
                <w:color w:val="auto"/>
              </w:rPr>
            </w:pPr>
          </w:p>
        </w:tc>
        <w:tc>
          <w:tcPr>
            <w:tcW w:w="106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08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2"/>
                <w:szCs w:val="12"/>
                <w:color w:val="auto"/>
              </w:rPr>
            </w:pPr>
          </w:p>
        </w:tc>
        <w:tc>
          <w:tcPr>
            <w:tcW w:w="740" w:type="dxa"/>
            <w:vAlign w:val="bottom"/>
          </w:tcPr>
          <w:p>
            <w:pPr>
              <w:jc w:val="right"/>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gridSpan w:val="2"/>
          </w:tcPr>
          <w:p>
            <w:pPr>
              <w:jc w:val="cente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2"/>
                <w:szCs w:val="12"/>
                <w:color w:val="auto"/>
              </w:rPr>
            </w:pPr>
          </w:p>
        </w:tc>
        <w:tc>
          <w:tcPr>
            <w:tcW w:w="1120" w:type="dxa"/>
            <w:vAlign w:val="bottom"/>
            <w:gridSpan w:val="3"/>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120" w:type="dxa"/>
            <w:vAlign w:val="bottom"/>
            <w:gridSpan w:val="3"/>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2"/>
                <w:szCs w:val="12"/>
                <w:color w:val="auto"/>
              </w:rPr>
            </w:pPr>
          </w:p>
        </w:tc>
        <w:tc>
          <w:tcPr>
            <w:tcW w:w="820" w:type="dxa"/>
            <w:vAlign w:val="bottom"/>
          </w:tcPr>
          <w:p>
            <w:pPr>
              <w:jc w:val="right"/>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w:t>
            </w:r>
          </w:p>
        </w:tc>
        <w:tc>
          <w:tcPr>
            <w:tcW w:w="0" w:type="dxa"/>
            <w:vAlign w:val="bottom"/>
          </w:tcPr>
          <w:p>
            <w:pPr>
              <w:spacing w:after="0"/>
              <w:rPr>
                <w:sz w:val="1"/>
                <w:szCs w:val="1"/>
                <w:color w:val="auto"/>
              </w:rPr>
            </w:pPr>
          </w:p>
        </w:tc>
      </w:tr>
      <w:tr>
        <w:trPr>
          <w:trHeight w:val="195"/>
        </w:trPr>
        <w:tc>
          <w:tcPr>
            <w:tcW w:w="2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6"/>
                <w:szCs w:val="16"/>
                <w:color w:val="auto"/>
              </w:rPr>
            </w:pP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80" w:type="dxa"/>
            <w:vAlign w:val="bottom"/>
          </w:tcPr>
          <w:p>
            <w:pPr>
              <w:spacing w:after="0"/>
              <w:rPr>
                <w:sz w:val="16"/>
                <w:szCs w:val="16"/>
                <w:color w:val="auto"/>
              </w:rPr>
            </w:pPr>
          </w:p>
        </w:tc>
        <w:tc>
          <w:tcPr>
            <w:tcW w:w="840" w:type="dxa"/>
            <w:vAlign w:val="bottom"/>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69"/>
        </w:trPr>
        <w:tc>
          <w:tcPr>
            <w:tcW w:w="298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Direct Revenues</w:t>
            </w:r>
            <w:r>
              <w:rPr>
                <w:rFonts w:ascii="Times New Roman" w:cs="Times New Roman" w:eastAsia="Times New Roman" w:hAnsi="Times New Roman"/>
                <w:sz w:val="21"/>
                <w:szCs w:val="21"/>
                <w:b w:val="1"/>
                <w:bCs w:val="1"/>
                <w:color w:val="auto"/>
                <w:vertAlign w:val="superscript"/>
              </w:rPr>
              <w:t>(1)</w:t>
            </w:r>
            <w:r>
              <w:rPr>
                <w:rFonts w:ascii="Times New Roman" w:cs="Times New Roman" w:eastAsia="Times New Roman" w:hAnsi="Times New Roman"/>
                <w:sz w:val="16"/>
                <w:szCs w:val="16"/>
                <w:b w:val="1"/>
                <w:bCs w:val="1"/>
                <w:color w:val="auto"/>
              </w:rPr>
              <w:t>:</w:t>
            </w:r>
          </w:p>
        </w:tc>
        <w:tc>
          <w:tcPr>
            <w:tcW w:w="220" w:type="dxa"/>
            <w:vAlign w:val="bottom"/>
            <w:tcBorders>
              <w:top w:val="single" w:sz="8" w:color="auto"/>
            </w:tcBorders>
            <w:shd w:val="clear" w:color="auto" w:fill="CCEEFF"/>
          </w:tcPr>
          <w:p>
            <w:pPr>
              <w:spacing w:after="0"/>
              <w:rPr>
                <w:sz w:val="23"/>
                <w:szCs w:val="23"/>
                <w:color w:val="auto"/>
              </w:rPr>
            </w:pPr>
          </w:p>
        </w:tc>
        <w:tc>
          <w:tcPr>
            <w:tcW w:w="7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7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7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9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8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8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9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Environmental Services</w:t>
            </w:r>
          </w:p>
        </w:tc>
        <w:tc>
          <w:tcPr>
            <w:tcW w:w="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586,872</w:t>
            </w:r>
          </w:p>
        </w:tc>
        <w:tc>
          <w:tcPr>
            <w:tcW w:w="120" w:type="dxa"/>
            <w:vAlign w:val="bottom"/>
          </w:tcPr>
          <w:p>
            <w:pPr>
              <w:spacing w:after="0"/>
              <w:rPr>
                <w:sz w:val="20"/>
                <w:szCs w:val="20"/>
                <w:color w:val="auto"/>
              </w:rPr>
            </w:pPr>
          </w:p>
        </w:tc>
        <w:tc>
          <w:tcPr>
            <w:tcW w:w="2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542,980</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43,892</w:t>
            </w: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8.1%</w:t>
            </w:r>
          </w:p>
        </w:tc>
        <w:tc>
          <w:tcPr>
            <w:tcW w:w="100" w:type="dxa"/>
            <w:vAlign w:val="bottom"/>
          </w:tcPr>
          <w:p>
            <w:pPr>
              <w:spacing w:after="0"/>
              <w:rPr>
                <w:sz w:val="20"/>
                <w:szCs w:val="20"/>
                <w:color w:val="auto"/>
              </w:rPr>
            </w:pPr>
          </w:p>
        </w:tc>
        <w:tc>
          <w:tcPr>
            <w:tcW w:w="1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1,658,970</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1,570,241</w:t>
            </w:r>
          </w:p>
        </w:tc>
        <w:tc>
          <w:tcPr>
            <w:tcW w:w="10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88,729</w:t>
            </w:r>
          </w:p>
        </w:tc>
        <w:tc>
          <w:tcPr>
            <w:tcW w:w="100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auto"/>
              </w:rPr>
              <w:t>5.7%</w:t>
            </w:r>
          </w:p>
        </w:tc>
        <w:tc>
          <w:tcPr>
            <w:tcW w:w="0" w:type="dxa"/>
            <w:vAlign w:val="bottom"/>
          </w:tcPr>
          <w:p>
            <w:pPr>
              <w:spacing w:after="0"/>
              <w:rPr>
                <w:sz w:val="1"/>
                <w:szCs w:val="1"/>
                <w:color w:val="auto"/>
              </w:rPr>
            </w:pPr>
          </w:p>
        </w:tc>
      </w:tr>
      <w:tr>
        <w:trPr>
          <w:trHeight w:val="33"/>
        </w:trPr>
        <w:tc>
          <w:tcPr>
            <w:tcW w:w="2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Safety-Kleen</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306,145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300,885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5,260</w:t>
            </w:r>
          </w:p>
        </w:tc>
        <w:tc>
          <w:tcPr>
            <w:tcW w:w="1020" w:type="dxa"/>
            <w:vAlign w:val="bottom"/>
            <w:tcBorders>
              <w:bottom w:val="single" w:sz="8" w:color="CCEEFF"/>
            </w:tcBorders>
            <w:gridSpan w:val="2"/>
            <w:shd w:val="clear" w:color="auto" w:fill="CCEEFF"/>
          </w:tcPr>
          <w:p>
            <w:pPr>
              <w:jc w:val="center"/>
              <w:ind w:left="20"/>
              <w:spacing w:after="0"/>
              <w:rPr>
                <w:sz w:val="20"/>
                <w:szCs w:val="20"/>
                <w:color w:val="auto"/>
              </w:rPr>
            </w:pPr>
            <w:r>
              <w:rPr>
                <w:rFonts w:ascii="Times New Roman" w:cs="Times New Roman" w:eastAsia="Times New Roman" w:hAnsi="Times New Roman"/>
                <w:sz w:val="16"/>
                <w:szCs w:val="16"/>
                <w:color w:val="auto"/>
                <w:w w:val="99"/>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884,606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873,284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11,322</w:t>
            </w:r>
          </w:p>
        </w:tc>
        <w:tc>
          <w:tcPr>
            <w:tcW w:w="1000" w:type="dxa"/>
            <w:vAlign w:val="bottom"/>
            <w:tcBorders>
              <w:bottom w:val="single" w:sz="8" w:color="CCEEFF"/>
            </w:tcBorders>
            <w:gridSpan w:val="2"/>
            <w:shd w:val="clear" w:color="auto" w:fill="CCEEFF"/>
          </w:tcPr>
          <w:p>
            <w:pPr>
              <w:jc w:val="center"/>
              <w:ind w:left="40"/>
              <w:spacing w:after="0"/>
              <w:rPr>
                <w:sz w:val="20"/>
                <w:szCs w:val="20"/>
                <w:color w:val="auto"/>
              </w:rPr>
            </w:pPr>
            <w:r>
              <w:rPr>
                <w:rFonts w:ascii="Times New Roman" w:cs="Times New Roman" w:eastAsia="Times New Roman" w:hAnsi="Times New Roman"/>
                <w:sz w:val="16"/>
                <w:szCs w:val="16"/>
                <w:color w:val="auto"/>
                <w:w w:val="99"/>
              </w:rPr>
              <w:t>1.3</w:t>
            </w:r>
          </w:p>
        </w:tc>
        <w:tc>
          <w:tcPr>
            <w:tcW w:w="0" w:type="dxa"/>
            <w:vAlign w:val="bottom"/>
          </w:tcPr>
          <w:p>
            <w:pPr>
              <w:spacing w:after="0"/>
              <w:rPr>
                <w:sz w:val="1"/>
                <w:szCs w:val="1"/>
                <w:color w:val="auto"/>
              </w:rPr>
            </w:pPr>
          </w:p>
        </w:tc>
      </w:tr>
      <w:tr>
        <w:trPr>
          <w:trHeight w:val="237"/>
        </w:trPr>
        <w:tc>
          <w:tcPr>
            <w:tcW w:w="29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Corporate Items</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(665)</w:t>
            </w:r>
          </w:p>
        </w:tc>
        <w:tc>
          <w:tcPr>
            <w:tcW w:w="100" w:type="dxa"/>
            <w:vAlign w:val="bottom"/>
          </w:tcPr>
          <w:p>
            <w:pPr>
              <w:spacing w:after="0"/>
              <w:rPr>
                <w:sz w:val="20"/>
                <w:szCs w:val="20"/>
                <w:color w:val="auto"/>
              </w:rPr>
            </w:pP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N/M</w:t>
            </w: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(965)</w:t>
            </w:r>
          </w:p>
        </w:tc>
        <w:tc>
          <w:tcPr>
            <w:tcW w:w="10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N/M</w:t>
            </w:r>
          </w:p>
        </w:tc>
        <w:tc>
          <w:tcPr>
            <w:tcW w:w="0" w:type="dxa"/>
            <w:vAlign w:val="bottom"/>
          </w:tcPr>
          <w:p>
            <w:pPr>
              <w:spacing w:after="0"/>
              <w:rPr>
                <w:sz w:val="1"/>
                <w:szCs w:val="1"/>
                <w:color w:val="auto"/>
              </w:rPr>
            </w:pPr>
          </w:p>
        </w:tc>
      </w:tr>
      <w:tr>
        <w:trPr>
          <w:trHeight w:val="33"/>
        </w:trPr>
        <w:tc>
          <w:tcPr>
            <w:tcW w:w="29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9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Total</w:t>
            </w:r>
          </w:p>
        </w:tc>
        <w:tc>
          <w:tcPr>
            <w:tcW w:w="2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891,668</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843,181</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48,487</w:t>
            </w:r>
          </w:p>
        </w:tc>
        <w:tc>
          <w:tcPr>
            <w:tcW w:w="1020" w:type="dxa"/>
            <w:vAlign w:val="bottom"/>
            <w:tcBorders>
              <w:bottom w:val="single" w:sz="8" w:color="CCEEFF"/>
            </w:tcBorders>
            <w:gridSpan w:val="2"/>
            <w:shd w:val="clear" w:color="auto" w:fill="CCEEFF"/>
          </w:tcPr>
          <w:p>
            <w:pPr>
              <w:jc w:val="center"/>
              <w:ind w:left="20"/>
              <w:spacing w:after="0"/>
              <w:rPr>
                <w:sz w:val="20"/>
                <w:szCs w:val="20"/>
                <w:color w:val="auto"/>
              </w:rPr>
            </w:pPr>
            <w:r>
              <w:rPr>
                <w:rFonts w:ascii="Times New Roman" w:cs="Times New Roman" w:eastAsia="Times New Roman" w:hAnsi="Times New Roman"/>
                <w:sz w:val="16"/>
                <w:szCs w:val="16"/>
                <w:color w:val="auto"/>
                <w:w w:val="99"/>
              </w:rPr>
              <w:t>5.8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2,541,185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2,442,099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99,086</w:t>
            </w:r>
          </w:p>
        </w:tc>
        <w:tc>
          <w:tcPr>
            <w:tcW w:w="1000" w:type="dxa"/>
            <w:vAlign w:val="bottom"/>
            <w:tcBorders>
              <w:bottom w:val="single" w:sz="8" w:color="CCEEFF"/>
            </w:tcBorders>
            <w:gridSpan w:val="2"/>
            <w:shd w:val="clear" w:color="auto" w:fill="CCEEFF"/>
          </w:tcPr>
          <w:p>
            <w:pPr>
              <w:jc w:val="center"/>
              <w:ind w:left="40"/>
              <w:spacing w:after="0"/>
              <w:rPr>
                <w:sz w:val="20"/>
                <w:szCs w:val="20"/>
                <w:color w:val="auto"/>
              </w:rPr>
            </w:pPr>
            <w:r>
              <w:rPr>
                <w:rFonts w:ascii="Times New Roman" w:cs="Times New Roman" w:eastAsia="Times New Roman" w:hAnsi="Times New Roman"/>
                <w:sz w:val="16"/>
                <w:szCs w:val="16"/>
                <w:color w:val="auto"/>
                <w:w w:val="99"/>
              </w:rPr>
              <w:t>4.1</w:t>
            </w:r>
          </w:p>
        </w:tc>
        <w:tc>
          <w:tcPr>
            <w:tcW w:w="0" w:type="dxa"/>
            <w:vAlign w:val="bottom"/>
          </w:tcPr>
          <w:p>
            <w:pPr>
              <w:spacing w:after="0"/>
              <w:rPr>
                <w:sz w:val="1"/>
                <w:szCs w:val="1"/>
                <w:color w:val="auto"/>
              </w:rPr>
            </w:pPr>
          </w:p>
        </w:tc>
      </w:tr>
      <w:tr>
        <w:trPr>
          <w:trHeight w:val="270"/>
        </w:trPr>
        <w:tc>
          <w:tcPr>
            <w:tcW w:w="298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Cost of Revenues</w:t>
            </w:r>
            <w:r>
              <w:rPr>
                <w:rFonts w:ascii="Times New Roman" w:cs="Times New Roman" w:eastAsia="Times New Roman" w:hAnsi="Times New Roman"/>
                <w:sz w:val="21"/>
                <w:szCs w:val="21"/>
                <w:b w:val="1"/>
                <w:bCs w:val="1"/>
                <w:color w:val="auto"/>
                <w:vertAlign w:val="superscript"/>
              </w:rPr>
              <w:t>(2)</w:t>
            </w:r>
            <w:r>
              <w:rPr>
                <w:rFonts w:ascii="Times New Roman" w:cs="Times New Roman" w:eastAsia="Times New Roman" w:hAnsi="Times New Roman"/>
                <w:sz w:val="16"/>
                <w:szCs w:val="16"/>
                <w:b w:val="1"/>
                <w:bCs w:val="1"/>
                <w:color w:val="auto"/>
              </w:rPr>
              <w:t>:</w:t>
            </w:r>
          </w:p>
        </w:tc>
        <w:tc>
          <w:tcPr>
            <w:tcW w:w="2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2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Environmental Services</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417,954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395,949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22,005</w:t>
            </w:r>
          </w:p>
        </w:tc>
        <w:tc>
          <w:tcPr>
            <w:tcW w:w="1020" w:type="dxa"/>
            <w:vAlign w:val="bottom"/>
            <w:tcBorders>
              <w:bottom w:val="single" w:sz="8" w:color="CCEEFF"/>
            </w:tcBorders>
            <w:gridSpan w:val="2"/>
            <w:shd w:val="clear" w:color="auto" w:fill="CCEEFF"/>
          </w:tcPr>
          <w:p>
            <w:pPr>
              <w:jc w:val="center"/>
              <w:ind w:left="20"/>
              <w:spacing w:after="0"/>
              <w:rPr>
                <w:sz w:val="20"/>
                <w:szCs w:val="20"/>
                <w:color w:val="auto"/>
              </w:rPr>
            </w:pPr>
            <w:r>
              <w:rPr>
                <w:rFonts w:ascii="Times New Roman" w:cs="Times New Roman" w:eastAsia="Times New Roman" w:hAnsi="Times New Roman"/>
                <w:sz w:val="16"/>
                <w:szCs w:val="16"/>
                <w:color w:val="auto"/>
                <w:w w:val="99"/>
              </w:rPr>
              <w:t>5.6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1,203,367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1,168,349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35,018</w:t>
            </w:r>
          </w:p>
        </w:tc>
        <w:tc>
          <w:tcPr>
            <w:tcW w:w="1000" w:type="dxa"/>
            <w:vAlign w:val="bottom"/>
            <w:tcBorders>
              <w:bottom w:val="single" w:sz="8" w:color="CCEEFF"/>
            </w:tcBorders>
            <w:gridSpan w:val="2"/>
            <w:shd w:val="clear" w:color="auto" w:fill="CCEEFF"/>
          </w:tcPr>
          <w:p>
            <w:pPr>
              <w:jc w:val="center"/>
              <w:ind w:left="40"/>
              <w:spacing w:after="0"/>
              <w:rPr>
                <w:sz w:val="20"/>
                <w:szCs w:val="20"/>
                <w:color w:val="auto"/>
              </w:rPr>
            </w:pPr>
            <w:r>
              <w:rPr>
                <w:rFonts w:ascii="Times New Roman" w:cs="Times New Roman" w:eastAsia="Times New Roman" w:hAnsi="Times New Roman"/>
                <w:sz w:val="16"/>
                <w:szCs w:val="16"/>
                <w:color w:val="auto"/>
                <w:w w:val="99"/>
              </w:rPr>
              <w:t>3.0</w:t>
            </w:r>
          </w:p>
        </w:tc>
        <w:tc>
          <w:tcPr>
            <w:tcW w:w="0" w:type="dxa"/>
            <w:vAlign w:val="bottom"/>
          </w:tcPr>
          <w:p>
            <w:pPr>
              <w:spacing w:after="0"/>
              <w:rPr>
                <w:sz w:val="1"/>
                <w:szCs w:val="1"/>
                <w:color w:val="auto"/>
              </w:rPr>
            </w:pPr>
          </w:p>
        </w:tc>
      </w:tr>
      <w:tr>
        <w:trPr>
          <w:trHeight w:val="237"/>
        </w:trPr>
        <w:tc>
          <w:tcPr>
            <w:tcW w:w="29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Safety-Kleen</w:t>
            </w:r>
          </w:p>
        </w:tc>
        <w:tc>
          <w:tcPr>
            <w:tcW w:w="220" w:type="dxa"/>
            <w:vAlign w:val="bottom"/>
          </w:tcPr>
          <w:p>
            <w:pPr>
              <w:spacing w:after="0"/>
              <w:rPr>
                <w:sz w:val="20"/>
                <w:szCs w:val="20"/>
                <w:color w:val="auto"/>
              </w:rPr>
            </w:pPr>
          </w:p>
        </w:tc>
        <w:tc>
          <w:tcPr>
            <w:tcW w:w="7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189,190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183,112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6,078</w:t>
            </w:r>
          </w:p>
        </w:tc>
        <w:tc>
          <w:tcPr>
            <w:tcW w:w="102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auto"/>
                <w:w w:val="99"/>
              </w:rPr>
              <w:t>3.3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558,609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542,343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16,266</w:t>
            </w:r>
          </w:p>
        </w:tc>
        <w:tc>
          <w:tcPr>
            <w:tcW w:w="1000" w:type="dxa"/>
            <w:vAlign w:val="bottom"/>
            <w:gridSpan w:val="2"/>
          </w:tcPr>
          <w:p>
            <w:pPr>
              <w:jc w:val="center"/>
              <w:ind w:left="40"/>
              <w:spacing w:after="0"/>
              <w:rPr>
                <w:sz w:val="20"/>
                <w:szCs w:val="20"/>
                <w:color w:val="auto"/>
              </w:rPr>
            </w:pPr>
            <w:r>
              <w:rPr>
                <w:rFonts w:ascii="Times New Roman" w:cs="Times New Roman" w:eastAsia="Times New Roman" w:hAnsi="Times New Roman"/>
                <w:sz w:val="16"/>
                <w:szCs w:val="16"/>
                <w:color w:val="auto"/>
                <w:w w:val="99"/>
              </w:rPr>
              <w:t>3.0</w:t>
            </w:r>
          </w:p>
        </w:tc>
        <w:tc>
          <w:tcPr>
            <w:tcW w:w="0" w:type="dxa"/>
            <w:vAlign w:val="bottom"/>
          </w:tcPr>
          <w:p>
            <w:pPr>
              <w:spacing w:after="0"/>
              <w:rPr>
                <w:sz w:val="1"/>
                <w:szCs w:val="1"/>
                <w:color w:val="auto"/>
              </w:rPr>
            </w:pPr>
          </w:p>
        </w:tc>
      </w:tr>
      <w:tr>
        <w:trPr>
          <w:trHeight w:val="33"/>
        </w:trPr>
        <w:tc>
          <w:tcPr>
            <w:tcW w:w="2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Corporate Items</w:t>
            </w:r>
          </w:p>
        </w:tc>
        <w:tc>
          <w:tcPr>
            <w:tcW w:w="2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5,610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1,624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3,986</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N/M</w:t>
            </w: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10,075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10,073</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N/M</w:t>
            </w:r>
          </w:p>
        </w:tc>
        <w:tc>
          <w:tcPr>
            <w:tcW w:w="0" w:type="dxa"/>
            <w:vAlign w:val="bottom"/>
          </w:tcPr>
          <w:p>
            <w:pPr>
              <w:spacing w:after="0"/>
              <w:rPr>
                <w:sz w:val="1"/>
                <w:szCs w:val="1"/>
                <w:color w:val="auto"/>
              </w:rPr>
            </w:pPr>
          </w:p>
        </w:tc>
      </w:tr>
      <w:tr>
        <w:trPr>
          <w:trHeight w:val="217"/>
        </w:trPr>
        <w:tc>
          <w:tcPr>
            <w:tcW w:w="29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w:t>
            </w:r>
          </w:p>
        </w:tc>
        <w:tc>
          <w:tcPr>
            <w:tcW w:w="2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612,754</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580,685</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32,069</w:t>
            </w:r>
          </w:p>
        </w:tc>
        <w:tc>
          <w:tcPr>
            <w:tcW w:w="102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auto"/>
                <w:w w:val="99"/>
              </w:rPr>
              <w:t>5.5</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1,772,051</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1,710,694</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61,357</w:t>
            </w:r>
          </w:p>
        </w:tc>
        <w:tc>
          <w:tcPr>
            <w:tcW w:w="1000" w:type="dxa"/>
            <w:vAlign w:val="bottom"/>
            <w:gridSpan w:val="2"/>
          </w:tcPr>
          <w:p>
            <w:pPr>
              <w:jc w:val="center"/>
              <w:ind w:left="40"/>
              <w:spacing w:after="0"/>
              <w:rPr>
                <w:sz w:val="20"/>
                <w:szCs w:val="20"/>
                <w:color w:val="auto"/>
              </w:rPr>
            </w:pPr>
            <w:r>
              <w:rPr>
                <w:rFonts w:ascii="Times New Roman" w:cs="Times New Roman" w:eastAsia="Times New Roman" w:hAnsi="Times New Roman"/>
                <w:sz w:val="16"/>
                <w:szCs w:val="16"/>
                <w:color w:val="auto"/>
                <w:w w:val="99"/>
              </w:rPr>
              <w:t>3.6</w:t>
            </w:r>
          </w:p>
        </w:tc>
        <w:tc>
          <w:tcPr>
            <w:tcW w:w="0" w:type="dxa"/>
            <w:vAlign w:val="bottom"/>
          </w:tcPr>
          <w:p>
            <w:pPr>
              <w:spacing w:after="0"/>
              <w:rPr>
                <w:sz w:val="1"/>
                <w:szCs w:val="1"/>
                <w:color w:val="auto"/>
              </w:rPr>
            </w:pPr>
          </w:p>
        </w:tc>
      </w:tr>
      <w:tr>
        <w:trPr>
          <w:trHeight w:val="33"/>
        </w:trPr>
        <w:tc>
          <w:tcPr>
            <w:tcW w:w="3200" w:type="dxa"/>
            <w:vAlign w:val="bottom"/>
            <w:gridSpan w:val="2"/>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Selling, General &amp; Administrative Expenses:</w:t>
            </w: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9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Environmental Services</w:t>
            </w:r>
          </w:p>
        </w:tc>
        <w:tc>
          <w:tcPr>
            <w:tcW w:w="220" w:type="dxa"/>
            <w:vAlign w:val="bottom"/>
          </w:tcPr>
          <w:p>
            <w:pPr>
              <w:spacing w:after="0"/>
              <w:rPr>
                <w:sz w:val="20"/>
                <w:szCs w:val="20"/>
                <w:color w:val="auto"/>
              </w:rPr>
            </w:pPr>
          </w:p>
        </w:tc>
        <w:tc>
          <w:tcPr>
            <w:tcW w:w="7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47,260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44,612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2,648</w:t>
            </w:r>
          </w:p>
        </w:tc>
        <w:tc>
          <w:tcPr>
            <w:tcW w:w="102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auto"/>
                <w:w w:val="99"/>
              </w:rPr>
              <w:t>5.9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126,567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128,857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(2,290)</w:t>
            </w:r>
          </w:p>
        </w:tc>
        <w:tc>
          <w:tcPr>
            <w:tcW w:w="100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auto"/>
                <w:w w:val="97"/>
              </w:rPr>
              <w:t>(1.8)</w:t>
            </w:r>
          </w:p>
        </w:tc>
        <w:tc>
          <w:tcPr>
            <w:tcW w:w="0" w:type="dxa"/>
            <w:vAlign w:val="bottom"/>
          </w:tcPr>
          <w:p>
            <w:pPr>
              <w:spacing w:after="0"/>
              <w:rPr>
                <w:sz w:val="1"/>
                <w:szCs w:val="1"/>
                <w:color w:val="auto"/>
              </w:rPr>
            </w:pPr>
          </w:p>
        </w:tc>
      </w:tr>
      <w:tr>
        <w:trPr>
          <w:trHeight w:val="33"/>
        </w:trPr>
        <w:tc>
          <w:tcPr>
            <w:tcW w:w="2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Safety-Kleen</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35,629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38,271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(2,642)</w:t>
            </w:r>
          </w:p>
        </w:tc>
        <w:tc>
          <w:tcPr>
            <w:tcW w:w="1020" w:type="dxa"/>
            <w:vAlign w:val="bottom"/>
            <w:tcBorders>
              <w:bottom w:val="single" w:sz="8" w:color="CCEEFF"/>
            </w:tcBorders>
            <w:gridSpan w:val="2"/>
            <w:shd w:val="clear" w:color="auto" w:fill="CCEEFF"/>
          </w:tcPr>
          <w:p>
            <w:pPr>
              <w:jc w:val="center"/>
              <w:ind w:left="20"/>
              <w:spacing w:after="0"/>
              <w:rPr>
                <w:sz w:val="20"/>
                <w:szCs w:val="20"/>
                <w:color w:val="auto"/>
              </w:rPr>
            </w:pPr>
            <w:r>
              <w:rPr>
                <w:rFonts w:ascii="Times New Roman" w:cs="Times New Roman" w:eastAsia="Times New Roman" w:hAnsi="Times New Roman"/>
                <w:sz w:val="16"/>
                <w:szCs w:val="16"/>
                <w:color w:val="auto"/>
              </w:rPr>
              <w:t>(6.9)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110,419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116,486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(6,067)</w:t>
            </w:r>
          </w:p>
        </w:tc>
        <w:tc>
          <w:tcPr>
            <w:tcW w:w="1000" w:type="dxa"/>
            <w:vAlign w:val="bottom"/>
            <w:tcBorders>
              <w:bottom w:val="single" w:sz="8" w:color="CCEEFF"/>
            </w:tcBorders>
            <w:gridSpan w:val="2"/>
            <w:shd w:val="clear" w:color="auto" w:fill="CCEEFF"/>
          </w:tcPr>
          <w:p>
            <w:pPr>
              <w:jc w:val="center"/>
              <w:ind w:left="20"/>
              <w:spacing w:after="0"/>
              <w:rPr>
                <w:sz w:val="20"/>
                <w:szCs w:val="20"/>
                <w:color w:val="auto"/>
              </w:rPr>
            </w:pPr>
            <w:r>
              <w:rPr>
                <w:rFonts w:ascii="Times New Roman" w:cs="Times New Roman" w:eastAsia="Times New Roman" w:hAnsi="Times New Roman"/>
                <w:sz w:val="16"/>
                <w:szCs w:val="16"/>
                <w:color w:val="auto"/>
                <w:w w:val="97"/>
              </w:rPr>
              <w:t>(5.2)</w:t>
            </w:r>
          </w:p>
        </w:tc>
        <w:tc>
          <w:tcPr>
            <w:tcW w:w="0" w:type="dxa"/>
            <w:vAlign w:val="bottom"/>
          </w:tcPr>
          <w:p>
            <w:pPr>
              <w:spacing w:after="0"/>
              <w:rPr>
                <w:sz w:val="1"/>
                <w:szCs w:val="1"/>
                <w:color w:val="auto"/>
              </w:rPr>
            </w:pPr>
          </w:p>
        </w:tc>
      </w:tr>
      <w:tr>
        <w:trPr>
          <w:trHeight w:val="237"/>
        </w:trPr>
        <w:tc>
          <w:tcPr>
            <w:tcW w:w="29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Corporate Items</w:t>
            </w:r>
          </w:p>
        </w:tc>
        <w:tc>
          <w:tcPr>
            <w:tcW w:w="220" w:type="dxa"/>
            <w:vAlign w:val="bottom"/>
          </w:tcPr>
          <w:p>
            <w:pPr>
              <w:spacing w:after="0"/>
              <w:rPr>
                <w:sz w:val="20"/>
                <w:szCs w:val="20"/>
                <w:color w:val="auto"/>
              </w:rPr>
            </w:pPr>
          </w:p>
        </w:tc>
        <w:tc>
          <w:tcPr>
            <w:tcW w:w="7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39,412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38,336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1,076</w:t>
            </w:r>
          </w:p>
        </w:tc>
        <w:tc>
          <w:tcPr>
            <w:tcW w:w="102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auto"/>
                <w:w w:val="99"/>
              </w:rPr>
              <w:t>2.8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124,047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116,959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7,088</w:t>
            </w:r>
          </w:p>
        </w:tc>
        <w:tc>
          <w:tcPr>
            <w:tcW w:w="1000" w:type="dxa"/>
            <w:vAlign w:val="bottom"/>
            <w:gridSpan w:val="2"/>
          </w:tcPr>
          <w:p>
            <w:pPr>
              <w:jc w:val="center"/>
              <w:ind w:left="40"/>
              <w:spacing w:after="0"/>
              <w:rPr>
                <w:sz w:val="20"/>
                <w:szCs w:val="20"/>
                <w:color w:val="auto"/>
              </w:rPr>
            </w:pPr>
            <w:r>
              <w:rPr>
                <w:rFonts w:ascii="Times New Roman" w:cs="Times New Roman" w:eastAsia="Times New Roman" w:hAnsi="Times New Roman"/>
                <w:sz w:val="16"/>
                <w:szCs w:val="16"/>
                <w:color w:val="auto"/>
                <w:w w:val="99"/>
              </w:rPr>
              <w:t>6.1</w:t>
            </w:r>
          </w:p>
        </w:tc>
        <w:tc>
          <w:tcPr>
            <w:tcW w:w="0" w:type="dxa"/>
            <w:vAlign w:val="bottom"/>
          </w:tcPr>
          <w:p>
            <w:pPr>
              <w:spacing w:after="0"/>
              <w:rPr>
                <w:sz w:val="1"/>
                <w:szCs w:val="1"/>
                <w:color w:val="auto"/>
              </w:rPr>
            </w:pPr>
          </w:p>
        </w:tc>
      </w:tr>
      <w:tr>
        <w:trPr>
          <w:trHeight w:val="33"/>
        </w:trPr>
        <w:tc>
          <w:tcPr>
            <w:tcW w:w="29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9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Total</w:t>
            </w:r>
          </w:p>
        </w:tc>
        <w:tc>
          <w:tcPr>
            <w:tcW w:w="2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122,301</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121,219</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1,082</w:t>
            </w:r>
          </w:p>
        </w:tc>
        <w:tc>
          <w:tcPr>
            <w:tcW w:w="1020" w:type="dxa"/>
            <w:vAlign w:val="bottom"/>
            <w:tcBorders>
              <w:bottom w:val="single" w:sz="8" w:color="CCEEFF"/>
            </w:tcBorders>
            <w:gridSpan w:val="2"/>
            <w:shd w:val="clear" w:color="auto" w:fill="CCEEFF"/>
          </w:tcPr>
          <w:p>
            <w:pPr>
              <w:jc w:val="center"/>
              <w:ind w:left="20"/>
              <w:spacing w:after="0"/>
              <w:rPr>
                <w:sz w:val="20"/>
                <w:szCs w:val="20"/>
                <w:color w:val="auto"/>
              </w:rPr>
            </w:pPr>
            <w:r>
              <w:rPr>
                <w:rFonts w:ascii="Times New Roman" w:cs="Times New Roman" w:eastAsia="Times New Roman" w:hAnsi="Times New Roman"/>
                <w:sz w:val="16"/>
                <w:szCs w:val="16"/>
                <w:color w:val="auto"/>
                <w:w w:val="99"/>
              </w:rPr>
              <w:t>0.9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361,033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362,302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(1,269)</w:t>
            </w:r>
          </w:p>
        </w:tc>
        <w:tc>
          <w:tcPr>
            <w:tcW w:w="1000" w:type="dxa"/>
            <w:vAlign w:val="bottom"/>
            <w:tcBorders>
              <w:bottom w:val="single" w:sz="8" w:color="CCEEFF"/>
            </w:tcBorders>
            <w:gridSpan w:val="2"/>
            <w:shd w:val="clear" w:color="auto" w:fill="CCEEFF"/>
          </w:tcPr>
          <w:p>
            <w:pPr>
              <w:jc w:val="center"/>
              <w:ind w:left="20"/>
              <w:spacing w:after="0"/>
              <w:rPr>
                <w:sz w:val="20"/>
                <w:szCs w:val="20"/>
                <w:color w:val="auto"/>
              </w:rPr>
            </w:pPr>
            <w:r>
              <w:rPr>
                <w:rFonts w:ascii="Times New Roman" w:cs="Times New Roman" w:eastAsia="Times New Roman" w:hAnsi="Times New Roman"/>
                <w:sz w:val="16"/>
                <w:szCs w:val="16"/>
                <w:color w:val="auto"/>
                <w:w w:val="97"/>
              </w:rPr>
              <w:t>(0.4)</w:t>
            </w:r>
          </w:p>
        </w:tc>
        <w:tc>
          <w:tcPr>
            <w:tcW w:w="0" w:type="dxa"/>
            <w:vAlign w:val="bottom"/>
          </w:tcPr>
          <w:p>
            <w:pPr>
              <w:spacing w:after="0"/>
              <w:rPr>
                <w:sz w:val="1"/>
                <w:szCs w:val="1"/>
                <w:color w:val="auto"/>
              </w:rPr>
            </w:pPr>
          </w:p>
        </w:tc>
      </w:tr>
      <w:tr>
        <w:trPr>
          <w:trHeight w:val="237"/>
        </w:trPr>
        <w:tc>
          <w:tcPr>
            <w:tcW w:w="298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Adjusted EBITDA:</w:t>
            </w: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Environmental Services</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121,658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102,419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19,239</w:t>
            </w:r>
          </w:p>
        </w:tc>
        <w:tc>
          <w:tcPr>
            <w:tcW w:w="1020" w:type="dxa"/>
            <w:vAlign w:val="bottom"/>
            <w:tcBorders>
              <w:bottom w:val="single" w:sz="8" w:color="CCEEFF"/>
            </w:tcBorders>
            <w:gridSpan w:val="2"/>
            <w:shd w:val="clear" w:color="auto" w:fill="CCEEFF"/>
          </w:tcPr>
          <w:p>
            <w:pPr>
              <w:jc w:val="center"/>
              <w:ind w:left="20"/>
              <w:spacing w:after="0"/>
              <w:rPr>
                <w:sz w:val="20"/>
                <w:szCs w:val="20"/>
                <w:color w:val="auto"/>
              </w:rPr>
            </w:pPr>
            <w:r>
              <w:rPr>
                <w:rFonts w:ascii="Times New Roman" w:cs="Times New Roman" w:eastAsia="Times New Roman" w:hAnsi="Times New Roman"/>
                <w:sz w:val="16"/>
                <w:szCs w:val="16"/>
                <w:color w:val="auto"/>
                <w:w w:val="99"/>
              </w:rPr>
              <w:t>18.8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329,036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273,035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56,001</w:t>
            </w:r>
          </w:p>
        </w:tc>
        <w:tc>
          <w:tcPr>
            <w:tcW w:w="1000" w:type="dxa"/>
            <w:vAlign w:val="bottom"/>
            <w:tcBorders>
              <w:bottom w:val="single" w:sz="8" w:color="CCEEFF"/>
            </w:tcBorders>
            <w:gridSpan w:val="2"/>
            <w:shd w:val="clear" w:color="auto" w:fill="CCEEFF"/>
          </w:tcPr>
          <w:p>
            <w:pPr>
              <w:jc w:val="center"/>
              <w:ind w:left="40"/>
              <w:spacing w:after="0"/>
              <w:rPr>
                <w:sz w:val="20"/>
                <w:szCs w:val="20"/>
                <w:color w:val="auto"/>
              </w:rPr>
            </w:pPr>
            <w:r>
              <w:rPr>
                <w:rFonts w:ascii="Times New Roman" w:cs="Times New Roman" w:eastAsia="Times New Roman" w:hAnsi="Times New Roman"/>
                <w:sz w:val="16"/>
                <w:szCs w:val="16"/>
                <w:color w:val="auto"/>
                <w:w w:val="99"/>
              </w:rPr>
              <w:t>20.5</w:t>
            </w:r>
          </w:p>
        </w:tc>
        <w:tc>
          <w:tcPr>
            <w:tcW w:w="0" w:type="dxa"/>
            <w:vAlign w:val="bottom"/>
          </w:tcPr>
          <w:p>
            <w:pPr>
              <w:spacing w:after="0"/>
              <w:rPr>
                <w:sz w:val="1"/>
                <w:szCs w:val="1"/>
                <w:color w:val="auto"/>
              </w:rPr>
            </w:pPr>
          </w:p>
        </w:tc>
      </w:tr>
      <w:tr>
        <w:trPr>
          <w:trHeight w:val="237"/>
        </w:trPr>
        <w:tc>
          <w:tcPr>
            <w:tcW w:w="29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Safety-Kleen</w:t>
            </w:r>
          </w:p>
        </w:tc>
        <w:tc>
          <w:tcPr>
            <w:tcW w:w="220" w:type="dxa"/>
            <w:vAlign w:val="bottom"/>
          </w:tcPr>
          <w:p>
            <w:pPr>
              <w:spacing w:after="0"/>
              <w:rPr>
                <w:sz w:val="20"/>
                <w:szCs w:val="20"/>
                <w:color w:val="auto"/>
              </w:rPr>
            </w:pPr>
          </w:p>
        </w:tc>
        <w:tc>
          <w:tcPr>
            <w:tcW w:w="7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81,326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79,502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1,824</w:t>
            </w:r>
          </w:p>
        </w:tc>
        <w:tc>
          <w:tcPr>
            <w:tcW w:w="102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auto"/>
                <w:w w:val="99"/>
              </w:rPr>
              <w:t>2.3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215,578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214,455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1,123</w:t>
            </w:r>
          </w:p>
        </w:tc>
        <w:tc>
          <w:tcPr>
            <w:tcW w:w="1000" w:type="dxa"/>
            <w:vAlign w:val="bottom"/>
            <w:gridSpan w:val="2"/>
          </w:tcPr>
          <w:p>
            <w:pPr>
              <w:jc w:val="center"/>
              <w:ind w:left="40"/>
              <w:spacing w:after="0"/>
              <w:rPr>
                <w:sz w:val="20"/>
                <w:szCs w:val="20"/>
                <w:color w:val="auto"/>
              </w:rPr>
            </w:pPr>
            <w:r>
              <w:rPr>
                <w:rFonts w:ascii="Times New Roman" w:cs="Times New Roman" w:eastAsia="Times New Roman" w:hAnsi="Times New Roman"/>
                <w:sz w:val="16"/>
                <w:szCs w:val="16"/>
                <w:color w:val="auto"/>
                <w:w w:val="99"/>
              </w:rPr>
              <w:t>0.5</w:t>
            </w:r>
          </w:p>
        </w:tc>
        <w:tc>
          <w:tcPr>
            <w:tcW w:w="0" w:type="dxa"/>
            <w:vAlign w:val="bottom"/>
          </w:tcPr>
          <w:p>
            <w:pPr>
              <w:spacing w:after="0"/>
              <w:rPr>
                <w:sz w:val="1"/>
                <w:szCs w:val="1"/>
                <w:color w:val="auto"/>
              </w:rPr>
            </w:pPr>
          </w:p>
        </w:tc>
      </w:tr>
      <w:tr>
        <w:trPr>
          <w:trHeight w:val="33"/>
        </w:trPr>
        <w:tc>
          <w:tcPr>
            <w:tcW w:w="2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Corporate Items</w:t>
            </w:r>
          </w:p>
        </w:tc>
        <w:tc>
          <w:tcPr>
            <w:tcW w:w="2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(46,371)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(40,644)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(5,727)</w:t>
            </w:r>
          </w:p>
        </w:tc>
        <w:tc>
          <w:tcPr>
            <w:tcW w:w="1020" w:type="dxa"/>
            <w:vAlign w:val="bottom"/>
            <w:tcBorders>
              <w:bottom w:val="single" w:sz="8" w:color="CCEEFF"/>
            </w:tcBorders>
            <w:gridSpan w:val="2"/>
            <w:shd w:val="clear" w:color="auto" w:fill="CCEEFF"/>
          </w:tcPr>
          <w:p>
            <w:pPr>
              <w:jc w:val="center"/>
              <w:ind w:left="20"/>
              <w:spacing w:after="0"/>
              <w:rPr>
                <w:sz w:val="20"/>
                <w:szCs w:val="20"/>
                <w:color w:val="auto"/>
              </w:rPr>
            </w:pPr>
            <w:r>
              <w:rPr>
                <w:rFonts w:ascii="Times New Roman" w:cs="Times New Roman" w:eastAsia="Times New Roman" w:hAnsi="Times New Roman"/>
                <w:sz w:val="16"/>
                <w:szCs w:val="16"/>
                <w:color w:val="auto"/>
              </w:rPr>
              <w:t>(14.1)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(136,513)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(118,387)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(18,126)</w:t>
            </w:r>
          </w:p>
        </w:tc>
        <w:tc>
          <w:tcPr>
            <w:tcW w:w="1000" w:type="dxa"/>
            <w:vAlign w:val="bottom"/>
            <w:tcBorders>
              <w:bottom w:val="single" w:sz="8" w:color="CCEEFF"/>
            </w:tcBorders>
            <w:gridSpan w:val="2"/>
            <w:shd w:val="clear" w:color="auto" w:fill="CCEEFF"/>
          </w:tcPr>
          <w:p>
            <w:pPr>
              <w:jc w:val="center"/>
              <w:ind w:left="40"/>
              <w:spacing w:after="0"/>
              <w:rPr>
                <w:sz w:val="20"/>
                <w:szCs w:val="20"/>
                <w:color w:val="auto"/>
              </w:rPr>
            </w:pPr>
            <w:r>
              <w:rPr>
                <w:rFonts w:ascii="Times New Roman" w:cs="Times New Roman" w:eastAsia="Times New Roman" w:hAnsi="Times New Roman"/>
                <w:sz w:val="16"/>
                <w:szCs w:val="16"/>
                <w:color w:val="auto"/>
                <w:w w:val="99"/>
              </w:rPr>
              <w:t>15.3</w:t>
            </w:r>
          </w:p>
        </w:tc>
        <w:tc>
          <w:tcPr>
            <w:tcW w:w="0" w:type="dxa"/>
            <w:vAlign w:val="bottom"/>
          </w:tcPr>
          <w:p>
            <w:pPr>
              <w:spacing w:after="0"/>
              <w:rPr>
                <w:sz w:val="1"/>
                <w:szCs w:val="1"/>
                <w:color w:val="auto"/>
              </w:rPr>
            </w:pPr>
          </w:p>
        </w:tc>
      </w:tr>
      <w:tr>
        <w:trPr>
          <w:trHeight w:val="244"/>
        </w:trPr>
        <w:tc>
          <w:tcPr>
            <w:tcW w:w="29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w:t>
            </w:r>
          </w:p>
        </w:tc>
        <w:tc>
          <w:tcPr>
            <w:tcW w:w="2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156,613</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141,277</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15,336</w:t>
            </w: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10.9%</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408,101</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369,103</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38,998</w:t>
            </w:r>
          </w:p>
        </w:tc>
        <w:tc>
          <w:tcPr>
            <w:tcW w:w="100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auto"/>
              </w:rPr>
              <w:t>10.6%</w:t>
            </w:r>
          </w:p>
        </w:tc>
        <w:tc>
          <w:tcPr>
            <w:tcW w:w="0" w:type="dxa"/>
            <w:vAlign w:val="bottom"/>
          </w:tcPr>
          <w:p>
            <w:pPr>
              <w:spacing w:after="0"/>
              <w:rPr>
                <w:sz w:val="1"/>
                <w:szCs w:val="1"/>
                <w:color w:val="auto"/>
              </w:rPr>
            </w:pPr>
          </w:p>
        </w:tc>
      </w:tr>
      <w:tr>
        <w:trPr>
          <w:trHeight w:val="20"/>
        </w:trPr>
        <w:tc>
          <w:tcPr>
            <w:tcW w:w="2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_____________________</w:t>
            </w: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98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N/M = not meaningful</w:t>
      </w:r>
    </w:p>
    <w:p>
      <w:pPr>
        <w:spacing w:after="0" w:line="27"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revenue is revenue allocated to the segment performing the provided service.</w:t>
      </w:r>
    </w:p>
    <w:p>
      <w:pPr>
        <w:spacing w:after="0" w:line="9" w:lineRule="exact"/>
        <w:rPr>
          <w:rFonts w:ascii="Times New Roman" w:cs="Times New Roman" w:eastAsia="Times New Roman" w:hAnsi="Times New Roman"/>
          <w:sz w:val="18"/>
          <w:szCs w:val="18"/>
          <w:color w:val="auto"/>
        </w:rPr>
      </w:pPr>
    </w:p>
    <w:p>
      <w:pPr>
        <w:ind w:left="660" w:right="360" w:hanging="328"/>
        <w:spacing w:after="0" w:line="261"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of revenue is shown exclusive of items presented separately on the statements of operations which consist of (i) accretion of environmental liabilities and (ii) depreciation and amortization.</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00"/>
          </w:cols>
          <w:pgMar w:left="240" w:top="121" w:right="259" w:bottom="1440" w:gutter="0" w:footer="0" w:header="0"/>
        </w:sectPr>
      </w:pPr>
    </w:p>
    <w:bookmarkStart w:id="30" w:name="page31"/>
    <w:bookmarkEnd w:id="3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 Revenues</w:t>
      </w:r>
    </w:p>
    <w:p>
      <w:pPr>
        <w:spacing w:after="0" w:line="148"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There are many factors which have impacted and continue to impact our revenues. These factors include, but are not limited to: overall industrial activity and growth in North America, existence or non-existence of large scale environmental waste and remediation projects, competitive industry pricing, impacts of acquisitions and divestitures, the level of emergency response projects, general conditions of the energy related industries, base and blended oil pricing, market changes relative to the collection of used oil, the number of parts washers placed at customer sites and foreign currency translation. In addition, customer efforts to minimalize hazardous waste and changes in regulation can also impact our revenues.</w:t>
      </w:r>
    </w:p>
    <w:p>
      <w:pPr>
        <w:spacing w:after="0" w:line="10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Environmental Services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gridSpan w:val="5"/>
          </w:tcPr>
          <w:p>
            <w:pPr>
              <w:ind w:left="6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60" w:type="dxa"/>
            <w:vAlign w:val="bottom"/>
            <w:gridSpan w:val="5"/>
          </w:tcPr>
          <w:p>
            <w:pPr>
              <w:ind w:left="80"/>
              <w:spacing w:after="0"/>
              <w:rPr>
                <w:sz w:val="20"/>
                <w:szCs w:val="20"/>
                <w:color w:val="auto"/>
              </w:rPr>
            </w:pPr>
            <w:r>
              <w:rPr>
                <w:rFonts w:ascii="Times New Roman" w:cs="Times New Roman" w:eastAsia="Times New Roman" w:hAnsi="Times New Roman"/>
                <w:sz w:val="16"/>
                <w:szCs w:val="16"/>
                <w:b w:val="1"/>
                <w:bCs w:val="1"/>
                <w:color w:val="auto"/>
              </w:rPr>
              <w:t>For the Nine Months Ended</w:t>
            </w:r>
          </w:p>
        </w:tc>
        <w:tc>
          <w:tcPr>
            <w:tcW w:w="960" w:type="dxa"/>
            <w:vAlign w:val="bottom"/>
          </w:tcPr>
          <w:p>
            <w:pPr>
              <w:spacing w:after="0"/>
              <w:rPr>
                <w:sz w:val="18"/>
                <w:szCs w:val="18"/>
                <w:color w:val="auto"/>
              </w:rPr>
            </w:pPr>
          </w:p>
        </w:tc>
      </w:tr>
      <w:tr>
        <w:trPr>
          <w:trHeight w:val="270"/>
        </w:trPr>
        <w:tc>
          <w:tcPr>
            <w:tcW w:w="2340" w:type="dxa"/>
            <w:vAlign w:val="bottom"/>
          </w:tcPr>
          <w:p>
            <w:pPr>
              <w:spacing w:after="0"/>
              <w:rPr>
                <w:sz w:val="23"/>
                <w:szCs w:val="23"/>
                <w:color w:val="auto"/>
              </w:rPr>
            </w:pPr>
          </w:p>
        </w:tc>
        <w:tc>
          <w:tcPr>
            <w:tcW w:w="2240" w:type="dxa"/>
            <w:vAlign w:val="bottom"/>
            <w:gridSpan w:val="4"/>
          </w:tcPr>
          <w:p>
            <w:pPr>
              <w:ind w:left="60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80" w:type="dxa"/>
            <w:vAlign w:val="bottom"/>
          </w:tcPr>
          <w:p>
            <w:pPr>
              <w:spacing w:after="0"/>
              <w:rPr>
                <w:sz w:val="23"/>
                <w:szCs w:val="23"/>
                <w:color w:val="auto"/>
              </w:rPr>
            </w:pPr>
          </w:p>
        </w:tc>
        <w:tc>
          <w:tcPr>
            <w:tcW w:w="2240" w:type="dxa"/>
            <w:vAlign w:val="bottom"/>
            <w:gridSpan w:val="5"/>
          </w:tcPr>
          <w:p>
            <w:pPr>
              <w:jc w:val="right"/>
              <w:ind w:right="840"/>
              <w:spacing w:after="0"/>
              <w:rPr>
                <w:sz w:val="20"/>
                <w:szCs w:val="20"/>
                <w:color w:val="auto"/>
              </w:rPr>
            </w:pPr>
            <w:r>
              <w:rPr>
                <w:rFonts w:ascii="Times New Roman" w:cs="Times New Roman" w:eastAsia="Times New Roman" w:hAnsi="Times New Roman"/>
                <w:sz w:val="16"/>
                <w:szCs w:val="16"/>
                <w:b w:val="1"/>
                <w:bCs w:val="1"/>
                <w:color w:val="auto"/>
              </w:rPr>
              <w:t>2019 over 2018</w:t>
            </w:r>
          </w:p>
        </w:tc>
        <w:tc>
          <w:tcPr>
            <w:tcW w:w="2280" w:type="dxa"/>
            <w:vAlign w:val="bottom"/>
            <w:gridSpan w:val="4"/>
          </w:tcPr>
          <w:p>
            <w:pPr>
              <w:ind w:left="50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80" w:type="dxa"/>
            <w:vAlign w:val="bottom"/>
          </w:tcPr>
          <w:p>
            <w:pPr>
              <w:spacing w:after="0"/>
              <w:rPr>
                <w:sz w:val="23"/>
                <w:szCs w:val="23"/>
                <w:color w:val="auto"/>
              </w:rPr>
            </w:pPr>
          </w:p>
        </w:tc>
        <w:tc>
          <w:tcPr>
            <w:tcW w:w="1900" w:type="dxa"/>
            <w:vAlign w:val="bottom"/>
            <w:gridSpan w:val="3"/>
          </w:tcPr>
          <w:p>
            <w:pPr>
              <w:jc w:val="right"/>
              <w:ind w:right="416"/>
              <w:spacing w:after="0"/>
              <w:rPr>
                <w:sz w:val="20"/>
                <w:szCs w:val="20"/>
                <w:color w:val="auto"/>
              </w:rPr>
            </w:pPr>
            <w:r>
              <w:rPr>
                <w:rFonts w:ascii="Times New Roman" w:cs="Times New Roman" w:eastAsia="Times New Roman" w:hAnsi="Times New Roman"/>
                <w:sz w:val="16"/>
                <w:szCs w:val="16"/>
                <w:b w:val="1"/>
                <w:bCs w:val="1"/>
                <w:color w:val="auto"/>
              </w:rPr>
              <w:t>2019 over 2018</w:t>
            </w:r>
          </w:p>
        </w:tc>
      </w:tr>
      <w:tr>
        <w:trPr>
          <w:trHeight w:val="33"/>
        </w:trPr>
        <w:tc>
          <w:tcPr>
            <w:tcW w:w="234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7"/>
        </w:trPr>
        <w:tc>
          <w:tcPr>
            <w:tcW w:w="2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ind w:right="397"/>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8"/>
                <w:szCs w:val="18"/>
                <w:color w:val="auto"/>
              </w:rPr>
            </w:pPr>
          </w:p>
        </w:tc>
        <w:tc>
          <w:tcPr>
            <w:tcW w:w="980" w:type="dxa"/>
            <w:vAlign w:val="bottom"/>
          </w:tcPr>
          <w:p>
            <w:pPr>
              <w:jc w:val="right"/>
              <w:ind w:right="336"/>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ind w:right="377"/>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8"/>
                <w:szCs w:val="18"/>
                <w:color w:val="auto"/>
              </w:rPr>
            </w:pPr>
          </w:p>
        </w:tc>
        <w:tc>
          <w:tcPr>
            <w:tcW w:w="960" w:type="dxa"/>
            <w:vAlign w:val="bottom"/>
          </w:tcPr>
          <w:p>
            <w:pPr>
              <w:jc w:val="right"/>
              <w:ind w:right="316"/>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12"/>
        </w:trPr>
        <w:tc>
          <w:tcPr>
            <w:tcW w:w="2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 thousands, except percentages)</w:t>
            </w:r>
          </w:p>
        </w:tc>
        <w:tc>
          <w:tcPr>
            <w:tcW w:w="1020" w:type="dxa"/>
            <w:vAlign w:val="bottom"/>
          </w:tcPr>
          <w:p>
            <w:pPr>
              <w:jc w:val="right"/>
              <w:ind w:right="256"/>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18"/>
                <w:szCs w:val="18"/>
                <w:color w:val="auto"/>
              </w:rPr>
            </w:pPr>
          </w:p>
        </w:tc>
        <w:tc>
          <w:tcPr>
            <w:tcW w:w="1020" w:type="dxa"/>
            <w:vAlign w:val="bottom"/>
          </w:tcPr>
          <w:p>
            <w:pPr>
              <w:jc w:val="right"/>
              <w:ind w:right="256"/>
              <w:spacing w:after="0"/>
              <w:rPr>
                <w:sz w:val="20"/>
                <w:szCs w:val="20"/>
                <w:color w:val="auto"/>
              </w:rPr>
            </w:pPr>
            <w:r>
              <w:rPr>
                <w:rFonts w:ascii="Times New Roman" w:cs="Times New Roman" w:eastAsia="Times New Roman" w:hAnsi="Times New Roman"/>
                <w:sz w:val="16"/>
                <w:szCs w:val="16"/>
                <w:b w:val="1"/>
                <w:bCs w:val="1"/>
                <w:color w:val="auto"/>
              </w:rPr>
              <w:t>2018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300" w:type="dxa"/>
            <w:vAlign w:val="bottom"/>
            <w:gridSpan w:val="3"/>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920" w:type="dxa"/>
            <w:vAlign w:val="bottom"/>
          </w:tcPr>
          <w:p>
            <w:pPr>
              <w:jc w:val="right"/>
              <w:ind w:right="316"/>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Pr>
          <w:p>
            <w:pPr>
              <w:spacing w:after="0"/>
              <w:rPr>
                <w:sz w:val="18"/>
                <w:szCs w:val="18"/>
                <w:color w:val="auto"/>
              </w:rPr>
            </w:pPr>
          </w:p>
        </w:tc>
        <w:tc>
          <w:tcPr>
            <w:tcW w:w="1120" w:type="dxa"/>
            <w:vAlign w:val="bottom"/>
          </w:tcPr>
          <w:p>
            <w:pPr>
              <w:jc w:val="right"/>
              <w:ind w:right="316"/>
              <w:spacing w:after="0"/>
              <w:rPr>
                <w:sz w:val="20"/>
                <w:szCs w:val="20"/>
                <w:color w:val="auto"/>
              </w:rPr>
            </w:pPr>
            <w:r>
              <w:rPr>
                <w:rFonts w:ascii="Times New Roman" w:cs="Times New Roman" w:eastAsia="Times New Roman" w:hAnsi="Times New Roman"/>
                <w:sz w:val="16"/>
                <w:szCs w:val="16"/>
                <w:b w:val="1"/>
                <w:bCs w:val="1"/>
                <w:color w:val="auto"/>
              </w:rPr>
              <w:t>2018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Change</w:t>
            </w:r>
          </w:p>
        </w:tc>
      </w:tr>
      <w:tr>
        <w:trPr>
          <w:trHeight w:val="33"/>
        </w:trPr>
        <w:tc>
          <w:tcPr>
            <w:tcW w:w="2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2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Direct revenues</w:t>
            </w:r>
          </w:p>
        </w:tc>
        <w:tc>
          <w:tcPr>
            <w:tcW w:w="10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  586,872</w:t>
            </w: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542,980</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43,892</w:t>
            </w:r>
          </w:p>
        </w:tc>
        <w:tc>
          <w:tcPr>
            <w:tcW w:w="100" w:type="dxa"/>
            <w:vAlign w:val="bottom"/>
            <w:shd w:val="clear" w:color="auto" w:fill="CCEEFF"/>
          </w:tcPr>
          <w:p>
            <w:pPr>
              <w:spacing w:after="0"/>
              <w:rPr>
                <w:sz w:val="20"/>
                <w:szCs w:val="20"/>
                <w:color w:val="auto"/>
              </w:rPr>
            </w:pPr>
          </w:p>
        </w:tc>
        <w:tc>
          <w:tcPr>
            <w:tcW w:w="13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  $</w:t>
            </w:r>
          </w:p>
        </w:tc>
        <w:tc>
          <w:tcPr>
            <w:tcW w:w="9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1,658,970</w:t>
            </w: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  1,570,241</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88,729</w:t>
            </w: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7"/>
        </w:trPr>
        <w:tc>
          <w:tcPr>
            <w:tcW w:w="23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r>
    </w:tbl>
    <w:p>
      <w:pPr>
        <w:spacing w:after="0" w:line="252"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Environmental Services direct revenues for the three months ended September 30, 2019 increased $43.9 million from the comparable period in 2018 primarily due to higher service related revenues and increased volumes of higher priced waste streams disposed of in our network of facilities. Higher value waste streams at our incinerator facilities drove an average price per ton increase of approximately 12%. The utilization rate at our incinerators on an annual practical capacity of 561,721 tons was 91.5% for the three months ended September 30, 2019, compared with 83.5% in the comparable period of 2018. The increase in utilization rate in the three months ended September 30, 2019 from the comparable period in 2018 was primarily due to fewer down days during the third quarter of 2019. The increase in service related revenues in the quarter resulted, in part, from a higher frequency of emergency response work associated with Field and Emergency Response Services offset by lower Industrial Services revenues. Also included in the change within this segment was the negative impact of foreign currency translation on our Canadian operations of $1.1 million.</w:t>
      </w:r>
    </w:p>
    <w:p>
      <w:pPr>
        <w:spacing w:after="0" w:line="104"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Environmental Services direct revenues for the nine months ended September 30, 2019 increased $88.7 million from the comparable period in 2018</w:t>
      </w:r>
      <w:r>
        <w:rPr>
          <w:rFonts w:ascii="Times New Roman" w:cs="Times New Roman" w:eastAsia="Times New Roman" w:hAnsi="Times New Roman"/>
          <w:sz w:val="18"/>
          <w:szCs w:val="18"/>
          <w:color w:val="330E74"/>
        </w:rPr>
        <w:t>.</w:t>
      </w:r>
      <w:r>
        <w:rPr>
          <w:rFonts w:ascii="Times New Roman" w:cs="Times New Roman" w:eastAsia="Times New Roman" w:hAnsi="Times New Roman"/>
          <w:sz w:val="18"/>
          <w:szCs w:val="18"/>
          <w:color w:val="auto"/>
        </w:rPr>
        <w:t xml:space="preserve"> Higher service related revenues and higher priced waste streams disposed of in our network of facilities contributed to the increase in direct revenues in the nine months ended September 30, 2019. Higher value waste streams at our incinerator facilities drove an average price per ton increase of approximately 14%. The utilization rate at our incinerators on an annual practical capacity of 561,721 tons was 83.1% for the nine months ended September 30, 2019, compared with 86.9% in the comparable period of 2018. The decrease in utilization rate in the nine months ended September 30, 2019 from the comparable period in 2018 was primarily due to a high number of down days at our Deer Park facility during the first quarter which was attributable to a fire at a neighboring facility. The increase in Field and Emergency Response Services revenues in the nine months ended September 30, 2019 resulted from increased emergency response related work as well as overall growth in Field Services. Industrial Services revenues partially offset this increase as turnaround related services in 2019 were lower than the comparable period in the prior year. Also included in the change within this segment was the negative impact of foreign currency translation on our Canadian operations of $9.5 million.</w:t>
      </w:r>
    </w:p>
    <w:p>
      <w:pPr>
        <w:spacing w:after="0" w:line="1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Safety-Kleen</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60" w:type="dxa"/>
            <w:vAlign w:val="bottom"/>
            <w:gridSpan w:val="5"/>
          </w:tcPr>
          <w:p>
            <w:pPr>
              <w:ind w:left="12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gridSpan w:val="5"/>
          </w:tcPr>
          <w:p>
            <w:pPr>
              <w:ind w:left="160"/>
              <w:spacing w:after="0"/>
              <w:rPr>
                <w:sz w:val="20"/>
                <w:szCs w:val="20"/>
                <w:color w:val="auto"/>
              </w:rPr>
            </w:pPr>
            <w:r>
              <w:rPr>
                <w:rFonts w:ascii="Times New Roman" w:cs="Times New Roman" w:eastAsia="Times New Roman" w:hAnsi="Times New Roman"/>
                <w:sz w:val="16"/>
                <w:szCs w:val="16"/>
                <w:b w:val="1"/>
                <w:bCs w:val="1"/>
                <w:color w:val="auto"/>
              </w:rPr>
              <w:t>For the Nine Months Ended</w:t>
            </w:r>
          </w:p>
        </w:tc>
        <w:tc>
          <w:tcPr>
            <w:tcW w:w="1080" w:type="dxa"/>
            <w:vAlign w:val="bottom"/>
          </w:tcPr>
          <w:p>
            <w:pPr>
              <w:spacing w:after="0"/>
              <w:rPr>
                <w:sz w:val="18"/>
                <w:szCs w:val="18"/>
                <w:color w:val="auto"/>
              </w:rPr>
            </w:pPr>
          </w:p>
        </w:tc>
      </w:tr>
      <w:tr>
        <w:trPr>
          <w:trHeight w:val="270"/>
        </w:trPr>
        <w:tc>
          <w:tcPr>
            <w:tcW w:w="2300" w:type="dxa"/>
            <w:vAlign w:val="bottom"/>
          </w:tcPr>
          <w:p>
            <w:pPr>
              <w:spacing w:after="0"/>
              <w:rPr>
                <w:sz w:val="23"/>
                <w:szCs w:val="23"/>
                <w:color w:val="auto"/>
              </w:rPr>
            </w:pPr>
          </w:p>
        </w:tc>
        <w:tc>
          <w:tcPr>
            <w:tcW w:w="2280" w:type="dxa"/>
            <w:vAlign w:val="bottom"/>
            <w:gridSpan w:val="4"/>
          </w:tcPr>
          <w:p>
            <w:pPr>
              <w:ind w:left="60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80" w:type="dxa"/>
            <w:vAlign w:val="bottom"/>
          </w:tcPr>
          <w:p>
            <w:pPr>
              <w:spacing w:after="0"/>
              <w:rPr>
                <w:sz w:val="23"/>
                <w:szCs w:val="23"/>
                <w:color w:val="auto"/>
              </w:rPr>
            </w:pPr>
          </w:p>
        </w:tc>
        <w:tc>
          <w:tcPr>
            <w:tcW w:w="2380" w:type="dxa"/>
            <w:vAlign w:val="bottom"/>
            <w:gridSpan w:val="5"/>
          </w:tcPr>
          <w:p>
            <w:pPr>
              <w:jc w:val="right"/>
              <w:ind w:right="920"/>
              <w:spacing w:after="0"/>
              <w:rPr>
                <w:sz w:val="20"/>
                <w:szCs w:val="20"/>
                <w:color w:val="auto"/>
              </w:rPr>
            </w:pPr>
            <w:r>
              <w:rPr>
                <w:rFonts w:ascii="Times New Roman" w:cs="Times New Roman" w:eastAsia="Times New Roman" w:hAnsi="Times New Roman"/>
                <w:sz w:val="16"/>
                <w:szCs w:val="16"/>
                <w:b w:val="1"/>
                <w:bCs w:val="1"/>
                <w:color w:val="auto"/>
              </w:rPr>
              <w:t>2019 over 2018</w:t>
            </w:r>
          </w:p>
        </w:tc>
        <w:tc>
          <w:tcPr>
            <w:tcW w:w="2040" w:type="dxa"/>
            <w:vAlign w:val="bottom"/>
            <w:gridSpan w:val="4"/>
          </w:tcPr>
          <w:p>
            <w:pPr>
              <w:ind w:left="3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80" w:type="dxa"/>
            <w:vAlign w:val="bottom"/>
          </w:tcPr>
          <w:p>
            <w:pPr>
              <w:spacing w:after="0"/>
              <w:rPr>
                <w:sz w:val="23"/>
                <w:szCs w:val="23"/>
                <w:color w:val="auto"/>
              </w:rPr>
            </w:pPr>
          </w:p>
        </w:tc>
        <w:tc>
          <w:tcPr>
            <w:tcW w:w="2040" w:type="dxa"/>
            <w:vAlign w:val="bottom"/>
            <w:gridSpan w:val="3"/>
          </w:tcPr>
          <w:p>
            <w:pPr>
              <w:jc w:val="right"/>
              <w:ind w:right="496"/>
              <w:spacing w:after="0"/>
              <w:rPr>
                <w:sz w:val="20"/>
                <w:szCs w:val="20"/>
                <w:color w:val="auto"/>
              </w:rPr>
            </w:pPr>
            <w:r>
              <w:rPr>
                <w:rFonts w:ascii="Times New Roman" w:cs="Times New Roman" w:eastAsia="Times New Roman" w:hAnsi="Times New Roman"/>
                <w:sz w:val="16"/>
                <w:szCs w:val="16"/>
                <w:b w:val="1"/>
                <w:bCs w:val="1"/>
                <w:color w:val="auto"/>
              </w:rPr>
              <w:t>2019 over 2018</w:t>
            </w:r>
          </w:p>
        </w:tc>
      </w:tr>
      <w:tr>
        <w:trPr>
          <w:trHeight w:val="33"/>
        </w:trPr>
        <w:tc>
          <w:tcPr>
            <w:tcW w:w="23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7"/>
        </w:trPr>
        <w:tc>
          <w:tcPr>
            <w:tcW w:w="2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ind w:right="417"/>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8"/>
                <w:szCs w:val="18"/>
                <w:color w:val="auto"/>
              </w:rPr>
            </w:pPr>
          </w:p>
        </w:tc>
        <w:tc>
          <w:tcPr>
            <w:tcW w:w="1100" w:type="dxa"/>
            <w:vAlign w:val="bottom"/>
          </w:tcPr>
          <w:p>
            <w:pPr>
              <w:jc w:val="right"/>
              <w:ind w:right="396"/>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ind w:right="377"/>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8"/>
                <w:szCs w:val="18"/>
                <w:color w:val="auto"/>
              </w:rPr>
            </w:pPr>
          </w:p>
        </w:tc>
        <w:tc>
          <w:tcPr>
            <w:tcW w:w="1080" w:type="dxa"/>
            <w:vAlign w:val="bottom"/>
          </w:tcPr>
          <w:p>
            <w:pPr>
              <w:jc w:val="right"/>
              <w:ind w:right="376"/>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12"/>
        </w:trPr>
        <w:tc>
          <w:tcPr>
            <w:tcW w:w="23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 thousands, except percentages)</w:t>
            </w:r>
          </w:p>
        </w:tc>
        <w:tc>
          <w:tcPr>
            <w:tcW w:w="1040" w:type="dxa"/>
            <w:vAlign w:val="bottom"/>
          </w:tcPr>
          <w:p>
            <w:pPr>
              <w:jc w:val="right"/>
              <w:ind w:right="276"/>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18"/>
                <w:szCs w:val="18"/>
                <w:color w:val="auto"/>
              </w:rPr>
            </w:pPr>
          </w:p>
        </w:tc>
        <w:tc>
          <w:tcPr>
            <w:tcW w:w="1020" w:type="dxa"/>
            <w:vAlign w:val="bottom"/>
          </w:tcPr>
          <w:p>
            <w:pPr>
              <w:jc w:val="right"/>
              <w:ind w:right="256"/>
              <w:spacing w:after="0"/>
              <w:rPr>
                <w:sz w:val="20"/>
                <w:szCs w:val="20"/>
                <w:color w:val="auto"/>
              </w:rPr>
            </w:pPr>
            <w:r>
              <w:rPr>
                <w:rFonts w:ascii="Times New Roman" w:cs="Times New Roman" w:eastAsia="Times New Roman" w:hAnsi="Times New Roman"/>
                <w:sz w:val="16"/>
                <w:szCs w:val="16"/>
                <w:b w:val="1"/>
                <w:bCs w:val="1"/>
                <w:color w:val="auto"/>
              </w:rPr>
              <w:t>2018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440" w:type="dxa"/>
            <w:vAlign w:val="bottom"/>
            <w:gridSpan w:val="3"/>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80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18"/>
                <w:szCs w:val="18"/>
                <w:color w:val="auto"/>
              </w:rPr>
            </w:pPr>
          </w:p>
        </w:tc>
        <w:tc>
          <w:tcPr>
            <w:tcW w:w="1040" w:type="dxa"/>
            <w:vAlign w:val="bottom"/>
          </w:tcPr>
          <w:p>
            <w:pPr>
              <w:jc w:val="right"/>
              <w:ind w:right="276"/>
              <w:spacing w:after="0"/>
              <w:rPr>
                <w:sz w:val="20"/>
                <w:szCs w:val="20"/>
                <w:color w:val="auto"/>
              </w:rPr>
            </w:pPr>
            <w:r>
              <w:rPr>
                <w:rFonts w:ascii="Times New Roman" w:cs="Times New Roman" w:eastAsia="Times New Roman" w:hAnsi="Times New Roman"/>
                <w:sz w:val="16"/>
                <w:szCs w:val="16"/>
                <w:b w:val="1"/>
                <w:bCs w:val="1"/>
                <w:color w:val="auto"/>
              </w:rPr>
              <w:t>2018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Change</w:t>
            </w:r>
          </w:p>
        </w:tc>
      </w:tr>
      <w:tr>
        <w:trPr>
          <w:trHeight w:val="33"/>
        </w:trPr>
        <w:tc>
          <w:tcPr>
            <w:tcW w:w="2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Direct revenues</w:t>
            </w:r>
          </w:p>
        </w:tc>
        <w:tc>
          <w:tcPr>
            <w:tcW w:w="10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   306,145</w:t>
            </w: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   300,885</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5,260</w:t>
            </w:r>
          </w:p>
        </w:tc>
        <w:tc>
          <w:tcPr>
            <w:tcW w:w="100" w:type="dxa"/>
            <w:vAlign w:val="bottom"/>
            <w:shd w:val="clear" w:color="auto" w:fill="CCEEFF"/>
          </w:tcPr>
          <w:p>
            <w:pPr>
              <w:spacing w:after="0"/>
              <w:rPr>
                <w:sz w:val="20"/>
                <w:szCs w:val="20"/>
                <w:color w:val="auto"/>
              </w:rPr>
            </w:pPr>
          </w:p>
        </w:tc>
        <w:tc>
          <w:tcPr>
            <w:tcW w:w="14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  $</w:t>
            </w:r>
          </w:p>
        </w:tc>
        <w:tc>
          <w:tcPr>
            <w:tcW w:w="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884,606</w:t>
            </w: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   873,284</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11,322</w:t>
            </w:r>
          </w:p>
        </w:tc>
        <w:tc>
          <w:tcPr>
            <w:tcW w:w="1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7"/>
        </w:trPr>
        <w:tc>
          <w:tcPr>
            <w:tcW w:w="23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r>
    </w:tbl>
    <w:p>
      <w:pPr>
        <w:spacing w:after="0" w:line="117" w:lineRule="exact"/>
        <w:rPr>
          <w:sz w:val="20"/>
          <w:szCs w:val="20"/>
          <w:color w:val="auto"/>
        </w:rPr>
      </w:pPr>
    </w:p>
    <w:p>
      <w:pPr>
        <w:ind w:right="180" w:firstLine="648"/>
        <w:spacing w:after="0" w:line="256" w:lineRule="auto"/>
        <w:rPr>
          <w:sz w:val="20"/>
          <w:szCs w:val="20"/>
          <w:color w:val="auto"/>
        </w:rPr>
      </w:pPr>
      <w:r>
        <w:rPr>
          <w:rFonts w:ascii="Times New Roman" w:cs="Times New Roman" w:eastAsia="Times New Roman" w:hAnsi="Times New Roman"/>
          <w:sz w:val="18"/>
          <w:szCs w:val="18"/>
          <w:color w:val="auto"/>
        </w:rPr>
        <w:t>Safety-Kleen direct revenues for the three months ended September 30, 2019 increased $5.3 million from the comparable period in 2018. This increase was primarily due to growth in the Safety Kleen branch network’s core service offerings, including handling of containerized waste and vacuum services, which accounted for $5.0 million of incremental revenues from the comparable period in 2018. This growth in direct revenues was driven by both higher service volumes and pricing. Higher volumes of blended oil sales, primarily from our direct lube oil program, also drove an incremental $2.4 million of direct revenues. These increases were partially offset by a decrease in base oil sales of $2.9 million, primarily driven by a reduction in base oil pricing in response to lower demand across the base oil market. The impact of foreign currency translation on our Canadian operations was minimal.</w:t>
      </w:r>
    </w:p>
    <w:p>
      <w:pPr>
        <w:spacing w:after="0" w:line="10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Safety-Kleen direct revenues for the nine months ended September 30, 2019 increased $11.3 million from the comparable period in 2018. The Safety-Kleen branch network's core service offerings accounted for $17.9 million of incremental revenues in 2019</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due to higher service volumes and pricing. Higher volumes of blended oil sales, primarily from our direct lube oil program, and increased pricing of used motor oil collections contributed $10.4 million and $3.6 million, respectively, to the growth in direct revenues from the comparable period in 2018. These increases were partially offset by a $15.6 million decrease in base oil sales due to reductions in pricing experienced in 2019 in response to lower demand across the base oil market and lower base oil volumes, most significantly seen in the first quarter of 2019. Also included in the change within this segment was the negative impact of foreign currency translation on our Canadian operations of $3.5 million.</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283" w:lineRule="exact"/>
        <w:rPr>
          <w:sz w:val="20"/>
          <w:szCs w:val="20"/>
          <w:color w:val="auto"/>
        </w:rPr>
      </w:pPr>
    </w:p>
    <w:p>
      <w:pPr>
        <w:jc w:val="both"/>
        <w:ind w:right="60" w:firstLine="648"/>
        <w:spacing w:after="0" w:line="261" w:lineRule="auto"/>
        <w:rPr>
          <w:sz w:val="20"/>
          <w:szCs w:val="20"/>
          <w:color w:val="auto"/>
        </w:rPr>
      </w:pPr>
      <w:r>
        <w:rPr>
          <w:rFonts w:ascii="Times New Roman" w:cs="Times New Roman" w:eastAsia="Times New Roman" w:hAnsi="Times New Roman"/>
          <w:sz w:val="18"/>
          <w:szCs w:val="18"/>
          <w:color w:val="auto"/>
        </w:rPr>
        <w:t>We believe that our ability to manage operating costs is important to our ability to remain price competitive. We continue to upgrade the quality and efficiency of our services through the development of new technology and continued modifications at our facilities, invest in new business opportunities and aggressively implement strategic sourcing and logistics solutions as well as other cost reduction initiatives while also continuing to optimize our management and operating structure in an effort to maintain and increase operating margins.</w:t>
      </w:r>
    </w:p>
    <w:p>
      <w:pPr>
        <w:spacing w:after="0" w:line="23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Environmental Services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80" w:type="dxa"/>
            <w:vAlign w:val="bottom"/>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0" w:type="dxa"/>
            <w:vAlign w:val="bottom"/>
            <w:gridSpan w:val="4"/>
          </w:tcPr>
          <w:p>
            <w:pPr>
              <w:ind w:left="120"/>
              <w:spacing w:after="0"/>
              <w:rPr>
                <w:sz w:val="20"/>
                <w:szCs w:val="20"/>
                <w:color w:val="auto"/>
              </w:rPr>
            </w:pPr>
            <w:r>
              <w:rPr>
                <w:rFonts w:ascii="Times New Roman" w:cs="Times New Roman" w:eastAsia="Times New Roman" w:hAnsi="Times New Roman"/>
                <w:sz w:val="16"/>
                <w:szCs w:val="16"/>
                <w:b w:val="1"/>
                <w:bCs w:val="1"/>
                <w:color w:val="auto"/>
              </w:rPr>
              <w:t>For the Nine Months Ended</w:t>
            </w:r>
          </w:p>
        </w:tc>
        <w:tc>
          <w:tcPr>
            <w:tcW w:w="840" w:type="dxa"/>
            <w:vAlign w:val="bottom"/>
          </w:tcPr>
          <w:p>
            <w:pPr>
              <w:spacing w:after="0"/>
              <w:rPr>
                <w:sz w:val="18"/>
                <w:szCs w:val="18"/>
                <w:color w:val="auto"/>
              </w:rPr>
            </w:pPr>
          </w:p>
        </w:tc>
      </w:tr>
      <w:tr>
        <w:trPr>
          <w:trHeight w:val="270"/>
        </w:trPr>
        <w:tc>
          <w:tcPr>
            <w:tcW w:w="2180" w:type="dxa"/>
            <w:vAlign w:val="bottom"/>
          </w:tcPr>
          <w:p>
            <w:pPr>
              <w:spacing w:after="0"/>
              <w:rPr>
                <w:sz w:val="23"/>
                <w:szCs w:val="23"/>
                <w:color w:val="auto"/>
              </w:rPr>
            </w:pPr>
          </w:p>
        </w:tc>
        <w:tc>
          <w:tcPr>
            <w:tcW w:w="2360" w:type="dxa"/>
            <w:vAlign w:val="bottom"/>
            <w:gridSpan w:val="4"/>
          </w:tcPr>
          <w:p>
            <w:pPr>
              <w:ind w:left="6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160" w:type="dxa"/>
            <w:vAlign w:val="bottom"/>
            <w:gridSpan w:val="4"/>
          </w:tcPr>
          <w:p>
            <w:pPr>
              <w:ind w:left="520"/>
              <w:spacing w:after="0"/>
              <w:rPr>
                <w:sz w:val="20"/>
                <w:szCs w:val="20"/>
                <w:color w:val="auto"/>
              </w:rPr>
            </w:pPr>
            <w:r>
              <w:rPr>
                <w:rFonts w:ascii="Times New Roman" w:cs="Times New Roman" w:eastAsia="Times New Roman" w:hAnsi="Times New Roman"/>
                <w:sz w:val="16"/>
                <w:szCs w:val="16"/>
                <w:b w:val="1"/>
                <w:bCs w:val="1"/>
                <w:color w:val="auto"/>
              </w:rPr>
              <w:t>2019 over 2018</w:t>
            </w:r>
          </w:p>
        </w:tc>
        <w:tc>
          <w:tcPr>
            <w:tcW w:w="2660" w:type="dxa"/>
            <w:vAlign w:val="bottom"/>
            <w:gridSpan w:val="4"/>
          </w:tcPr>
          <w:p>
            <w:pPr>
              <w:ind w:left="80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060" w:type="dxa"/>
            <w:vAlign w:val="bottom"/>
            <w:gridSpan w:val="3"/>
          </w:tcPr>
          <w:p>
            <w:pPr>
              <w:jc w:val="right"/>
              <w:ind w:right="416"/>
              <w:spacing w:after="0"/>
              <w:rPr>
                <w:sz w:val="20"/>
                <w:szCs w:val="20"/>
                <w:color w:val="auto"/>
              </w:rPr>
            </w:pPr>
            <w:r>
              <w:rPr>
                <w:rFonts w:ascii="Times New Roman" w:cs="Times New Roman" w:eastAsia="Times New Roman" w:hAnsi="Times New Roman"/>
                <w:sz w:val="16"/>
                <w:szCs w:val="16"/>
                <w:b w:val="1"/>
                <w:bCs w:val="1"/>
                <w:color w:val="auto"/>
              </w:rPr>
              <w:t>2019 over 2018</w:t>
            </w:r>
          </w:p>
        </w:tc>
      </w:tr>
      <w:tr>
        <w:trPr>
          <w:trHeight w:val="33"/>
        </w:trPr>
        <w:tc>
          <w:tcPr>
            <w:tcW w:w="218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07"/>
        </w:trPr>
        <w:tc>
          <w:tcPr>
            <w:tcW w:w="21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 thousands, except</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ind w:right="276"/>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ind w:right="256"/>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12"/>
        </w:trPr>
        <w:tc>
          <w:tcPr>
            <w:tcW w:w="21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percentages)</w:t>
            </w:r>
          </w:p>
        </w:tc>
        <w:tc>
          <w:tcPr>
            <w:tcW w:w="1060" w:type="dxa"/>
            <w:vAlign w:val="bottom"/>
          </w:tcPr>
          <w:p>
            <w:pPr>
              <w:jc w:val="right"/>
              <w:ind w:right="274"/>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Pr>
          <w:p>
            <w:pPr>
              <w:spacing w:after="0"/>
              <w:rPr>
                <w:sz w:val="18"/>
                <w:szCs w:val="18"/>
                <w:color w:val="auto"/>
              </w:rPr>
            </w:pPr>
          </w:p>
        </w:tc>
        <w:tc>
          <w:tcPr>
            <w:tcW w:w="1060" w:type="dxa"/>
            <w:vAlign w:val="bottom"/>
          </w:tcPr>
          <w:p>
            <w:pPr>
              <w:jc w:val="right"/>
              <w:ind w:right="274"/>
              <w:spacing w:after="0"/>
              <w:rPr>
                <w:sz w:val="20"/>
                <w:szCs w:val="20"/>
                <w:color w:val="auto"/>
              </w:rPr>
            </w:pPr>
            <w:r>
              <w:rPr>
                <w:rFonts w:ascii="Times New Roman" w:cs="Times New Roman" w:eastAsia="Times New Roman" w:hAnsi="Times New Roman"/>
                <w:sz w:val="16"/>
                <w:szCs w:val="16"/>
                <w:b w:val="1"/>
                <w:bCs w:val="1"/>
                <w:color w:val="auto"/>
              </w:rPr>
              <w:t>2018</w:t>
            </w:r>
          </w:p>
        </w:tc>
        <w:tc>
          <w:tcPr>
            <w:tcW w:w="120" w:type="dxa"/>
            <w:vAlign w:val="bottom"/>
          </w:tcPr>
          <w:p>
            <w:pPr>
              <w:spacing w:after="0"/>
              <w:rPr>
                <w:sz w:val="18"/>
                <w:szCs w:val="18"/>
                <w:color w:val="auto"/>
              </w:rPr>
            </w:pPr>
          </w:p>
        </w:tc>
        <w:tc>
          <w:tcPr>
            <w:tcW w:w="1200" w:type="dxa"/>
            <w:vAlign w:val="bottom"/>
            <w:gridSpan w:val="2"/>
          </w:tcPr>
          <w:p>
            <w:pPr>
              <w:ind w:left="28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160" w:type="dxa"/>
            <w:vAlign w:val="bottom"/>
          </w:tcPr>
          <w:p>
            <w:pPr>
              <w:jc w:val="right"/>
              <w:ind w:right="334"/>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Pr>
          <w:p>
            <w:pPr>
              <w:spacing w:after="0"/>
              <w:rPr>
                <w:sz w:val="18"/>
                <w:szCs w:val="18"/>
                <w:color w:val="auto"/>
              </w:rPr>
            </w:pPr>
          </w:p>
        </w:tc>
        <w:tc>
          <w:tcPr>
            <w:tcW w:w="1280" w:type="dxa"/>
            <w:vAlign w:val="bottom"/>
          </w:tcPr>
          <w:p>
            <w:pPr>
              <w:jc w:val="right"/>
              <w:ind w:right="394"/>
              <w:spacing w:after="0"/>
              <w:rPr>
                <w:sz w:val="20"/>
                <w:szCs w:val="20"/>
                <w:color w:val="auto"/>
              </w:rPr>
            </w:pPr>
            <w:r>
              <w:rPr>
                <w:rFonts w:ascii="Times New Roman" w:cs="Times New Roman" w:eastAsia="Times New Roman" w:hAnsi="Times New Roman"/>
                <w:sz w:val="16"/>
                <w:szCs w:val="16"/>
                <w:b w:val="1"/>
                <w:bCs w:val="1"/>
                <w:color w:val="auto"/>
              </w:rPr>
              <w:t>2018</w:t>
            </w:r>
          </w:p>
        </w:tc>
        <w:tc>
          <w:tcPr>
            <w:tcW w:w="100" w:type="dxa"/>
            <w:vAlign w:val="bottom"/>
          </w:tcPr>
          <w:p>
            <w:pPr>
              <w:spacing w:after="0"/>
              <w:rPr>
                <w:sz w:val="18"/>
                <w:szCs w:val="18"/>
                <w:color w:val="auto"/>
              </w:rPr>
            </w:pPr>
          </w:p>
        </w:tc>
        <w:tc>
          <w:tcPr>
            <w:tcW w:w="1220" w:type="dxa"/>
            <w:vAlign w:val="bottom"/>
            <w:gridSpan w:val="2"/>
          </w:tcPr>
          <w:p>
            <w:pPr>
              <w:ind w:left="3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Change</w:t>
            </w:r>
          </w:p>
        </w:tc>
      </w:tr>
      <w:tr>
        <w:trPr>
          <w:trHeight w:val="33"/>
        </w:trPr>
        <w:tc>
          <w:tcPr>
            <w:tcW w:w="2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2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Cost of revenues</w:t>
            </w:r>
          </w:p>
        </w:tc>
        <w:tc>
          <w:tcPr>
            <w:tcW w:w="106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  417,954</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  395,949</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   22,005</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$1,203,367</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234"/>
              <w:spacing w:after="0"/>
              <w:rPr>
                <w:sz w:val="20"/>
                <w:szCs w:val="20"/>
                <w:color w:val="auto"/>
              </w:rPr>
            </w:pPr>
            <w:r>
              <w:rPr>
                <w:rFonts w:ascii="Times New Roman" w:cs="Times New Roman" w:eastAsia="Times New Roman" w:hAnsi="Times New Roman"/>
                <w:sz w:val="18"/>
                <w:szCs w:val="18"/>
                <w:color w:val="auto"/>
              </w:rPr>
              <w:t>$1,168,349</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   35,018</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43"/>
        </w:trPr>
        <w:tc>
          <w:tcPr>
            <w:tcW w:w="2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As a % of Direct Revenues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r>
    </w:tbl>
    <w:p>
      <w:pPr>
        <w:spacing w:after="0" w:line="279" w:lineRule="exact"/>
        <w:rPr>
          <w:sz w:val="20"/>
          <w:szCs w:val="20"/>
          <w:color w:val="auto"/>
        </w:rPr>
      </w:pPr>
    </w:p>
    <w:p>
      <w:pPr>
        <w:ind w:right="300" w:firstLine="648"/>
        <w:spacing w:after="0" w:line="261" w:lineRule="auto"/>
        <w:rPr>
          <w:sz w:val="20"/>
          <w:szCs w:val="20"/>
          <w:color w:val="auto"/>
        </w:rPr>
      </w:pPr>
      <w:r>
        <w:rPr>
          <w:rFonts w:ascii="Times New Roman" w:cs="Times New Roman" w:eastAsia="Times New Roman" w:hAnsi="Times New Roman"/>
          <w:sz w:val="18"/>
          <w:szCs w:val="18"/>
          <w:color w:val="auto"/>
        </w:rPr>
        <w:t>Environmental Services cost of revenues for the three months ended September 30, 2019 increased $22.0 million from the comparable period in 2018 primarily due to increased equipment and supply costs of $9.7 million, labor and benefits related costs of $6.9 million and transportation and outside disposal costs of $2.5 million. These increases are expected with the increase in direct revenues. As a percentage of direct revenues, these costs have decreased due to higher utilization at our incinerators and greater leverage of our fixed costs during the three months ended September 30, 2019.</w:t>
      </w:r>
    </w:p>
    <w:p>
      <w:pPr>
        <w:spacing w:after="0" w:line="234"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Environmental Services cost of revenues for the nine months ended September 30, 2019 increased $35.0 million from the comparable period in 2018 primarily due to increased labor and benefits related costs of $12.4 million, equipment and supply costs of $11.5 million and transportation and outside disposal costs of $5.0 million. These costs decreased as a percentage of direct revenues due to greater leverage of our fixed costs during the nine months ended September 30, 2019.</w:t>
      </w:r>
    </w:p>
    <w:p>
      <w:pPr>
        <w:spacing w:after="0" w:line="23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Safety-Kleen</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5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6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60" w:type="dxa"/>
            <w:vAlign w:val="bottom"/>
            <w:gridSpan w:val="4"/>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For the Nine Months Ended</w:t>
            </w:r>
          </w:p>
        </w:tc>
        <w:tc>
          <w:tcPr>
            <w:tcW w:w="860" w:type="dxa"/>
            <w:vAlign w:val="bottom"/>
          </w:tcPr>
          <w:p>
            <w:pPr>
              <w:spacing w:after="0"/>
              <w:rPr>
                <w:sz w:val="18"/>
                <w:szCs w:val="18"/>
                <w:color w:val="auto"/>
              </w:rPr>
            </w:pPr>
          </w:p>
        </w:tc>
      </w:tr>
      <w:tr>
        <w:trPr>
          <w:trHeight w:val="270"/>
        </w:trPr>
        <w:tc>
          <w:tcPr>
            <w:tcW w:w="2540" w:type="dxa"/>
            <w:vAlign w:val="bottom"/>
          </w:tcPr>
          <w:p>
            <w:pPr>
              <w:spacing w:after="0"/>
              <w:rPr>
                <w:sz w:val="23"/>
                <w:szCs w:val="23"/>
                <w:color w:val="auto"/>
              </w:rPr>
            </w:pPr>
          </w:p>
        </w:tc>
        <w:tc>
          <w:tcPr>
            <w:tcW w:w="2380" w:type="dxa"/>
            <w:vAlign w:val="bottom"/>
            <w:gridSpan w:val="4"/>
          </w:tcPr>
          <w:p>
            <w:pPr>
              <w:ind w:left="6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80" w:type="dxa"/>
            <w:vAlign w:val="bottom"/>
          </w:tcPr>
          <w:p>
            <w:pPr>
              <w:spacing w:after="0"/>
              <w:rPr>
                <w:sz w:val="23"/>
                <w:szCs w:val="23"/>
                <w:color w:val="auto"/>
              </w:rPr>
            </w:pPr>
          </w:p>
        </w:tc>
        <w:tc>
          <w:tcPr>
            <w:tcW w:w="2120" w:type="dxa"/>
            <w:vAlign w:val="bottom"/>
            <w:gridSpan w:val="5"/>
          </w:tcPr>
          <w:p>
            <w:pPr>
              <w:jc w:val="right"/>
              <w:ind w:right="780"/>
              <w:spacing w:after="0"/>
              <w:rPr>
                <w:sz w:val="20"/>
                <w:szCs w:val="20"/>
                <w:color w:val="auto"/>
              </w:rPr>
            </w:pPr>
            <w:r>
              <w:rPr>
                <w:rFonts w:ascii="Times New Roman" w:cs="Times New Roman" w:eastAsia="Times New Roman" w:hAnsi="Times New Roman"/>
                <w:sz w:val="16"/>
                <w:szCs w:val="16"/>
                <w:b w:val="1"/>
                <w:bCs w:val="1"/>
                <w:color w:val="auto"/>
              </w:rPr>
              <w:t>2019 over 2018</w:t>
            </w:r>
          </w:p>
        </w:tc>
        <w:tc>
          <w:tcPr>
            <w:tcW w:w="2180" w:type="dxa"/>
            <w:vAlign w:val="bottom"/>
            <w:gridSpan w:val="4"/>
          </w:tcPr>
          <w:p>
            <w:pPr>
              <w:ind w:left="4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020" w:type="dxa"/>
            <w:vAlign w:val="bottom"/>
            <w:gridSpan w:val="3"/>
          </w:tcPr>
          <w:p>
            <w:pPr>
              <w:jc w:val="right"/>
              <w:ind w:right="396"/>
              <w:spacing w:after="0"/>
              <w:rPr>
                <w:sz w:val="20"/>
                <w:szCs w:val="20"/>
                <w:color w:val="auto"/>
              </w:rPr>
            </w:pPr>
            <w:r>
              <w:rPr>
                <w:rFonts w:ascii="Times New Roman" w:cs="Times New Roman" w:eastAsia="Times New Roman" w:hAnsi="Times New Roman"/>
                <w:sz w:val="16"/>
                <w:szCs w:val="16"/>
                <w:b w:val="1"/>
                <w:bCs w:val="1"/>
                <w:color w:val="auto"/>
              </w:rPr>
              <w:t>2019 over 2018</w:t>
            </w:r>
          </w:p>
        </w:tc>
      </w:tr>
      <w:tr>
        <w:trPr>
          <w:trHeight w:val="33"/>
        </w:trPr>
        <w:tc>
          <w:tcPr>
            <w:tcW w:w="254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07"/>
        </w:trPr>
        <w:tc>
          <w:tcPr>
            <w:tcW w:w="25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ind w:right="256"/>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ind w:right="256"/>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12"/>
        </w:trPr>
        <w:tc>
          <w:tcPr>
            <w:tcW w:w="25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 thousands, except percentages)</w:t>
            </w:r>
          </w:p>
        </w:tc>
        <w:tc>
          <w:tcPr>
            <w:tcW w:w="1080" w:type="dxa"/>
            <w:vAlign w:val="bottom"/>
          </w:tcPr>
          <w:p>
            <w:pPr>
              <w:jc w:val="right"/>
              <w:ind w:right="294"/>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18"/>
                <w:szCs w:val="18"/>
                <w:color w:val="auto"/>
              </w:rPr>
            </w:pPr>
          </w:p>
        </w:tc>
        <w:tc>
          <w:tcPr>
            <w:tcW w:w="1080" w:type="dxa"/>
            <w:vAlign w:val="bottom"/>
          </w:tcPr>
          <w:p>
            <w:pPr>
              <w:jc w:val="right"/>
              <w:ind w:right="294"/>
              <w:spacing w:after="0"/>
              <w:rPr>
                <w:sz w:val="20"/>
                <w:szCs w:val="20"/>
                <w:color w:val="auto"/>
              </w:rPr>
            </w:pPr>
            <w:r>
              <w:rPr>
                <w:rFonts w:ascii="Times New Roman" w:cs="Times New Roman" w:eastAsia="Times New Roman" w:hAnsi="Times New Roman"/>
                <w:sz w:val="16"/>
                <w:szCs w:val="16"/>
                <w:b w:val="1"/>
                <w:bCs w:val="1"/>
                <w:color w:val="auto"/>
              </w:rPr>
              <w:t>2018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140" w:type="dxa"/>
            <w:vAlign w:val="bottom"/>
            <w:gridSpan w:val="3"/>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880" w:type="dxa"/>
            <w:vAlign w:val="bottom"/>
          </w:tcPr>
          <w:p>
            <w:pPr>
              <w:jc w:val="right"/>
              <w:ind w:right="294"/>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18"/>
                <w:szCs w:val="18"/>
                <w:color w:val="auto"/>
              </w:rPr>
            </w:pPr>
          </w:p>
        </w:tc>
        <w:tc>
          <w:tcPr>
            <w:tcW w:w="1080" w:type="dxa"/>
            <w:vAlign w:val="bottom"/>
          </w:tcPr>
          <w:p>
            <w:pPr>
              <w:jc w:val="right"/>
              <w:ind w:right="294"/>
              <w:spacing w:after="0"/>
              <w:rPr>
                <w:sz w:val="20"/>
                <w:szCs w:val="20"/>
                <w:color w:val="auto"/>
              </w:rPr>
            </w:pPr>
            <w:r>
              <w:rPr>
                <w:rFonts w:ascii="Times New Roman" w:cs="Times New Roman" w:eastAsia="Times New Roman" w:hAnsi="Times New Roman"/>
                <w:sz w:val="16"/>
                <w:szCs w:val="16"/>
                <w:b w:val="1"/>
                <w:bCs w:val="1"/>
                <w:color w:val="auto"/>
              </w:rPr>
              <w:t>2018</w:t>
            </w:r>
          </w:p>
        </w:tc>
        <w:tc>
          <w:tcPr>
            <w:tcW w:w="12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33"/>
        </w:trPr>
        <w:tc>
          <w:tcPr>
            <w:tcW w:w="25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2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Cost of revenues</w:t>
            </w:r>
          </w:p>
        </w:tc>
        <w:tc>
          <w:tcPr>
            <w:tcW w:w="1080" w:type="dxa"/>
            <w:vAlign w:val="bottom"/>
            <w:tcBorders>
              <w:bottom w:val="single" w:sz="8" w:color="CCEEFF"/>
            </w:tcBorders>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  189,190</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  183,112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6,078</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3.3%  $</w:t>
            </w:r>
          </w:p>
        </w:tc>
        <w:tc>
          <w:tcPr>
            <w:tcW w:w="880" w:type="dxa"/>
            <w:vAlign w:val="bottom"/>
            <w:tcBorders>
              <w:bottom w:val="single" w:sz="8" w:color="CCEEFF"/>
            </w:tcBorders>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558,609</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  542,343</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   16,266</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43"/>
        </w:trPr>
        <w:tc>
          <w:tcPr>
            <w:tcW w:w="2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As a % of Direct Revenues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w:t>
            </w: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r>
    </w:tbl>
    <w:p>
      <w:pPr>
        <w:spacing w:after="0" w:line="279"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Safety-Kleen cost of revenues for the three months ended September 30, 2019 increased $6.1 million from the comparable period in 2018 primarily due to increased labor related costs of $3.8 million and transportation and disposal costs of $1.1 million, offset by a reduction in raw material costs of $2.3 million. The remaining cost increase was spread across various expense categories. The overall increase in cost of revenues was consistent with the growth of our core service offerings. Cost as a percentage of direct revenues remained relatively consistent with the comparable period of 2018.</w:t>
      </w:r>
    </w:p>
    <w:p>
      <w:pPr>
        <w:spacing w:after="0" w:line="234"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Safety-Kleen cost of revenues for the nine months ended September 30, 2019 increased $16.3 million from the comparable period in 2018 primarily due to increased labor related costs of $7.1 million, raw material costs of $3.8 million and transportation and disposal costs of $2.0 million. These increases in cost of revenues were consistent with the growth of our core service offerings and blended oil sales. The remaining cost increase was spread across various expense categories. Costs as a percentage of direct revenues increased over the comparable period of 2018 due to these costs which outpaced the growth in direct revenues.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148"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We strive to manage our selling, general and administrative ("SG&amp;A") expenses commensurate with the overall performance of our segments and corresponding revenue levels. We believe that our ability to properly align these costs with</w:t>
      </w:r>
    </w:p>
    <w:p>
      <w:pPr>
        <w:sectPr>
          <w:pgSz w:w="11900" w:h="16838" w:orient="portrait"/>
          <w:cols w:equalWidth="0" w:num="1">
            <w:col w:w="11420"/>
          </w:cols>
          <w:pgMar w:left="240" w:top="121" w:right="239" w:bottom="1440" w:gutter="0" w:footer="0" w:header="0"/>
        </w:sectPr>
      </w:pP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121" w:right="239" w:bottom="1440" w:gutter="0" w:footer="0" w:header="0"/>
          <w:type w:val="continuous"/>
        </w:sectPr>
      </w:pPr>
    </w:p>
    <w:bookmarkStart w:id="32" w:name="page33"/>
    <w:bookmarkEnd w:id="3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performance is reflective of our strong management of the businesses and further promotes our ability to remain competitive in the marketplace.</w:t>
      </w:r>
    </w:p>
    <w:p>
      <w:pPr>
        <w:spacing w:after="0" w:line="14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Environmental Services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40" w:type="dxa"/>
            <w:vAlign w:val="bottom"/>
            <w:gridSpan w:val="5"/>
          </w:tcPr>
          <w:p>
            <w:pPr>
              <w:ind w:left="6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80" w:type="dxa"/>
            <w:vAlign w:val="bottom"/>
            <w:gridSpan w:val="4"/>
          </w:tcPr>
          <w:p>
            <w:pPr>
              <w:ind w:left="140"/>
              <w:spacing w:after="0"/>
              <w:rPr>
                <w:sz w:val="20"/>
                <w:szCs w:val="20"/>
                <w:color w:val="auto"/>
              </w:rPr>
            </w:pPr>
            <w:r>
              <w:rPr>
                <w:rFonts w:ascii="Times New Roman" w:cs="Times New Roman" w:eastAsia="Times New Roman" w:hAnsi="Times New Roman"/>
                <w:sz w:val="16"/>
                <w:szCs w:val="16"/>
                <w:b w:val="1"/>
                <w:bCs w:val="1"/>
                <w:color w:val="auto"/>
              </w:rPr>
              <w:t>For the Nine Months Ended</w:t>
            </w:r>
          </w:p>
        </w:tc>
        <w:tc>
          <w:tcPr>
            <w:tcW w:w="980" w:type="dxa"/>
            <w:vAlign w:val="bottom"/>
          </w:tcPr>
          <w:p>
            <w:pPr>
              <w:spacing w:after="0"/>
              <w:rPr>
                <w:sz w:val="18"/>
                <w:szCs w:val="18"/>
                <w:color w:val="auto"/>
              </w:rPr>
            </w:pPr>
          </w:p>
        </w:tc>
      </w:tr>
      <w:tr>
        <w:trPr>
          <w:trHeight w:val="270"/>
        </w:trPr>
        <w:tc>
          <w:tcPr>
            <w:tcW w:w="2260" w:type="dxa"/>
            <w:vAlign w:val="bottom"/>
          </w:tcPr>
          <w:p>
            <w:pPr>
              <w:spacing w:after="0"/>
              <w:rPr>
                <w:sz w:val="23"/>
                <w:szCs w:val="23"/>
                <w:color w:val="auto"/>
              </w:rPr>
            </w:pPr>
          </w:p>
        </w:tc>
        <w:tc>
          <w:tcPr>
            <w:tcW w:w="2320" w:type="dxa"/>
            <w:vAlign w:val="bottom"/>
            <w:gridSpan w:val="4"/>
          </w:tcPr>
          <w:p>
            <w:pPr>
              <w:ind w:left="62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80" w:type="dxa"/>
            <w:vAlign w:val="bottom"/>
          </w:tcPr>
          <w:p>
            <w:pPr>
              <w:spacing w:after="0"/>
              <w:rPr>
                <w:sz w:val="23"/>
                <w:szCs w:val="23"/>
                <w:color w:val="auto"/>
              </w:rPr>
            </w:pPr>
          </w:p>
        </w:tc>
        <w:tc>
          <w:tcPr>
            <w:tcW w:w="2240" w:type="dxa"/>
            <w:vAlign w:val="bottom"/>
            <w:gridSpan w:val="5"/>
          </w:tcPr>
          <w:p>
            <w:pPr>
              <w:jc w:val="right"/>
              <w:ind w:right="840"/>
              <w:spacing w:after="0"/>
              <w:rPr>
                <w:sz w:val="20"/>
                <w:szCs w:val="20"/>
                <w:color w:val="auto"/>
              </w:rPr>
            </w:pPr>
            <w:r>
              <w:rPr>
                <w:rFonts w:ascii="Times New Roman" w:cs="Times New Roman" w:eastAsia="Times New Roman" w:hAnsi="Times New Roman"/>
                <w:sz w:val="16"/>
                <w:szCs w:val="16"/>
                <w:b w:val="1"/>
                <w:bCs w:val="1"/>
                <w:color w:val="auto"/>
              </w:rPr>
              <w:t>2019 over 2018</w:t>
            </w:r>
          </w:p>
        </w:tc>
        <w:tc>
          <w:tcPr>
            <w:tcW w:w="2160" w:type="dxa"/>
            <w:vAlign w:val="bottom"/>
            <w:gridSpan w:val="4"/>
          </w:tcPr>
          <w:p>
            <w:pPr>
              <w:ind w:left="4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180" w:type="dxa"/>
            <w:vAlign w:val="bottom"/>
            <w:gridSpan w:val="3"/>
          </w:tcPr>
          <w:p>
            <w:pPr>
              <w:jc w:val="right"/>
              <w:ind w:right="476"/>
              <w:spacing w:after="0"/>
              <w:rPr>
                <w:sz w:val="20"/>
                <w:szCs w:val="20"/>
                <w:color w:val="auto"/>
              </w:rPr>
            </w:pPr>
            <w:r>
              <w:rPr>
                <w:rFonts w:ascii="Times New Roman" w:cs="Times New Roman" w:eastAsia="Times New Roman" w:hAnsi="Times New Roman"/>
                <w:sz w:val="16"/>
                <w:szCs w:val="16"/>
                <w:b w:val="1"/>
                <w:bCs w:val="1"/>
                <w:color w:val="auto"/>
              </w:rPr>
              <w:t>2019 over 2018</w:t>
            </w:r>
          </w:p>
        </w:tc>
      </w:tr>
      <w:tr>
        <w:trPr>
          <w:trHeight w:val="33"/>
        </w:trPr>
        <w:tc>
          <w:tcPr>
            <w:tcW w:w="226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7"/>
        </w:trPr>
        <w:tc>
          <w:tcPr>
            <w:tcW w:w="22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(in thousands, except</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ind w:right="316"/>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356"/>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12"/>
        </w:trPr>
        <w:tc>
          <w:tcPr>
            <w:tcW w:w="22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percentages)</w:t>
            </w:r>
          </w:p>
        </w:tc>
        <w:tc>
          <w:tcPr>
            <w:tcW w:w="1040" w:type="dxa"/>
            <w:vAlign w:val="bottom"/>
          </w:tcPr>
          <w:p>
            <w:pPr>
              <w:jc w:val="right"/>
              <w:ind w:right="274"/>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Pr>
          <w:p>
            <w:pPr>
              <w:spacing w:after="0"/>
              <w:rPr>
                <w:sz w:val="18"/>
                <w:szCs w:val="18"/>
                <w:color w:val="auto"/>
              </w:rPr>
            </w:pPr>
          </w:p>
        </w:tc>
        <w:tc>
          <w:tcPr>
            <w:tcW w:w="1040" w:type="dxa"/>
            <w:vAlign w:val="bottom"/>
          </w:tcPr>
          <w:p>
            <w:pPr>
              <w:jc w:val="right"/>
              <w:ind w:right="274"/>
              <w:spacing w:after="0"/>
              <w:rPr>
                <w:sz w:val="20"/>
                <w:szCs w:val="20"/>
                <w:color w:val="auto"/>
              </w:rPr>
            </w:pPr>
            <w:r>
              <w:rPr>
                <w:rFonts w:ascii="Times New Roman" w:cs="Times New Roman" w:eastAsia="Times New Roman" w:hAnsi="Times New Roman"/>
                <w:sz w:val="16"/>
                <w:szCs w:val="16"/>
                <w:b w:val="1"/>
                <w:bCs w:val="1"/>
                <w:color w:val="auto"/>
              </w:rPr>
              <w:t>2018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240" w:type="dxa"/>
            <w:vAlign w:val="bottom"/>
            <w:gridSpan w:val="3"/>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860" w:type="dxa"/>
            <w:vAlign w:val="bottom"/>
          </w:tcPr>
          <w:p>
            <w:pPr>
              <w:jc w:val="right"/>
              <w:ind w:right="274"/>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Pr>
          <w:p>
            <w:pPr>
              <w:spacing w:after="0"/>
              <w:rPr>
                <w:sz w:val="18"/>
                <w:szCs w:val="18"/>
                <w:color w:val="auto"/>
              </w:rPr>
            </w:pPr>
          </w:p>
        </w:tc>
        <w:tc>
          <w:tcPr>
            <w:tcW w:w="1060" w:type="dxa"/>
            <w:vAlign w:val="bottom"/>
          </w:tcPr>
          <w:p>
            <w:pPr>
              <w:jc w:val="right"/>
              <w:ind w:right="274"/>
              <w:spacing w:after="0"/>
              <w:rPr>
                <w:sz w:val="20"/>
                <w:szCs w:val="20"/>
                <w:color w:val="auto"/>
              </w:rPr>
            </w:pPr>
            <w:r>
              <w:rPr>
                <w:rFonts w:ascii="Times New Roman" w:cs="Times New Roman" w:eastAsia="Times New Roman" w:hAnsi="Times New Roman"/>
                <w:sz w:val="16"/>
                <w:szCs w:val="16"/>
                <w:b w:val="1"/>
                <w:bCs w:val="1"/>
                <w:color w:val="auto"/>
              </w:rPr>
              <w:t>2018</w:t>
            </w:r>
          </w:p>
        </w:tc>
        <w:tc>
          <w:tcPr>
            <w:tcW w:w="120" w:type="dxa"/>
            <w:vAlign w:val="bottom"/>
          </w:tcPr>
          <w:p>
            <w:pPr>
              <w:spacing w:after="0"/>
              <w:rPr>
                <w:sz w:val="18"/>
                <w:szCs w:val="18"/>
                <w:color w:val="auto"/>
              </w:rPr>
            </w:pPr>
          </w:p>
        </w:tc>
        <w:tc>
          <w:tcPr>
            <w:tcW w:w="1200" w:type="dxa"/>
            <w:vAlign w:val="bottom"/>
            <w:gridSpan w:val="2"/>
          </w:tcPr>
          <w:p>
            <w:pPr>
              <w:ind w:left="28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33"/>
        </w:trPr>
        <w:tc>
          <w:tcPr>
            <w:tcW w:w="2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2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SG&amp;A expenses</w:t>
            </w:r>
          </w:p>
        </w:tc>
        <w:tc>
          <w:tcPr>
            <w:tcW w:w="104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   47,260</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   44,612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2,648</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5.9%  $</w:t>
            </w:r>
          </w:p>
        </w:tc>
        <w:tc>
          <w:tcPr>
            <w:tcW w:w="86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126,567</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  128,857</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   (2,290)</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43"/>
        </w:trPr>
        <w:tc>
          <w:tcPr>
            <w:tcW w:w="2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As a % of Direct Revenues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r>
    </w:tbl>
    <w:p>
      <w:pPr>
        <w:spacing w:after="0" w:line="27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Environmental Services SG&amp;A expenses for the three months ended September 30, 2019 increased $2.6 million from the comparable period in 2018 primarily due to increases in salary, benefits and variable compensation related costs, which were consistent with the growth of the business for the three months ended September 30, 2019 as compared to September 30, 2018. As a percentage of direct revenue, SG&amp;A costs remained consistent with the comparable period in 2018. We expect this trend to continue for the remainder of the year as revenues continue to exceed prior year levels.</w:t>
      </w:r>
    </w:p>
    <w:p>
      <w:pPr>
        <w:spacing w:after="0" w:line="234"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Environmental Services SG&amp;A expenses for the nine months ended September 30, 2019 decreased $2.3 million from the comparable period in 2018 due to a $5.5 million favorable resolution of litigation and a $5.4 million reduction in bad debt expense resulting from the recovery of certain trade receivables, which were fully reserved in 2018. These decreases were partially offset by increases in salary, benefits and variable compensation related costs of $7.2 million, which were consistent with the growth of the business for the nine months ended September 30, 2019 as compared to September 30, 2018.</w:t>
      </w:r>
    </w:p>
    <w:p>
      <w:pPr>
        <w:spacing w:after="0" w:line="23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Safety-Kleen</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40" w:type="dxa"/>
            <w:vAlign w:val="bottom"/>
            <w:gridSpan w:val="4"/>
          </w:tcPr>
          <w:p>
            <w:pPr>
              <w:ind w:left="4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80" w:type="dxa"/>
            <w:vAlign w:val="bottom"/>
            <w:gridSpan w:val="4"/>
          </w:tcPr>
          <w:p>
            <w:pPr>
              <w:ind w:left="140"/>
              <w:spacing w:after="0"/>
              <w:rPr>
                <w:sz w:val="20"/>
                <w:szCs w:val="20"/>
                <w:color w:val="auto"/>
              </w:rPr>
            </w:pPr>
            <w:r>
              <w:rPr>
                <w:rFonts w:ascii="Times New Roman" w:cs="Times New Roman" w:eastAsia="Times New Roman" w:hAnsi="Times New Roman"/>
                <w:sz w:val="16"/>
                <w:szCs w:val="16"/>
                <w:b w:val="1"/>
                <w:bCs w:val="1"/>
                <w:color w:val="auto"/>
              </w:rPr>
              <w:t>For the Nine Months Ended</w:t>
            </w:r>
          </w:p>
        </w:tc>
        <w:tc>
          <w:tcPr>
            <w:tcW w:w="980" w:type="dxa"/>
            <w:vAlign w:val="bottom"/>
          </w:tcPr>
          <w:p>
            <w:pPr>
              <w:spacing w:after="0"/>
              <w:rPr>
                <w:sz w:val="18"/>
                <w:szCs w:val="18"/>
                <w:color w:val="auto"/>
              </w:rPr>
            </w:pPr>
          </w:p>
        </w:tc>
      </w:tr>
      <w:tr>
        <w:trPr>
          <w:trHeight w:val="270"/>
        </w:trPr>
        <w:tc>
          <w:tcPr>
            <w:tcW w:w="2340" w:type="dxa"/>
            <w:vAlign w:val="bottom"/>
          </w:tcPr>
          <w:p>
            <w:pPr>
              <w:spacing w:after="0"/>
              <w:rPr>
                <w:sz w:val="23"/>
                <w:szCs w:val="23"/>
                <w:color w:val="auto"/>
              </w:rPr>
            </w:pPr>
          </w:p>
        </w:tc>
        <w:tc>
          <w:tcPr>
            <w:tcW w:w="2300" w:type="dxa"/>
            <w:vAlign w:val="bottom"/>
            <w:gridSpan w:val="4"/>
          </w:tcPr>
          <w:p>
            <w:pPr>
              <w:ind w:left="62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420" w:type="dxa"/>
            <w:vAlign w:val="bottom"/>
            <w:gridSpan w:val="5"/>
          </w:tcPr>
          <w:p>
            <w:pPr>
              <w:ind w:left="540"/>
              <w:spacing w:after="0"/>
              <w:rPr>
                <w:sz w:val="20"/>
                <w:szCs w:val="20"/>
                <w:color w:val="auto"/>
              </w:rPr>
            </w:pPr>
            <w:r>
              <w:rPr>
                <w:rFonts w:ascii="Times New Roman" w:cs="Times New Roman" w:eastAsia="Times New Roman" w:hAnsi="Times New Roman"/>
                <w:sz w:val="16"/>
                <w:szCs w:val="16"/>
                <w:b w:val="1"/>
                <w:bCs w:val="1"/>
                <w:color w:val="auto"/>
              </w:rPr>
              <w:t>2019 over 2018</w:t>
            </w:r>
          </w:p>
        </w:tc>
        <w:tc>
          <w:tcPr>
            <w:tcW w:w="2140" w:type="dxa"/>
            <w:vAlign w:val="bottom"/>
            <w:gridSpan w:val="4"/>
          </w:tcPr>
          <w:p>
            <w:pPr>
              <w:ind w:left="42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180" w:type="dxa"/>
            <w:vAlign w:val="bottom"/>
            <w:gridSpan w:val="3"/>
          </w:tcPr>
          <w:p>
            <w:pPr>
              <w:jc w:val="right"/>
              <w:ind w:right="476"/>
              <w:spacing w:after="0"/>
              <w:rPr>
                <w:sz w:val="20"/>
                <w:szCs w:val="20"/>
                <w:color w:val="auto"/>
              </w:rPr>
            </w:pPr>
            <w:r>
              <w:rPr>
                <w:rFonts w:ascii="Times New Roman" w:cs="Times New Roman" w:eastAsia="Times New Roman" w:hAnsi="Times New Roman"/>
                <w:sz w:val="16"/>
                <w:szCs w:val="16"/>
                <w:b w:val="1"/>
                <w:bCs w:val="1"/>
                <w:color w:val="auto"/>
              </w:rPr>
              <w:t>2019 over 2018</w:t>
            </w:r>
          </w:p>
        </w:tc>
      </w:tr>
      <w:tr>
        <w:trPr>
          <w:trHeight w:val="33"/>
        </w:trPr>
        <w:tc>
          <w:tcPr>
            <w:tcW w:w="234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7"/>
        </w:trPr>
        <w:tc>
          <w:tcPr>
            <w:tcW w:w="2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ind w:left="360"/>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356"/>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12"/>
        </w:trPr>
        <w:tc>
          <w:tcPr>
            <w:tcW w:w="2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 thousands, except percentages)</w:t>
            </w:r>
          </w:p>
        </w:tc>
        <w:tc>
          <w:tcPr>
            <w:tcW w:w="1040" w:type="dxa"/>
            <w:vAlign w:val="bottom"/>
          </w:tcPr>
          <w:p>
            <w:pPr>
              <w:jc w:val="right"/>
              <w:ind w:right="274"/>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Pr>
          <w:p>
            <w:pPr>
              <w:spacing w:after="0"/>
              <w:rPr>
                <w:sz w:val="18"/>
                <w:szCs w:val="18"/>
                <w:color w:val="auto"/>
              </w:rPr>
            </w:pPr>
          </w:p>
        </w:tc>
        <w:tc>
          <w:tcPr>
            <w:tcW w:w="1040" w:type="dxa"/>
            <w:vAlign w:val="bottom"/>
          </w:tcPr>
          <w:p>
            <w:pPr>
              <w:jc w:val="right"/>
              <w:ind w:right="274"/>
              <w:spacing w:after="0"/>
              <w:rPr>
                <w:sz w:val="20"/>
                <w:szCs w:val="20"/>
                <w:color w:val="auto"/>
              </w:rPr>
            </w:pPr>
            <w:r>
              <w:rPr>
                <w:rFonts w:ascii="Times New Roman" w:cs="Times New Roman" w:eastAsia="Times New Roman" w:hAnsi="Times New Roman"/>
                <w:sz w:val="16"/>
                <w:szCs w:val="16"/>
                <w:b w:val="1"/>
                <w:bCs w:val="1"/>
                <w:color w:val="auto"/>
              </w:rPr>
              <w:t>2018</w:t>
            </w:r>
          </w:p>
        </w:tc>
        <w:tc>
          <w:tcPr>
            <w:tcW w:w="100" w:type="dxa"/>
            <w:vAlign w:val="bottom"/>
          </w:tcPr>
          <w:p>
            <w:pPr>
              <w:spacing w:after="0"/>
              <w:rPr>
                <w:sz w:val="18"/>
                <w:szCs w:val="18"/>
                <w:color w:val="auto"/>
              </w:rPr>
            </w:pPr>
          </w:p>
        </w:tc>
        <w:tc>
          <w:tcPr>
            <w:tcW w:w="1200" w:type="dxa"/>
            <w:vAlign w:val="bottom"/>
            <w:gridSpan w:val="2"/>
          </w:tcPr>
          <w:p>
            <w:pPr>
              <w:ind w:left="28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220" w:type="dxa"/>
            <w:vAlign w:val="bottom"/>
            <w:gridSpan w:val="3"/>
          </w:tcPr>
          <w:p>
            <w:pPr>
              <w:ind w:left="18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840" w:type="dxa"/>
            <w:vAlign w:val="bottom"/>
          </w:tcPr>
          <w:p>
            <w:pPr>
              <w:jc w:val="right"/>
              <w:ind w:right="274"/>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Pr>
          <w:p>
            <w:pPr>
              <w:spacing w:after="0"/>
              <w:rPr>
                <w:sz w:val="18"/>
                <w:szCs w:val="18"/>
                <w:color w:val="auto"/>
              </w:rPr>
            </w:pPr>
          </w:p>
        </w:tc>
        <w:tc>
          <w:tcPr>
            <w:tcW w:w="1060" w:type="dxa"/>
            <w:vAlign w:val="bottom"/>
          </w:tcPr>
          <w:p>
            <w:pPr>
              <w:jc w:val="right"/>
              <w:ind w:right="274"/>
              <w:spacing w:after="0"/>
              <w:rPr>
                <w:sz w:val="20"/>
                <w:szCs w:val="20"/>
                <w:color w:val="auto"/>
              </w:rPr>
            </w:pPr>
            <w:r>
              <w:rPr>
                <w:rFonts w:ascii="Times New Roman" w:cs="Times New Roman" w:eastAsia="Times New Roman" w:hAnsi="Times New Roman"/>
                <w:sz w:val="16"/>
                <w:szCs w:val="16"/>
                <w:b w:val="1"/>
                <w:bCs w:val="1"/>
                <w:color w:val="auto"/>
              </w:rPr>
              <w:t>2018</w:t>
            </w:r>
          </w:p>
        </w:tc>
        <w:tc>
          <w:tcPr>
            <w:tcW w:w="120" w:type="dxa"/>
            <w:vAlign w:val="bottom"/>
          </w:tcPr>
          <w:p>
            <w:pPr>
              <w:spacing w:after="0"/>
              <w:rPr>
                <w:sz w:val="18"/>
                <w:szCs w:val="18"/>
                <w:color w:val="auto"/>
              </w:rPr>
            </w:pPr>
          </w:p>
        </w:tc>
        <w:tc>
          <w:tcPr>
            <w:tcW w:w="1200" w:type="dxa"/>
            <w:vAlign w:val="bottom"/>
            <w:gridSpan w:val="2"/>
          </w:tcPr>
          <w:p>
            <w:pPr>
              <w:ind w:left="28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33"/>
        </w:trPr>
        <w:tc>
          <w:tcPr>
            <w:tcW w:w="2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2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SG&amp;A expenses</w:t>
            </w:r>
          </w:p>
        </w:tc>
        <w:tc>
          <w:tcPr>
            <w:tcW w:w="104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   35,629</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   38,271</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   (2,642)</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(6.9)%  $</w:t>
            </w:r>
          </w:p>
        </w:tc>
        <w:tc>
          <w:tcPr>
            <w:tcW w:w="84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110,419</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  116,486</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   (6,067)</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43"/>
        </w:trPr>
        <w:tc>
          <w:tcPr>
            <w:tcW w:w="2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As a % of Direct Revenues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r>
    </w:tbl>
    <w:p>
      <w:pPr>
        <w:spacing w:after="0" w:line="279"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Safety-Kleen SG&amp;A expenses for the three and nine months ended September 30, 2019 decreased $2.6 million and $6.1 million, respectively, from the comparable periods in 2018 primarily due to decreases in payroll and variable compensation costs resulting from lower headcount and cost saving initiatives implemented by the business in recent periods. As a percentage of direct revenue, SG&amp;A expenses decreased from the comparable periods in 2018 as a result of lower costs and increased revenues generated by the business.</w:t>
      </w:r>
    </w:p>
    <w:p>
      <w:pPr>
        <w:spacing w:after="0" w:line="23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Corporate Items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gridSpan w:val="5"/>
          </w:tcPr>
          <w:p>
            <w:pPr>
              <w:ind w:left="160"/>
              <w:spacing w:after="0"/>
              <w:rPr>
                <w:sz w:val="20"/>
                <w:szCs w:val="20"/>
                <w:color w:val="auto"/>
              </w:rPr>
            </w:pPr>
            <w:r>
              <w:rPr>
                <w:rFonts w:ascii="Times New Roman" w:cs="Times New Roman" w:eastAsia="Times New Roman" w:hAnsi="Times New Roman"/>
                <w:sz w:val="16"/>
                <w:szCs w:val="16"/>
                <w:b w:val="1"/>
                <w:bCs w:val="1"/>
                <w:color w:val="auto"/>
              </w:rPr>
              <w:t>For the Nine Months Ended</w:t>
            </w:r>
          </w:p>
        </w:tc>
        <w:tc>
          <w:tcPr>
            <w:tcW w:w="1080" w:type="dxa"/>
            <w:vAlign w:val="bottom"/>
          </w:tcPr>
          <w:p>
            <w:pPr>
              <w:spacing w:after="0"/>
              <w:rPr>
                <w:sz w:val="18"/>
                <w:szCs w:val="18"/>
                <w:color w:val="auto"/>
              </w:rPr>
            </w:pPr>
          </w:p>
        </w:tc>
      </w:tr>
      <w:tr>
        <w:trPr>
          <w:trHeight w:val="270"/>
        </w:trPr>
        <w:tc>
          <w:tcPr>
            <w:tcW w:w="23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40" w:type="dxa"/>
            <w:vAlign w:val="bottom"/>
            <w:gridSpan w:val="5"/>
          </w:tcPr>
          <w:p>
            <w:pPr>
              <w:ind w:left="38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80" w:type="dxa"/>
            <w:vAlign w:val="bottom"/>
          </w:tcPr>
          <w:p>
            <w:pPr>
              <w:spacing w:after="0"/>
              <w:rPr>
                <w:sz w:val="23"/>
                <w:szCs w:val="23"/>
                <w:color w:val="auto"/>
              </w:rPr>
            </w:pPr>
          </w:p>
        </w:tc>
        <w:tc>
          <w:tcPr>
            <w:tcW w:w="2380" w:type="dxa"/>
            <w:vAlign w:val="bottom"/>
            <w:gridSpan w:val="5"/>
          </w:tcPr>
          <w:p>
            <w:pPr>
              <w:jc w:val="right"/>
              <w:ind w:right="920"/>
              <w:spacing w:after="0"/>
              <w:rPr>
                <w:sz w:val="20"/>
                <w:szCs w:val="20"/>
                <w:color w:val="auto"/>
              </w:rPr>
            </w:pPr>
            <w:r>
              <w:rPr>
                <w:rFonts w:ascii="Times New Roman" w:cs="Times New Roman" w:eastAsia="Times New Roman" w:hAnsi="Times New Roman"/>
                <w:sz w:val="16"/>
                <w:szCs w:val="16"/>
                <w:b w:val="1"/>
                <w:bCs w:val="1"/>
                <w:color w:val="auto"/>
              </w:rPr>
              <w:t>2019 over 2018</w:t>
            </w:r>
          </w:p>
        </w:tc>
        <w:tc>
          <w:tcPr>
            <w:tcW w:w="2040" w:type="dxa"/>
            <w:vAlign w:val="bottom"/>
            <w:gridSpan w:val="4"/>
          </w:tcPr>
          <w:p>
            <w:pPr>
              <w:ind w:left="3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80" w:type="dxa"/>
            <w:vAlign w:val="bottom"/>
          </w:tcPr>
          <w:p>
            <w:pPr>
              <w:spacing w:after="0"/>
              <w:rPr>
                <w:sz w:val="23"/>
                <w:szCs w:val="23"/>
                <w:color w:val="auto"/>
              </w:rPr>
            </w:pPr>
          </w:p>
        </w:tc>
        <w:tc>
          <w:tcPr>
            <w:tcW w:w="2040" w:type="dxa"/>
            <w:vAlign w:val="bottom"/>
            <w:gridSpan w:val="3"/>
          </w:tcPr>
          <w:p>
            <w:pPr>
              <w:jc w:val="right"/>
              <w:ind w:right="496"/>
              <w:spacing w:after="0"/>
              <w:rPr>
                <w:sz w:val="20"/>
                <w:szCs w:val="20"/>
                <w:color w:val="auto"/>
              </w:rPr>
            </w:pPr>
            <w:r>
              <w:rPr>
                <w:rFonts w:ascii="Times New Roman" w:cs="Times New Roman" w:eastAsia="Times New Roman" w:hAnsi="Times New Roman"/>
                <w:sz w:val="16"/>
                <w:szCs w:val="16"/>
                <w:b w:val="1"/>
                <w:bCs w:val="1"/>
                <w:color w:val="auto"/>
              </w:rPr>
              <w:t>2019 over 2018</w:t>
            </w:r>
          </w:p>
        </w:tc>
      </w:tr>
      <w:tr>
        <w:trPr>
          <w:trHeight w:val="33"/>
        </w:trPr>
        <w:tc>
          <w:tcPr>
            <w:tcW w:w="23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7"/>
        </w:trPr>
        <w:tc>
          <w:tcPr>
            <w:tcW w:w="2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ind w:right="397"/>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8"/>
                <w:szCs w:val="18"/>
                <w:color w:val="auto"/>
              </w:rPr>
            </w:pPr>
          </w:p>
        </w:tc>
        <w:tc>
          <w:tcPr>
            <w:tcW w:w="1100" w:type="dxa"/>
            <w:vAlign w:val="bottom"/>
          </w:tcPr>
          <w:p>
            <w:pPr>
              <w:jc w:val="right"/>
              <w:ind w:right="376"/>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ind w:right="397"/>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8"/>
                <w:szCs w:val="18"/>
                <w:color w:val="auto"/>
              </w:rPr>
            </w:pPr>
          </w:p>
        </w:tc>
        <w:tc>
          <w:tcPr>
            <w:tcW w:w="1080" w:type="dxa"/>
            <w:vAlign w:val="bottom"/>
          </w:tcPr>
          <w:p>
            <w:pPr>
              <w:jc w:val="right"/>
              <w:ind w:right="396"/>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12"/>
        </w:trPr>
        <w:tc>
          <w:tcPr>
            <w:tcW w:w="23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 thousands, except percentages)</w:t>
            </w:r>
          </w:p>
        </w:tc>
        <w:tc>
          <w:tcPr>
            <w:tcW w:w="220" w:type="dxa"/>
            <w:vAlign w:val="bottom"/>
          </w:tcPr>
          <w:p>
            <w:pPr>
              <w:spacing w:after="0"/>
              <w:rPr>
                <w:sz w:val="18"/>
                <w:szCs w:val="18"/>
                <w:color w:val="auto"/>
              </w:rPr>
            </w:pPr>
          </w:p>
        </w:tc>
        <w:tc>
          <w:tcPr>
            <w:tcW w:w="800" w:type="dxa"/>
            <w:vAlign w:val="bottom"/>
          </w:tcPr>
          <w:p>
            <w:pPr>
              <w:jc w:val="right"/>
              <w:ind w:right="276"/>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ind w:right="256"/>
              <w:spacing w:after="0"/>
              <w:rPr>
                <w:sz w:val="20"/>
                <w:szCs w:val="20"/>
                <w:color w:val="auto"/>
              </w:rPr>
            </w:pPr>
            <w:r>
              <w:rPr>
                <w:rFonts w:ascii="Times New Roman" w:cs="Times New Roman" w:eastAsia="Times New Roman" w:hAnsi="Times New Roman"/>
                <w:sz w:val="16"/>
                <w:szCs w:val="16"/>
                <w:b w:val="1"/>
                <w:bCs w:val="1"/>
                <w:color w:val="auto"/>
              </w:rPr>
              <w:t>2018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440" w:type="dxa"/>
            <w:vAlign w:val="bottom"/>
            <w:gridSpan w:val="3"/>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80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18"/>
                <w:szCs w:val="18"/>
                <w:color w:val="auto"/>
              </w:rPr>
            </w:pPr>
          </w:p>
        </w:tc>
        <w:tc>
          <w:tcPr>
            <w:tcW w:w="1040" w:type="dxa"/>
            <w:vAlign w:val="bottom"/>
          </w:tcPr>
          <w:p>
            <w:pPr>
              <w:jc w:val="right"/>
              <w:ind w:right="276"/>
              <w:spacing w:after="0"/>
              <w:rPr>
                <w:sz w:val="20"/>
                <w:szCs w:val="20"/>
                <w:color w:val="auto"/>
              </w:rPr>
            </w:pPr>
            <w:r>
              <w:rPr>
                <w:rFonts w:ascii="Times New Roman" w:cs="Times New Roman" w:eastAsia="Times New Roman" w:hAnsi="Times New Roman"/>
                <w:sz w:val="16"/>
                <w:szCs w:val="16"/>
                <w:b w:val="1"/>
                <w:bCs w:val="1"/>
                <w:color w:val="auto"/>
              </w:rPr>
              <w:t>2018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Change</w:t>
            </w:r>
          </w:p>
        </w:tc>
      </w:tr>
      <w:tr>
        <w:trPr>
          <w:trHeight w:val="33"/>
        </w:trPr>
        <w:tc>
          <w:tcPr>
            <w:tcW w:w="23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3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SG&amp;A expenses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39,412</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38,336</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1,076</w:t>
            </w:r>
          </w:p>
        </w:tc>
        <w:tc>
          <w:tcPr>
            <w:tcW w:w="100" w:type="dxa"/>
            <w:vAlign w:val="bottom"/>
            <w:shd w:val="clear" w:color="auto" w:fill="CCEEFF"/>
          </w:tcPr>
          <w:p>
            <w:pPr>
              <w:spacing w:after="0"/>
              <w:rPr>
                <w:sz w:val="20"/>
                <w:szCs w:val="20"/>
                <w:color w:val="auto"/>
              </w:rPr>
            </w:pPr>
          </w:p>
        </w:tc>
        <w:tc>
          <w:tcPr>
            <w:tcW w:w="14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  $</w:t>
            </w:r>
          </w:p>
        </w:tc>
        <w:tc>
          <w:tcPr>
            <w:tcW w:w="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124,047</w:t>
            </w: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   116,959</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7,088</w:t>
            </w:r>
          </w:p>
        </w:tc>
        <w:tc>
          <w:tcPr>
            <w:tcW w:w="1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7"/>
        </w:trPr>
        <w:tc>
          <w:tcPr>
            <w:tcW w:w="23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r>
    </w:tbl>
    <w:p>
      <w:pPr>
        <w:spacing w:after="0" w:line="117"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Corporate Items SG&amp;A expenses for the three months ended September 30, 2019 increased $1.1 million from the comparable period in 2018 primarily due to increased stock-based compensation expense of $0.9 million. Included in this change of Corporate Items SG&amp;A expense was an increase in benefits related costs offset by a decrease in variable compensation.</w:t>
      </w:r>
    </w:p>
    <w:p>
      <w:pPr>
        <w:spacing w:after="0" w:line="230"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Corporate Items SG&amp;A expenses for the nine months ended September 30, 2019 increased $7.1 million from the comparable period in 2018 primarily due to our increased investment in our employees. During the nine months ended September 30, 2019, salary, benefits and variable compensation related costs increased by $8.9 million and stock-based compensation increased by $3.9 million from the comparable period in 2018. These increases were partially offset by a $3.4 million reduction in professional fees.</w:t>
      </w: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00"/>
          </w:cols>
          <w:pgMar w:left="240" w:top="121" w:right="259" w:bottom="1440" w:gutter="0" w:footer="0" w:header="0"/>
        </w:sectPr>
      </w:pPr>
    </w:p>
    <w:bookmarkStart w:id="33" w:name="page34"/>
    <w:bookmarkEnd w:id="3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w:t>
      </w:r>
    </w:p>
    <w:p>
      <w:pPr>
        <w:spacing w:after="0" w:line="148" w:lineRule="exact"/>
        <w:rPr>
          <w:sz w:val="20"/>
          <w:szCs w:val="20"/>
          <w:color w:val="auto"/>
        </w:rPr>
      </w:pPr>
    </w:p>
    <w:p>
      <w:pPr>
        <w:ind w:right="320" w:firstLine="648"/>
        <w:spacing w:after="0" w:line="261" w:lineRule="auto"/>
        <w:rPr>
          <w:sz w:val="20"/>
          <w:szCs w:val="20"/>
          <w:color w:val="auto"/>
        </w:rPr>
      </w:pPr>
      <w:r>
        <w:rPr>
          <w:rFonts w:ascii="Times New Roman" w:cs="Times New Roman" w:eastAsia="Times New Roman" w:hAnsi="Times New Roman"/>
          <w:sz w:val="18"/>
          <w:szCs w:val="18"/>
          <w:color w:val="auto"/>
        </w:rPr>
        <w:t>Management considers Adjusted EBITDA to be a measurement of performance which provides useful information to both management and investors. Adjusted EBITDA should not be considered an alternative to net income or other measurements under generally accepted accounting principles ("GAAP"). Adjusted EBITDA is not calculated identically by all companies and therefore our measurements of Adjusted EBITDA, while defined consistently and in accordance with our existing credit agreement, may not be comparable to similarly titled measures reported by other companies.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20" w:type="dxa"/>
            <w:vAlign w:val="bottom"/>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For the Nine Months Ended</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70"/>
        </w:trPr>
        <w:tc>
          <w:tcPr>
            <w:tcW w:w="25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20" w:type="dxa"/>
            <w:vAlign w:val="bottom"/>
            <w:gridSpan w:val="5"/>
          </w:tcPr>
          <w:p>
            <w:pPr>
              <w:ind w:left="3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80" w:type="dxa"/>
            <w:vAlign w:val="bottom"/>
          </w:tcPr>
          <w:p>
            <w:pPr>
              <w:spacing w:after="0"/>
              <w:rPr>
                <w:sz w:val="23"/>
                <w:szCs w:val="23"/>
                <w:color w:val="auto"/>
              </w:rPr>
            </w:pPr>
          </w:p>
        </w:tc>
        <w:tc>
          <w:tcPr>
            <w:tcW w:w="1940" w:type="dxa"/>
            <w:vAlign w:val="bottom"/>
            <w:gridSpan w:val="4"/>
          </w:tcPr>
          <w:p>
            <w:pPr>
              <w:ind w:left="340"/>
              <w:spacing w:after="0"/>
              <w:rPr>
                <w:sz w:val="20"/>
                <w:szCs w:val="20"/>
                <w:color w:val="auto"/>
              </w:rPr>
            </w:pPr>
            <w:r>
              <w:rPr>
                <w:rFonts w:ascii="Times New Roman" w:cs="Times New Roman" w:eastAsia="Times New Roman" w:hAnsi="Times New Roman"/>
                <w:sz w:val="16"/>
                <w:szCs w:val="16"/>
                <w:b w:val="1"/>
                <w:bCs w:val="1"/>
                <w:color w:val="auto"/>
              </w:rPr>
              <w:t>2019 over 2018</w:t>
            </w:r>
          </w:p>
        </w:tc>
        <w:tc>
          <w:tcPr>
            <w:tcW w:w="200" w:type="dxa"/>
            <w:vAlign w:val="bottom"/>
          </w:tcPr>
          <w:p>
            <w:pPr>
              <w:spacing w:after="0"/>
              <w:rPr>
                <w:sz w:val="23"/>
                <w:szCs w:val="23"/>
                <w:color w:val="auto"/>
              </w:rPr>
            </w:pPr>
          </w:p>
        </w:tc>
        <w:tc>
          <w:tcPr>
            <w:tcW w:w="2080" w:type="dxa"/>
            <w:vAlign w:val="bottom"/>
            <w:gridSpan w:val="5"/>
          </w:tcPr>
          <w:p>
            <w:pPr>
              <w:ind w:left="40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80" w:type="dxa"/>
            <w:vAlign w:val="bottom"/>
          </w:tcPr>
          <w:p>
            <w:pPr>
              <w:spacing w:after="0"/>
              <w:rPr>
                <w:sz w:val="23"/>
                <w:szCs w:val="23"/>
                <w:color w:val="auto"/>
              </w:rPr>
            </w:pPr>
          </w:p>
        </w:tc>
        <w:tc>
          <w:tcPr>
            <w:tcW w:w="2060" w:type="dxa"/>
            <w:vAlign w:val="bottom"/>
            <w:gridSpan w:val="3"/>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2019 over 2018</w:t>
            </w:r>
          </w:p>
        </w:tc>
      </w:tr>
      <w:tr>
        <w:trPr>
          <w:trHeight w:val="33"/>
        </w:trPr>
        <w:tc>
          <w:tcPr>
            <w:tcW w:w="25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r>
      <w:tr>
        <w:trPr>
          <w:trHeight w:val="207"/>
        </w:trPr>
        <w:tc>
          <w:tcPr>
            <w:tcW w:w="2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ind w:right="394"/>
              <w:spacing w:after="0"/>
              <w:rPr>
                <w:sz w:val="20"/>
                <w:szCs w:val="20"/>
                <w:color w:val="auto"/>
              </w:rPr>
            </w:pPr>
            <w:r>
              <w:rPr>
                <w:rFonts w:ascii="Times New Roman" w:cs="Times New Roman" w:eastAsia="Times New Roman" w:hAnsi="Times New Roman"/>
                <w:sz w:val="16"/>
                <w:szCs w:val="16"/>
                <w:b w:val="1"/>
                <w:bCs w:val="1"/>
                <w:color w:val="auto"/>
              </w:rPr>
              <w:t>$</w:t>
            </w:r>
          </w:p>
        </w:tc>
        <w:tc>
          <w:tcPr>
            <w:tcW w:w="1000" w:type="dxa"/>
            <w:vAlign w:val="bottom"/>
            <w:gridSpan w:val="2"/>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ind w:right="414"/>
              <w:spacing w:after="0"/>
              <w:rPr>
                <w:sz w:val="20"/>
                <w:szCs w:val="20"/>
                <w:color w:val="auto"/>
              </w:rPr>
            </w:pPr>
            <w:r>
              <w:rPr>
                <w:rFonts w:ascii="Times New Roman" w:cs="Times New Roman" w:eastAsia="Times New Roman" w:hAnsi="Times New Roman"/>
                <w:sz w:val="16"/>
                <w:szCs w:val="16"/>
                <w:b w:val="1"/>
                <w:bCs w:val="1"/>
                <w:color w:val="auto"/>
              </w:rPr>
              <w:t>$</w:t>
            </w:r>
          </w:p>
        </w:tc>
        <w:tc>
          <w:tcPr>
            <w:tcW w:w="1220" w:type="dxa"/>
            <w:vAlign w:val="bottom"/>
            <w:gridSpan w:val="2"/>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12"/>
        </w:trPr>
        <w:tc>
          <w:tcPr>
            <w:tcW w:w="25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 thousands, except percentages)</w:t>
            </w:r>
          </w:p>
        </w:tc>
        <w:tc>
          <w:tcPr>
            <w:tcW w:w="220" w:type="dxa"/>
            <w:vAlign w:val="bottom"/>
          </w:tcPr>
          <w:p>
            <w:pPr>
              <w:spacing w:after="0"/>
              <w:rPr>
                <w:sz w:val="18"/>
                <w:szCs w:val="18"/>
                <w:color w:val="auto"/>
              </w:rPr>
            </w:pPr>
          </w:p>
        </w:tc>
        <w:tc>
          <w:tcPr>
            <w:tcW w:w="780" w:type="dxa"/>
            <w:vAlign w:val="bottom"/>
          </w:tcPr>
          <w:p>
            <w:pPr>
              <w:jc w:val="right"/>
              <w:ind w:right="253"/>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rPr>
              <w:t>2018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ind w:right="154"/>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0" w:type="dxa"/>
            <w:vAlign w:val="bottom"/>
          </w:tcPr>
          <w:p>
            <w:pPr>
              <w:spacing w:after="0"/>
              <w:rPr>
                <w:sz w:val="18"/>
                <w:szCs w:val="18"/>
                <w:color w:val="auto"/>
              </w:rPr>
            </w:pPr>
          </w:p>
        </w:tc>
        <w:tc>
          <w:tcPr>
            <w:tcW w:w="100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200" w:type="dxa"/>
            <w:vAlign w:val="bottom"/>
          </w:tcPr>
          <w:p>
            <w:pPr>
              <w:spacing w:after="0"/>
              <w:rPr>
                <w:sz w:val="18"/>
                <w:szCs w:val="18"/>
                <w:color w:val="auto"/>
              </w:rPr>
            </w:pPr>
          </w:p>
        </w:tc>
        <w:tc>
          <w:tcPr>
            <w:tcW w:w="840" w:type="dxa"/>
            <w:vAlign w:val="bottom"/>
          </w:tcPr>
          <w:p>
            <w:pPr>
              <w:jc w:val="right"/>
              <w:ind w:right="273"/>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ind w:right="273"/>
              <w:spacing w:after="0"/>
              <w:rPr>
                <w:sz w:val="20"/>
                <w:szCs w:val="20"/>
                <w:color w:val="auto"/>
              </w:rPr>
            </w:pPr>
            <w:r>
              <w:rPr>
                <w:rFonts w:ascii="Times New Roman" w:cs="Times New Roman" w:eastAsia="Times New Roman" w:hAnsi="Times New Roman"/>
                <w:sz w:val="16"/>
                <w:szCs w:val="16"/>
                <w:b w:val="1"/>
                <w:bCs w:val="1"/>
                <w:color w:val="auto"/>
              </w:rPr>
              <w:t>2018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ind w:right="154"/>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0" w:type="dxa"/>
            <w:vAlign w:val="bottom"/>
          </w:tcPr>
          <w:p>
            <w:pPr>
              <w:spacing w:after="0"/>
              <w:rPr>
                <w:sz w:val="18"/>
                <w:szCs w:val="18"/>
                <w:color w:val="auto"/>
              </w:rPr>
            </w:pPr>
          </w:p>
        </w:tc>
        <w:tc>
          <w:tcPr>
            <w:tcW w:w="112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33"/>
        </w:trPr>
        <w:tc>
          <w:tcPr>
            <w:tcW w:w="25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2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2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Environmental Services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121,658</w:t>
            </w:r>
          </w:p>
        </w:tc>
        <w:tc>
          <w:tcPr>
            <w:tcW w:w="120" w:type="dxa"/>
            <w:vAlign w:val="bottom"/>
          </w:tcPr>
          <w:p>
            <w:pPr>
              <w:spacing w:after="0"/>
              <w:rPr>
                <w:sz w:val="21"/>
                <w:szCs w:val="21"/>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102,419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19,239</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18.8 %</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329,036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273,035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56,001</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20.5 %</w:t>
            </w:r>
          </w:p>
        </w:tc>
      </w:tr>
      <w:tr>
        <w:trPr>
          <w:trHeight w:val="27"/>
        </w:trPr>
        <w:tc>
          <w:tcPr>
            <w:tcW w:w="2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25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Safety-Kleen</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81,326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79,502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1,824</w:t>
            </w:r>
          </w:p>
        </w:tc>
        <w:tc>
          <w:tcPr>
            <w:tcW w:w="1000" w:type="dxa"/>
            <w:vAlign w:val="bottom"/>
            <w:tcBorders>
              <w:bottom w:val="single" w:sz="8" w:color="CCEEFF"/>
            </w:tcBorders>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215,578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214,455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1,123</w:t>
            </w:r>
          </w:p>
        </w:tc>
        <w:tc>
          <w:tcPr>
            <w:tcW w:w="1220" w:type="dxa"/>
            <w:vAlign w:val="bottom"/>
            <w:tcBorders>
              <w:bottom w:val="single" w:sz="8" w:color="CCEEFF"/>
            </w:tcBorders>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0.5</w:t>
            </w:r>
          </w:p>
        </w:tc>
      </w:tr>
      <w:tr>
        <w:trPr>
          <w:trHeight w:val="243"/>
        </w:trPr>
        <w:tc>
          <w:tcPr>
            <w:tcW w:w="2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Items</w:t>
            </w: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(46,371)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(40,644)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(5,727)</w:t>
            </w:r>
          </w:p>
        </w:tc>
        <w:tc>
          <w:tcPr>
            <w:tcW w:w="1000" w:type="dxa"/>
            <w:vAlign w:val="bottom"/>
            <w:gridSpan w:val="2"/>
          </w:tcPr>
          <w:p>
            <w:pPr>
              <w:jc w:val="right"/>
              <w:ind w:right="79"/>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(136,513)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(118,387)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(18,126)</w:t>
            </w:r>
          </w:p>
        </w:tc>
        <w:tc>
          <w:tcPr>
            <w:tcW w:w="1220" w:type="dxa"/>
            <w:vAlign w:val="bottom"/>
            <w:gridSpan w:val="2"/>
          </w:tcPr>
          <w:p>
            <w:pPr>
              <w:jc w:val="right"/>
              <w:ind w:right="79"/>
              <w:spacing w:after="0"/>
              <w:rPr>
                <w:sz w:val="20"/>
                <w:szCs w:val="20"/>
                <w:color w:val="auto"/>
              </w:rPr>
            </w:pPr>
            <w:r>
              <w:rPr>
                <w:rFonts w:ascii="Times New Roman" w:cs="Times New Roman" w:eastAsia="Times New Roman" w:hAnsi="Times New Roman"/>
                <w:sz w:val="18"/>
                <w:szCs w:val="18"/>
                <w:color w:val="auto"/>
              </w:rPr>
              <w:t>(15.3)</w:t>
            </w:r>
          </w:p>
        </w:tc>
      </w:tr>
      <w:tr>
        <w:trPr>
          <w:trHeight w:val="27"/>
        </w:trPr>
        <w:tc>
          <w:tcPr>
            <w:tcW w:w="25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r>
      <w:tr>
        <w:trPr>
          <w:trHeight w:val="257"/>
        </w:trPr>
        <w:tc>
          <w:tcPr>
            <w:tcW w:w="25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156,613</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141,277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15,336</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10.9 %</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408,101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369,103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38,998</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10.6 %</w:t>
            </w:r>
          </w:p>
        </w:tc>
      </w:tr>
      <w:tr>
        <w:trPr>
          <w:trHeight w:val="20"/>
        </w:trPr>
        <w:tc>
          <w:tcPr>
            <w:tcW w:w="2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bl>
    <w:p>
      <w:pPr>
        <w:spacing w:after="0" w:line="117"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We use Adjusted EBITDA to enhance our understanding of our operating performance, which represents our views concerning our performance in the ordinary, ongoing and customary course of our operations. We historically have found it helpful, and believe that investors have found it helpful, to consider an operating measure that excludes certain expenses relating to transactions not reflective of our core operations.</w:t>
      </w:r>
    </w:p>
    <w:p>
      <w:pPr>
        <w:spacing w:after="0" w:line="95"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The information about our operating performance provided by this financial measure is used by our management for a variety of purposes. We regularly communicate Adjusted EBITDA results to our lenders since our loan covenants are based upon levels of Adjusted EBITDA achieved and to our board of directors and we discuss with the board our interpretation of such results. We also compare our Adjusted EBITDA performance against internal targets as a key factor in determining cash and stock bonus compensation for executives and other employees, largely because we believe that this measure is indicative of how the fundamental business is performing and is being managed.</w:t>
      </w:r>
    </w:p>
    <w:p>
      <w:pPr>
        <w:spacing w:after="0" w:line="103"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We also provide information relating to our Adjusted EBITDA so that analysts, investors and other interested persons have the same data that we use to assess our core operating performance. We believe that Adjusted EBITDA should be viewed only as a supplement to the GAAP financial information. We also believe, however, that providing this information in addition to, and together with, GAAP financial information permits the users of our financial statements to obtain a better understanding of our core operating performance and to evaluate the efficacy of the methodology and information used by management to evaluate and measure such performance on a standalone and a comparative basis.</w:t>
      </w:r>
    </w:p>
    <w:p>
      <w:pPr>
        <w:spacing w:after="0" w:line="2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is a reconciliation of net income to Adjusted EBITDA for the following periods (in thousands, except percentages):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920" w:type="dxa"/>
            <w:vAlign w:val="bottom"/>
            <w:gridSpan w:val="5"/>
          </w:tcPr>
          <w:p>
            <w:pPr>
              <w:ind w:left="24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360" w:type="dxa"/>
            <w:vAlign w:val="bottom"/>
          </w:tcPr>
          <w:p>
            <w:pPr>
              <w:spacing w:after="0"/>
              <w:rPr>
                <w:sz w:val="18"/>
                <w:szCs w:val="18"/>
                <w:color w:val="auto"/>
              </w:rPr>
            </w:pPr>
          </w:p>
        </w:tc>
        <w:tc>
          <w:tcPr>
            <w:tcW w:w="2820" w:type="dxa"/>
            <w:vAlign w:val="bottom"/>
            <w:gridSpan w:val="4"/>
          </w:tcPr>
          <w:p>
            <w:pPr>
              <w:jc w:val="right"/>
              <w:ind w:right="511"/>
              <w:spacing w:after="0"/>
              <w:rPr>
                <w:sz w:val="20"/>
                <w:szCs w:val="20"/>
                <w:color w:val="auto"/>
              </w:rPr>
            </w:pPr>
            <w:r>
              <w:rPr>
                <w:rFonts w:ascii="Times New Roman" w:cs="Times New Roman" w:eastAsia="Times New Roman" w:hAnsi="Times New Roman"/>
                <w:sz w:val="16"/>
                <w:szCs w:val="16"/>
                <w:b w:val="1"/>
                <w:bCs w:val="1"/>
                <w:color w:val="auto"/>
              </w:rPr>
              <w:t>For the Nine Months Ended</w:t>
            </w:r>
          </w:p>
        </w:tc>
      </w:tr>
      <w:tr>
        <w:trPr>
          <w:trHeight w:val="270"/>
        </w:trPr>
        <w:tc>
          <w:tcPr>
            <w:tcW w:w="49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000" w:type="dxa"/>
            <w:vAlign w:val="bottom"/>
          </w:tcPr>
          <w:p>
            <w:pPr>
              <w:spacing w:after="0"/>
              <w:rPr>
                <w:sz w:val="23"/>
                <w:szCs w:val="23"/>
                <w:color w:val="auto"/>
              </w:rPr>
            </w:pPr>
          </w:p>
        </w:tc>
      </w:tr>
      <w:tr>
        <w:trPr>
          <w:trHeight w:val="33"/>
        </w:trPr>
        <w:tc>
          <w:tcPr>
            <w:tcW w:w="49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1"/>
        </w:trPr>
        <w:tc>
          <w:tcPr>
            <w:tcW w:w="4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0" w:type="dxa"/>
            <w:vAlign w:val="bottom"/>
          </w:tcPr>
          <w:p>
            <w:pPr>
              <w:jc w:val="right"/>
              <w:ind w:right="511"/>
              <w:spacing w:after="0"/>
              <w:rPr>
                <w:sz w:val="20"/>
                <w:szCs w:val="20"/>
                <w:color w:val="auto"/>
              </w:rPr>
            </w:pPr>
            <w:r>
              <w:rPr>
                <w:rFonts w:ascii="Times New Roman" w:cs="Times New Roman" w:eastAsia="Times New Roman" w:hAnsi="Times New Roman"/>
                <w:sz w:val="16"/>
                <w:szCs w:val="16"/>
                <w:b w:val="1"/>
                <w:bCs w:val="1"/>
                <w:color w:val="auto"/>
              </w:rPr>
              <w:t>2018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0" w:type="dxa"/>
            <w:vAlign w:val="bottom"/>
          </w:tcPr>
          <w:p>
            <w:pPr>
              <w:jc w:val="right"/>
              <w:ind w:right="511"/>
              <w:spacing w:after="0"/>
              <w:rPr>
                <w:sz w:val="20"/>
                <w:szCs w:val="20"/>
                <w:color w:val="auto"/>
              </w:rPr>
            </w:pPr>
            <w:r>
              <w:rPr>
                <w:rFonts w:ascii="Times New Roman" w:cs="Times New Roman" w:eastAsia="Times New Roman" w:hAnsi="Times New Roman"/>
                <w:sz w:val="16"/>
                <w:szCs w:val="16"/>
                <w:b w:val="1"/>
                <w:bCs w:val="1"/>
                <w:color w:val="auto"/>
              </w:rPr>
              <w:t>2018</w:t>
            </w:r>
          </w:p>
        </w:tc>
      </w:tr>
      <w:tr>
        <w:trPr>
          <w:trHeight w:val="33"/>
        </w:trPr>
        <w:tc>
          <w:tcPr>
            <w:tcW w:w="49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4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36,369</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31,089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73,589</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49,205</w:t>
            </w:r>
          </w:p>
        </w:tc>
      </w:tr>
      <w:tr>
        <w:trPr>
          <w:trHeight w:val="243"/>
        </w:trPr>
        <w:tc>
          <w:tcPr>
            <w:tcW w:w="4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Accretion of environmental liabilities</w:t>
            </w:r>
          </w:p>
        </w:tc>
        <w:tc>
          <w:tcPr>
            <w:tcW w:w="340" w:type="dxa"/>
            <w:vAlign w:val="bottom"/>
          </w:tcPr>
          <w:p>
            <w:pPr>
              <w:spacing w:after="0"/>
              <w:rPr>
                <w:sz w:val="21"/>
                <w:szCs w:val="21"/>
                <w:color w:val="auto"/>
              </w:rPr>
            </w:pPr>
          </w:p>
        </w:tc>
        <w:tc>
          <w:tcPr>
            <w:tcW w:w="11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2,490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2,450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7,624</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7,328</w:t>
            </w:r>
          </w:p>
        </w:tc>
      </w:tr>
      <w:tr>
        <w:trPr>
          <w:trHeight w:val="27"/>
        </w:trPr>
        <w:tc>
          <w:tcPr>
            <w:tcW w:w="4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73,756</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73,082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223,328</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220,686</w:t>
            </w:r>
          </w:p>
        </w:tc>
      </w:tr>
      <w:tr>
        <w:trPr>
          <w:trHeight w:val="243"/>
        </w:trPr>
        <w:tc>
          <w:tcPr>
            <w:tcW w:w="4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expense (income), net</w:t>
            </w:r>
          </w:p>
        </w:tc>
        <w:tc>
          <w:tcPr>
            <w:tcW w:w="340" w:type="dxa"/>
            <w:vAlign w:val="bottom"/>
          </w:tcPr>
          <w:p>
            <w:pPr>
              <w:spacing w:after="0"/>
              <w:rPr>
                <w:sz w:val="21"/>
                <w:szCs w:val="21"/>
                <w:color w:val="auto"/>
              </w:rPr>
            </w:pPr>
          </w:p>
        </w:tc>
        <w:tc>
          <w:tcPr>
            <w:tcW w:w="11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427</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996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(1,992)</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449</w:t>
            </w:r>
          </w:p>
        </w:tc>
      </w:tr>
      <w:tr>
        <w:trPr>
          <w:trHeight w:val="27"/>
        </w:trPr>
        <w:tc>
          <w:tcPr>
            <w:tcW w:w="4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Loss on early extinguishment of debt</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6,119</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2,469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6,119</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2,469</w:t>
            </w:r>
          </w:p>
        </w:tc>
      </w:tr>
      <w:tr>
        <w:trPr>
          <w:trHeight w:val="243"/>
        </w:trPr>
        <w:tc>
          <w:tcPr>
            <w:tcW w:w="4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expense, net of interest income</w:t>
            </w:r>
          </w:p>
        </w:tc>
        <w:tc>
          <w:tcPr>
            <w:tcW w:w="340" w:type="dxa"/>
            <w:vAlign w:val="bottom"/>
          </w:tcPr>
          <w:p>
            <w:pPr>
              <w:spacing w:after="0"/>
              <w:rPr>
                <w:sz w:val="21"/>
                <w:szCs w:val="21"/>
                <w:color w:val="auto"/>
              </w:rPr>
            </w:pPr>
          </w:p>
        </w:tc>
        <w:tc>
          <w:tcPr>
            <w:tcW w:w="11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19,702</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19,916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59,681</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60,955</w:t>
            </w:r>
          </w:p>
        </w:tc>
      </w:tr>
      <w:tr>
        <w:trPr>
          <w:trHeight w:val="27"/>
        </w:trPr>
        <w:tc>
          <w:tcPr>
            <w:tcW w:w="4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4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17,750</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11,275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39,752</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28,011</w:t>
            </w:r>
          </w:p>
        </w:tc>
      </w:tr>
      <w:tr>
        <w:trPr>
          <w:trHeight w:val="297"/>
        </w:trPr>
        <w:tc>
          <w:tcPr>
            <w:tcW w:w="49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Adjusted EBITDA</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156,613</w:t>
            </w:r>
          </w:p>
        </w:tc>
        <w:tc>
          <w:tcPr>
            <w:tcW w:w="100" w:type="dxa"/>
            <w:vAlign w:val="bottom"/>
            <w:tcBorders>
              <w:bottom w:val="single" w:sz="8" w:color="CCEEFF"/>
            </w:tcBorders>
          </w:tcPr>
          <w:p>
            <w:pPr>
              <w:spacing w:after="0"/>
              <w:rPr>
                <w:sz w:val="24"/>
                <w:szCs w:val="24"/>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rPr>
              <w:t>141,277</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408,101</w:t>
            </w:r>
          </w:p>
        </w:tc>
        <w:tc>
          <w:tcPr>
            <w:tcW w:w="100" w:type="dxa"/>
            <w:vAlign w:val="bottom"/>
            <w:tcBorders>
              <w:bottom w:val="single" w:sz="8" w:color="CCEEFF"/>
            </w:tcBorders>
          </w:tcPr>
          <w:p>
            <w:pPr>
              <w:spacing w:after="0"/>
              <w:rPr>
                <w:sz w:val="24"/>
                <w:szCs w:val="24"/>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369,103</w:t>
            </w:r>
          </w:p>
        </w:tc>
      </w:tr>
      <w:tr>
        <w:trPr>
          <w:trHeight w:val="237"/>
        </w:trPr>
        <w:tc>
          <w:tcPr>
            <w:tcW w:w="4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As a % of Direct Revenues</w:t>
            </w:r>
          </w:p>
        </w:tc>
        <w:tc>
          <w:tcPr>
            <w:tcW w:w="3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r>
      <w:tr>
        <w:trPr>
          <w:trHeight w:val="729"/>
        </w:trPr>
        <w:tc>
          <w:tcPr>
            <w:tcW w:w="4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jc w:val="right"/>
              <w:ind w:right="592"/>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34" w:name="page35"/>
    <w:bookmarkEnd w:id="3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gridSpan w:val="6"/>
          </w:tcPr>
          <w:p>
            <w:pPr>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gridSpan w:val="6"/>
          </w:tcPr>
          <w:p>
            <w:pPr>
              <w:ind w:left="60"/>
              <w:spacing w:after="0"/>
              <w:rPr>
                <w:sz w:val="20"/>
                <w:szCs w:val="20"/>
                <w:color w:val="auto"/>
              </w:rPr>
            </w:pPr>
            <w:r>
              <w:rPr>
                <w:rFonts w:ascii="Times New Roman" w:cs="Times New Roman" w:eastAsia="Times New Roman" w:hAnsi="Times New Roman"/>
                <w:sz w:val="16"/>
                <w:szCs w:val="16"/>
                <w:b w:val="1"/>
                <w:bCs w:val="1"/>
                <w:color w:val="auto"/>
              </w:rPr>
              <w:t>For the Nine Months Ended</w:t>
            </w:r>
          </w:p>
        </w:tc>
        <w:tc>
          <w:tcPr>
            <w:tcW w:w="860" w:type="dxa"/>
            <w:vAlign w:val="bottom"/>
          </w:tcPr>
          <w:p>
            <w:pPr>
              <w:spacing w:after="0"/>
              <w:rPr>
                <w:sz w:val="18"/>
                <w:szCs w:val="18"/>
                <w:color w:val="auto"/>
              </w:rPr>
            </w:pPr>
          </w:p>
        </w:tc>
      </w:tr>
      <w:tr>
        <w:trPr>
          <w:trHeight w:val="270"/>
        </w:trPr>
        <w:tc>
          <w:tcPr>
            <w:tcW w:w="27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20" w:type="dxa"/>
            <w:vAlign w:val="bottom"/>
            <w:gridSpan w:val="5"/>
          </w:tcPr>
          <w:p>
            <w:pPr>
              <w:ind w:left="3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80" w:type="dxa"/>
            <w:vAlign w:val="bottom"/>
          </w:tcPr>
          <w:p>
            <w:pPr>
              <w:spacing w:after="0"/>
              <w:rPr>
                <w:sz w:val="23"/>
                <w:szCs w:val="23"/>
                <w:color w:val="auto"/>
              </w:rPr>
            </w:pPr>
          </w:p>
        </w:tc>
        <w:tc>
          <w:tcPr>
            <w:tcW w:w="1940" w:type="dxa"/>
            <w:vAlign w:val="bottom"/>
            <w:gridSpan w:val="4"/>
          </w:tcPr>
          <w:p>
            <w:pPr>
              <w:ind w:left="320"/>
              <w:spacing w:after="0"/>
              <w:rPr>
                <w:sz w:val="20"/>
                <w:szCs w:val="20"/>
                <w:color w:val="auto"/>
              </w:rPr>
            </w:pPr>
            <w:r>
              <w:rPr>
                <w:rFonts w:ascii="Times New Roman" w:cs="Times New Roman" w:eastAsia="Times New Roman" w:hAnsi="Times New Roman"/>
                <w:sz w:val="16"/>
                <w:szCs w:val="16"/>
                <w:b w:val="1"/>
                <w:bCs w:val="1"/>
                <w:color w:val="auto"/>
              </w:rPr>
              <w:t>2019 over 2018</w:t>
            </w:r>
          </w:p>
        </w:tc>
        <w:tc>
          <w:tcPr>
            <w:tcW w:w="220" w:type="dxa"/>
            <w:vAlign w:val="bottom"/>
          </w:tcPr>
          <w:p>
            <w:pPr>
              <w:spacing w:after="0"/>
              <w:rPr>
                <w:sz w:val="23"/>
                <w:szCs w:val="23"/>
                <w:color w:val="auto"/>
              </w:rPr>
            </w:pPr>
          </w:p>
        </w:tc>
        <w:tc>
          <w:tcPr>
            <w:tcW w:w="2040" w:type="dxa"/>
            <w:vAlign w:val="bottom"/>
            <w:gridSpan w:val="5"/>
          </w:tcPr>
          <w:p>
            <w:pPr>
              <w:ind w:left="38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80" w:type="dxa"/>
            <w:vAlign w:val="bottom"/>
          </w:tcPr>
          <w:p>
            <w:pPr>
              <w:spacing w:after="0"/>
              <w:rPr>
                <w:sz w:val="23"/>
                <w:szCs w:val="23"/>
                <w:color w:val="auto"/>
              </w:rPr>
            </w:pPr>
          </w:p>
        </w:tc>
        <w:tc>
          <w:tcPr>
            <w:tcW w:w="1820" w:type="dxa"/>
            <w:vAlign w:val="bottom"/>
            <w:gridSpan w:val="3"/>
          </w:tcPr>
          <w:p>
            <w:pPr>
              <w:ind w:left="320"/>
              <w:spacing w:after="0"/>
              <w:rPr>
                <w:sz w:val="20"/>
                <w:szCs w:val="20"/>
                <w:color w:val="auto"/>
              </w:rPr>
            </w:pPr>
            <w:r>
              <w:rPr>
                <w:rFonts w:ascii="Times New Roman" w:cs="Times New Roman" w:eastAsia="Times New Roman" w:hAnsi="Times New Roman"/>
                <w:sz w:val="16"/>
                <w:szCs w:val="16"/>
                <w:b w:val="1"/>
                <w:bCs w:val="1"/>
                <w:color w:val="auto"/>
              </w:rPr>
              <w:t>2019 over 2018</w:t>
            </w:r>
          </w:p>
        </w:tc>
      </w:tr>
      <w:tr>
        <w:trPr>
          <w:trHeight w:val="33"/>
        </w:trPr>
        <w:tc>
          <w:tcPr>
            <w:tcW w:w="27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07"/>
        </w:trPr>
        <w:tc>
          <w:tcPr>
            <w:tcW w:w="2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ind w:right="414"/>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8"/>
                <w:szCs w:val="18"/>
                <w:color w:val="auto"/>
              </w:rPr>
            </w:pPr>
          </w:p>
        </w:tc>
        <w:tc>
          <w:tcPr>
            <w:tcW w:w="860" w:type="dxa"/>
            <w:vAlign w:val="bottom"/>
          </w:tcPr>
          <w:p>
            <w:pPr>
              <w:jc w:val="right"/>
              <w:ind w:right="274"/>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ind w:right="374"/>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8"/>
                <w:szCs w:val="18"/>
                <w:color w:val="auto"/>
              </w:rPr>
            </w:pPr>
          </w:p>
        </w:tc>
        <w:tc>
          <w:tcPr>
            <w:tcW w:w="860" w:type="dxa"/>
            <w:vAlign w:val="bottom"/>
          </w:tcPr>
          <w:p>
            <w:pPr>
              <w:jc w:val="right"/>
              <w:ind w:right="274"/>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12"/>
        </w:trPr>
        <w:tc>
          <w:tcPr>
            <w:tcW w:w="27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 thousands, except percentages)</w:t>
            </w:r>
          </w:p>
        </w:tc>
        <w:tc>
          <w:tcPr>
            <w:tcW w:w="240" w:type="dxa"/>
            <w:vAlign w:val="bottom"/>
          </w:tcPr>
          <w:p>
            <w:pPr>
              <w:spacing w:after="0"/>
              <w:rPr>
                <w:sz w:val="18"/>
                <w:szCs w:val="18"/>
                <w:color w:val="auto"/>
              </w:rPr>
            </w:pPr>
          </w:p>
        </w:tc>
        <w:tc>
          <w:tcPr>
            <w:tcW w:w="780" w:type="dxa"/>
            <w:vAlign w:val="bottom"/>
          </w:tcPr>
          <w:p>
            <w:pPr>
              <w:jc w:val="right"/>
              <w:ind w:right="254"/>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rPr>
              <w:t>2018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9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220" w:type="dxa"/>
            <w:vAlign w:val="bottom"/>
          </w:tcPr>
          <w:p>
            <w:pPr>
              <w:spacing w:after="0"/>
              <w:rPr>
                <w:sz w:val="18"/>
                <w:szCs w:val="18"/>
                <w:color w:val="auto"/>
              </w:rPr>
            </w:pPr>
          </w:p>
        </w:tc>
        <w:tc>
          <w:tcPr>
            <w:tcW w:w="800" w:type="dxa"/>
            <w:vAlign w:val="bottom"/>
          </w:tcPr>
          <w:p>
            <w:pPr>
              <w:jc w:val="right"/>
              <w:ind w:right="274"/>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rPr>
              <w:t>2018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33"/>
        </w:trPr>
        <w:tc>
          <w:tcPr>
            <w:tcW w:w="27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18"/>
        </w:trPr>
        <w:tc>
          <w:tcPr>
            <w:tcW w:w="27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Depreciation of fixed assets and</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6"/>
        </w:trPr>
        <w:tc>
          <w:tcPr>
            <w:tcW w:w="27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amortization of landfills and finance</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41"/>
        </w:trPr>
        <w:tc>
          <w:tcPr>
            <w:tcW w:w="2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lease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65,335</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64,938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397</w:t>
            </w: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196,729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194,729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2,000</w:t>
            </w:r>
          </w:p>
        </w:tc>
        <w:tc>
          <w:tcPr>
            <w:tcW w:w="1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1.0%</w:t>
            </w:r>
          </w:p>
        </w:tc>
      </w:tr>
      <w:tr>
        <w:trPr>
          <w:trHeight w:val="225"/>
        </w:trPr>
        <w:tc>
          <w:tcPr>
            <w:tcW w:w="2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Permits and other intangibles</w:t>
            </w: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4"/>
        </w:trPr>
        <w:tc>
          <w:tcPr>
            <w:tcW w:w="2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amortization</w:t>
            </w:r>
          </w:p>
        </w:tc>
        <w:tc>
          <w:tcPr>
            <w:tcW w:w="240" w:type="dxa"/>
            <w:vAlign w:val="bottom"/>
          </w:tcPr>
          <w:p>
            <w:pPr>
              <w:spacing w:after="0"/>
              <w:rPr>
                <w:sz w:val="20"/>
                <w:szCs w:val="20"/>
                <w:color w:val="auto"/>
              </w:rPr>
            </w:pPr>
          </w:p>
        </w:tc>
        <w:tc>
          <w:tcPr>
            <w:tcW w:w="7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8,421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8,144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277</w:t>
            </w:r>
          </w:p>
        </w:tc>
        <w:tc>
          <w:tcPr>
            <w:tcW w:w="100" w:type="dxa"/>
            <w:vAlign w:val="bottom"/>
          </w:tcPr>
          <w:p>
            <w:pPr>
              <w:spacing w:after="0"/>
              <w:rPr>
                <w:sz w:val="20"/>
                <w:szCs w:val="20"/>
                <w:color w:val="auto"/>
              </w:rPr>
            </w:pPr>
          </w:p>
        </w:tc>
        <w:tc>
          <w:tcPr>
            <w:tcW w:w="8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26,599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25,957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642</w:t>
            </w:r>
          </w:p>
        </w:tc>
        <w:tc>
          <w:tcPr>
            <w:tcW w:w="120" w:type="dxa"/>
            <w:vAlign w:val="bottom"/>
          </w:tcPr>
          <w:p>
            <w:pPr>
              <w:spacing w:after="0"/>
              <w:rPr>
                <w:sz w:val="20"/>
                <w:szCs w:val="20"/>
                <w:color w:val="auto"/>
              </w:rPr>
            </w:pPr>
          </w:p>
        </w:tc>
        <w:tc>
          <w:tcPr>
            <w:tcW w:w="8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2.5</w:t>
            </w:r>
          </w:p>
        </w:tc>
      </w:tr>
      <w:tr>
        <w:trPr>
          <w:trHeight w:val="27"/>
        </w:trPr>
        <w:tc>
          <w:tcPr>
            <w:tcW w:w="27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7"/>
        </w:trPr>
        <w:tc>
          <w:tcPr>
            <w:tcW w:w="2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depreciation and amortization</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73,756</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73,082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674</w:t>
            </w: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223,328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220,686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2,642</w:t>
            </w:r>
          </w:p>
        </w:tc>
        <w:tc>
          <w:tcPr>
            <w:tcW w:w="1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1.2%</w:t>
            </w:r>
          </w:p>
        </w:tc>
      </w:tr>
      <w:tr>
        <w:trPr>
          <w:trHeight w:val="20"/>
        </w:trPr>
        <w:tc>
          <w:tcPr>
            <w:tcW w:w="27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ind w:right="600" w:firstLine="648"/>
        <w:spacing w:after="0" w:line="282" w:lineRule="auto"/>
        <w:rPr>
          <w:sz w:val="20"/>
          <w:szCs w:val="20"/>
          <w:color w:val="auto"/>
        </w:rPr>
      </w:pPr>
      <w:r>
        <w:rPr>
          <w:rFonts w:ascii="Times New Roman" w:cs="Times New Roman" w:eastAsia="Times New Roman" w:hAnsi="Times New Roman"/>
          <w:sz w:val="18"/>
          <w:szCs w:val="18"/>
          <w:color w:val="auto"/>
        </w:rPr>
        <w:t>Depreciation and amortization for the three months ended September 30, 2019 increased by $0.7 million from the comparable period in 2018 primarily due to an increase in capital spending.</w:t>
      </w:r>
    </w:p>
    <w:p>
      <w:pPr>
        <w:spacing w:after="0" w:line="216" w:lineRule="exact"/>
        <w:rPr>
          <w:sz w:val="20"/>
          <w:szCs w:val="20"/>
          <w:color w:val="auto"/>
        </w:rPr>
      </w:pPr>
    </w:p>
    <w:p>
      <w:pPr>
        <w:jc w:val="both"/>
        <w:ind w:right="160" w:firstLine="648"/>
        <w:spacing w:after="0" w:line="266" w:lineRule="auto"/>
        <w:rPr>
          <w:sz w:val="20"/>
          <w:szCs w:val="20"/>
          <w:color w:val="auto"/>
        </w:rPr>
      </w:pPr>
      <w:r>
        <w:rPr>
          <w:rFonts w:ascii="Times New Roman" w:cs="Times New Roman" w:eastAsia="Times New Roman" w:hAnsi="Times New Roman"/>
          <w:sz w:val="18"/>
          <w:szCs w:val="18"/>
          <w:color w:val="auto"/>
        </w:rPr>
        <w:t>Depreciation and amortization for the nine months ended September 30, 2019 increased by $2.6 million from the comparable period in 2018 due to incremental depreciation from increased capital spending and acquisitions, partially offset by lower volumes at our landfills in 2019, which reduced landfill amortization.</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on Early Extinguishment of Debt</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gridSpan w:val="6"/>
          </w:tcPr>
          <w:p>
            <w:pPr>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gridSpan w:val="6"/>
          </w:tcPr>
          <w:p>
            <w:pPr>
              <w:ind w:left="60"/>
              <w:spacing w:after="0"/>
              <w:rPr>
                <w:sz w:val="20"/>
                <w:szCs w:val="20"/>
                <w:color w:val="auto"/>
              </w:rPr>
            </w:pPr>
            <w:r>
              <w:rPr>
                <w:rFonts w:ascii="Times New Roman" w:cs="Times New Roman" w:eastAsia="Times New Roman" w:hAnsi="Times New Roman"/>
                <w:sz w:val="16"/>
                <w:szCs w:val="16"/>
                <w:b w:val="1"/>
                <w:bCs w:val="1"/>
                <w:color w:val="auto"/>
              </w:rPr>
              <w:t>For the Nine Months Ended</w:t>
            </w:r>
          </w:p>
        </w:tc>
        <w:tc>
          <w:tcPr>
            <w:tcW w:w="860" w:type="dxa"/>
            <w:vAlign w:val="bottom"/>
          </w:tcPr>
          <w:p>
            <w:pPr>
              <w:spacing w:after="0"/>
              <w:rPr>
                <w:sz w:val="18"/>
                <w:szCs w:val="18"/>
                <w:color w:val="auto"/>
              </w:rPr>
            </w:pPr>
          </w:p>
        </w:tc>
      </w:tr>
      <w:tr>
        <w:trPr>
          <w:trHeight w:val="270"/>
        </w:trPr>
        <w:tc>
          <w:tcPr>
            <w:tcW w:w="28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20" w:type="dxa"/>
            <w:vAlign w:val="bottom"/>
            <w:gridSpan w:val="5"/>
          </w:tcPr>
          <w:p>
            <w:pPr>
              <w:ind w:left="3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80" w:type="dxa"/>
            <w:vAlign w:val="bottom"/>
          </w:tcPr>
          <w:p>
            <w:pPr>
              <w:spacing w:after="0"/>
              <w:rPr>
                <w:sz w:val="23"/>
                <w:szCs w:val="23"/>
                <w:color w:val="auto"/>
              </w:rPr>
            </w:pPr>
          </w:p>
        </w:tc>
        <w:tc>
          <w:tcPr>
            <w:tcW w:w="2160" w:type="dxa"/>
            <w:vAlign w:val="bottom"/>
            <w:gridSpan w:val="5"/>
          </w:tcPr>
          <w:p>
            <w:pPr>
              <w:ind w:left="320"/>
              <w:spacing w:after="0"/>
              <w:rPr>
                <w:sz w:val="20"/>
                <w:szCs w:val="20"/>
                <w:color w:val="auto"/>
              </w:rPr>
            </w:pPr>
            <w:r>
              <w:rPr>
                <w:rFonts w:ascii="Times New Roman" w:cs="Times New Roman" w:eastAsia="Times New Roman" w:hAnsi="Times New Roman"/>
                <w:sz w:val="16"/>
                <w:szCs w:val="16"/>
                <w:b w:val="1"/>
                <w:bCs w:val="1"/>
                <w:color w:val="auto"/>
              </w:rPr>
              <w:t>2019 over 2018</w:t>
            </w:r>
          </w:p>
        </w:tc>
        <w:tc>
          <w:tcPr>
            <w:tcW w:w="2040" w:type="dxa"/>
            <w:vAlign w:val="bottom"/>
            <w:gridSpan w:val="5"/>
          </w:tcPr>
          <w:p>
            <w:pPr>
              <w:ind w:left="38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80" w:type="dxa"/>
            <w:vAlign w:val="bottom"/>
          </w:tcPr>
          <w:p>
            <w:pPr>
              <w:spacing w:after="0"/>
              <w:rPr>
                <w:sz w:val="23"/>
                <w:szCs w:val="23"/>
                <w:color w:val="auto"/>
              </w:rPr>
            </w:pPr>
          </w:p>
        </w:tc>
        <w:tc>
          <w:tcPr>
            <w:tcW w:w="1820" w:type="dxa"/>
            <w:vAlign w:val="bottom"/>
            <w:gridSpan w:val="3"/>
          </w:tcPr>
          <w:p>
            <w:pPr>
              <w:ind w:left="320"/>
              <w:spacing w:after="0"/>
              <w:rPr>
                <w:sz w:val="20"/>
                <w:szCs w:val="20"/>
                <w:color w:val="auto"/>
              </w:rPr>
            </w:pPr>
            <w:r>
              <w:rPr>
                <w:rFonts w:ascii="Times New Roman" w:cs="Times New Roman" w:eastAsia="Times New Roman" w:hAnsi="Times New Roman"/>
                <w:sz w:val="16"/>
                <w:szCs w:val="16"/>
                <w:b w:val="1"/>
                <w:bCs w:val="1"/>
                <w:color w:val="auto"/>
              </w:rPr>
              <w:t>2019 over 2018</w:t>
            </w:r>
          </w:p>
        </w:tc>
      </w:tr>
      <w:tr>
        <w:trPr>
          <w:trHeight w:val="33"/>
        </w:trPr>
        <w:tc>
          <w:tcPr>
            <w:tcW w:w="28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07"/>
        </w:trPr>
        <w:tc>
          <w:tcPr>
            <w:tcW w:w="2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ind w:right="397"/>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8"/>
                <w:szCs w:val="18"/>
                <w:color w:val="auto"/>
              </w:rPr>
            </w:pPr>
          </w:p>
        </w:tc>
        <w:tc>
          <w:tcPr>
            <w:tcW w:w="860" w:type="dxa"/>
            <w:vAlign w:val="bottom"/>
          </w:tcPr>
          <w:p>
            <w:pPr>
              <w:jc w:val="right"/>
              <w:ind w:right="256"/>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ind w:right="377"/>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8"/>
                <w:szCs w:val="18"/>
                <w:color w:val="auto"/>
              </w:rPr>
            </w:pPr>
          </w:p>
        </w:tc>
        <w:tc>
          <w:tcPr>
            <w:tcW w:w="860" w:type="dxa"/>
            <w:vAlign w:val="bottom"/>
          </w:tcPr>
          <w:p>
            <w:pPr>
              <w:jc w:val="right"/>
              <w:ind w:right="276"/>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12"/>
        </w:trPr>
        <w:tc>
          <w:tcPr>
            <w:tcW w:w="30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(in thousands, except percentages)</w:t>
            </w:r>
          </w:p>
        </w:tc>
        <w:tc>
          <w:tcPr>
            <w:tcW w:w="780" w:type="dxa"/>
            <w:vAlign w:val="bottom"/>
          </w:tcPr>
          <w:p>
            <w:pPr>
              <w:jc w:val="right"/>
              <w:ind w:right="256"/>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ind w:right="274"/>
              <w:spacing w:after="0"/>
              <w:rPr>
                <w:sz w:val="20"/>
                <w:szCs w:val="20"/>
                <w:color w:val="auto"/>
              </w:rPr>
            </w:pPr>
            <w:r>
              <w:rPr>
                <w:rFonts w:ascii="Times New Roman" w:cs="Times New Roman" w:eastAsia="Times New Roman" w:hAnsi="Times New Roman"/>
                <w:sz w:val="16"/>
                <w:szCs w:val="16"/>
                <w:b w:val="1"/>
                <w:bCs w:val="1"/>
                <w:color w:val="auto"/>
              </w:rPr>
              <w:t>2018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1200" w:type="dxa"/>
            <w:vAlign w:val="bottom"/>
            <w:gridSpan w:val="3"/>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800" w:type="dxa"/>
            <w:vAlign w:val="bottom"/>
          </w:tcPr>
          <w:p>
            <w:pPr>
              <w:jc w:val="right"/>
              <w:ind w:right="276"/>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ind w:right="274"/>
              <w:spacing w:after="0"/>
              <w:rPr>
                <w:sz w:val="20"/>
                <w:szCs w:val="20"/>
                <w:color w:val="auto"/>
              </w:rPr>
            </w:pPr>
            <w:r>
              <w:rPr>
                <w:rFonts w:ascii="Times New Roman" w:cs="Times New Roman" w:eastAsia="Times New Roman" w:hAnsi="Times New Roman"/>
                <w:sz w:val="16"/>
                <w:szCs w:val="16"/>
                <w:b w:val="1"/>
                <w:bCs w:val="1"/>
                <w:color w:val="auto"/>
              </w:rPr>
              <w:t>2018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33"/>
        </w:trPr>
        <w:tc>
          <w:tcPr>
            <w:tcW w:w="28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30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Loss on early extinguishment of debt $</w:t>
            </w:r>
          </w:p>
        </w:tc>
        <w:tc>
          <w:tcPr>
            <w:tcW w:w="7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6,119</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2,469</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3,650</w:t>
            </w:r>
          </w:p>
        </w:tc>
        <w:tc>
          <w:tcPr>
            <w:tcW w:w="100" w:type="dxa"/>
            <w:vAlign w:val="bottom"/>
            <w:shd w:val="clear" w:color="auto" w:fill="CCEEFF"/>
          </w:tcPr>
          <w:p>
            <w:pPr>
              <w:spacing w:after="0"/>
              <w:rPr>
                <w:sz w:val="20"/>
                <w:szCs w:val="20"/>
                <w:color w:val="auto"/>
              </w:rPr>
            </w:pPr>
          </w:p>
        </w:tc>
        <w:tc>
          <w:tcPr>
            <w:tcW w:w="12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147.8%  $</w:t>
            </w:r>
          </w:p>
        </w:tc>
        <w:tc>
          <w:tcPr>
            <w:tcW w:w="8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6,119</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2,469</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3,650</w:t>
            </w: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147.8%</w:t>
            </w:r>
          </w:p>
        </w:tc>
      </w:tr>
      <w:tr>
        <w:trPr>
          <w:trHeight w:val="27"/>
        </w:trPr>
        <w:tc>
          <w:tcPr>
            <w:tcW w:w="28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r>
    </w:tbl>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During the three and nine months ended September 30, 2019, we recorded a $6.1 million loss on early extinguishment of debt in connection with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extinguishment of the $845.0 million of unsecured senior notes due 2021 which were repaid during the current quarter using the funds from the issuance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$545.0 million of unsecured senior notes due 2027 and $300.0 million of unsecured senior notes due 2029 and some available cash. During the three and nine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months ended September 30, 2018, we recorded a $2.5 million loss on early extinguishment of debt in connection with the extinguishment of $400.0 million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senior unsecured notes which were refinanced in connection with an Incremental Facility Amendment to our Term Loan Agreement during the third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quarter of 2018. The losses on early extinguishment of debt consisted of amounts paid in excess of par in order to extinguish the debt prior to maturity of $2.7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million and $1.2 million for the 2019 and 2018 transactions, respectively, and non-cash expenses related to the write-off of unamortized financing costs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$3.4 million and $1.3 million for the 2019 and 2018 transactions, respectively. For additional information regarding our financing arrangements, see Note 11,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"Financing Arrangements" to the accompanying unaudited consolidated financial statements.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gridSpan w:val="6"/>
          </w:tcPr>
          <w:p>
            <w:pPr>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gridSpan w:val="6"/>
          </w:tcPr>
          <w:p>
            <w:pPr>
              <w:ind w:left="60"/>
              <w:spacing w:after="0"/>
              <w:rPr>
                <w:sz w:val="20"/>
                <w:szCs w:val="20"/>
                <w:color w:val="auto"/>
              </w:rPr>
            </w:pPr>
            <w:r>
              <w:rPr>
                <w:rFonts w:ascii="Times New Roman" w:cs="Times New Roman" w:eastAsia="Times New Roman" w:hAnsi="Times New Roman"/>
                <w:sz w:val="16"/>
                <w:szCs w:val="16"/>
                <w:b w:val="1"/>
                <w:bCs w:val="1"/>
                <w:color w:val="auto"/>
              </w:rPr>
              <w:t>For the Nine Months Ended</w:t>
            </w:r>
          </w:p>
        </w:tc>
        <w:tc>
          <w:tcPr>
            <w:tcW w:w="860" w:type="dxa"/>
            <w:vAlign w:val="bottom"/>
          </w:tcPr>
          <w:p>
            <w:pPr>
              <w:spacing w:after="0"/>
              <w:rPr>
                <w:sz w:val="18"/>
                <w:szCs w:val="18"/>
                <w:color w:val="auto"/>
              </w:rPr>
            </w:pPr>
          </w:p>
        </w:tc>
      </w:tr>
      <w:tr>
        <w:trPr>
          <w:trHeight w:val="270"/>
        </w:trPr>
        <w:tc>
          <w:tcPr>
            <w:tcW w:w="27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20" w:type="dxa"/>
            <w:vAlign w:val="bottom"/>
            <w:gridSpan w:val="5"/>
          </w:tcPr>
          <w:p>
            <w:pPr>
              <w:ind w:left="3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80" w:type="dxa"/>
            <w:vAlign w:val="bottom"/>
          </w:tcPr>
          <w:p>
            <w:pPr>
              <w:spacing w:after="0"/>
              <w:rPr>
                <w:sz w:val="23"/>
                <w:szCs w:val="23"/>
                <w:color w:val="auto"/>
              </w:rPr>
            </w:pPr>
          </w:p>
        </w:tc>
        <w:tc>
          <w:tcPr>
            <w:tcW w:w="2160" w:type="dxa"/>
            <w:vAlign w:val="bottom"/>
            <w:gridSpan w:val="5"/>
          </w:tcPr>
          <w:p>
            <w:pPr>
              <w:ind w:left="320"/>
              <w:spacing w:after="0"/>
              <w:rPr>
                <w:sz w:val="20"/>
                <w:szCs w:val="20"/>
                <w:color w:val="auto"/>
              </w:rPr>
            </w:pPr>
            <w:r>
              <w:rPr>
                <w:rFonts w:ascii="Times New Roman" w:cs="Times New Roman" w:eastAsia="Times New Roman" w:hAnsi="Times New Roman"/>
                <w:sz w:val="16"/>
                <w:szCs w:val="16"/>
                <w:b w:val="1"/>
                <w:bCs w:val="1"/>
                <w:color w:val="auto"/>
              </w:rPr>
              <w:t>2019 over 2018</w:t>
            </w:r>
          </w:p>
        </w:tc>
        <w:tc>
          <w:tcPr>
            <w:tcW w:w="2040" w:type="dxa"/>
            <w:vAlign w:val="bottom"/>
            <w:gridSpan w:val="5"/>
          </w:tcPr>
          <w:p>
            <w:pPr>
              <w:ind w:left="38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80" w:type="dxa"/>
            <w:vAlign w:val="bottom"/>
          </w:tcPr>
          <w:p>
            <w:pPr>
              <w:spacing w:after="0"/>
              <w:rPr>
                <w:sz w:val="23"/>
                <w:szCs w:val="23"/>
                <w:color w:val="auto"/>
              </w:rPr>
            </w:pPr>
          </w:p>
        </w:tc>
        <w:tc>
          <w:tcPr>
            <w:tcW w:w="1820" w:type="dxa"/>
            <w:vAlign w:val="bottom"/>
            <w:gridSpan w:val="3"/>
          </w:tcPr>
          <w:p>
            <w:pPr>
              <w:ind w:left="320"/>
              <w:spacing w:after="0"/>
              <w:rPr>
                <w:sz w:val="20"/>
                <w:szCs w:val="20"/>
                <w:color w:val="auto"/>
              </w:rPr>
            </w:pPr>
            <w:r>
              <w:rPr>
                <w:rFonts w:ascii="Times New Roman" w:cs="Times New Roman" w:eastAsia="Times New Roman" w:hAnsi="Times New Roman"/>
                <w:sz w:val="16"/>
                <w:szCs w:val="16"/>
                <w:b w:val="1"/>
                <w:bCs w:val="1"/>
                <w:color w:val="auto"/>
              </w:rPr>
              <w:t>2019 over 2018</w:t>
            </w:r>
          </w:p>
        </w:tc>
      </w:tr>
      <w:tr>
        <w:trPr>
          <w:trHeight w:val="33"/>
        </w:trPr>
        <w:tc>
          <w:tcPr>
            <w:tcW w:w="27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07"/>
        </w:trPr>
        <w:tc>
          <w:tcPr>
            <w:tcW w:w="2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ind w:right="417"/>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8"/>
                <w:szCs w:val="18"/>
                <w:color w:val="auto"/>
              </w:rPr>
            </w:pPr>
          </w:p>
        </w:tc>
        <w:tc>
          <w:tcPr>
            <w:tcW w:w="860" w:type="dxa"/>
            <w:vAlign w:val="bottom"/>
          </w:tcPr>
          <w:p>
            <w:pPr>
              <w:jc w:val="right"/>
              <w:ind w:right="276"/>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ind w:right="377"/>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8"/>
                <w:szCs w:val="18"/>
                <w:color w:val="auto"/>
              </w:rPr>
            </w:pPr>
          </w:p>
        </w:tc>
        <w:tc>
          <w:tcPr>
            <w:tcW w:w="860" w:type="dxa"/>
            <w:vAlign w:val="bottom"/>
          </w:tcPr>
          <w:p>
            <w:pPr>
              <w:ind w:left="340"/>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12"/>
        </w:trPr>
        <w:tc>
          <w:tcPr>
            <w:tcW w:w="27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 thousands, except percentages)</w:t>
            </w:r>
          </w:p>
        </w:tc>
        <w:tc>
          <w:tcPr>
            <w:tcW w:w="240" w:type="dxa"/>
            <w:vAlign w:val="bottom"/>
          </w:tcPr>
          <w:p>
            <w:pPr>
              <w:spacing w:after="0"/>
              <w:rPr>
                <w:sz w:val="18"/>
                <w:szCs w:val="18"/>
                <w:color w:val="auto"/>
              </w:rPr>
            </w:pPr>
          </w:p>
        </w:tc>
        <w:tc>
          <w:tcPr>
            <w:tcW w:w="780" w:type="dxa"/>
            <w:vAlign w:val="bottom"/>
          </w:tcPr>
          <w:p>
            <w:pPr>
              <w:jc w:val="right"/>
              <w:ind w:right="256"/>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ind w:right="274"/>
              <w:spacing w:after="0"/>
              <w:rPr>
                <w:sz w:val="20"/>
                <w:szCs w:val="20"/>
                <w:color w:val="auto"/>
              </w:rPr>
            </w:pPr>
            <w:r>
              <w:rPr>
                <w:rFonts w:ascii="Times New Roman" w:cs="Times New Roman" w:eastAsia="Times New Roman" w:hAnsi="Times New Roman"/>
                <w:sz w:val="16"/>
                <w:szCs w:val="16"/>
                <w:b w:val="1"/>
                <w:bCs w:val="1"/>
                <w:color w:val="auto"/>
              </w:rPr>
              <w:t>2018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1200" w:type="dxa"/>
            <w:vAlign w:val="bottom"/>
            <w:gridSpan w:val="3"/>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800" w:type="dxa"/>
            <w:vAlign w:val="bottom"/>
          </w:tcPr>
          <w:p>
            <w:pPr>
              <w:jc w:val="right"/>
              <w:ind w:right="276"/>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ind w:right="274"/>
              <w:spacing w:after="0"/>
              <w:rPr>
                <w:sz w:val="20"/>
                <w:szCs w:val="20"/>
                <w:color w:val="auto"/>
              </w:rPr>
            </w:pPr>
            <w:r>
              <w:rPr>
                <w:rFonts w:ascii="Times New Roman" w:cs="Times New Roman" w:eastAsia="Times New Roman" w:hAnsi="Times New Roman"/>
                <w:sz w:val="16"/>
                <w:szCs w:val="16"/>
                <w:b w:val="1"/>
                <w:bCs w:val="1"/>
                <w:color w:val="auto"/>
              </w:rPr>
              <w:t>2018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860" w:type="dxa"/>
            <w:vAlign w:val="bottom"/>
          </w:tcPr>
          <w:p>
            <w:pPr>
              <w:ind w:left="160"/>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33"/>
        </w:trPr>
        <w:tc>
          <w:tcPr>
            <w:tcW w:w="27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27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17,750</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11,275</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6,475</w:t>
            </w:r>
          </w:p>
        </w:tc>
        <w:tc>
          <w:tcPr>
            <w:tcW w:w="100" w:type="dxa"/>
            <w:vAlign w:val="bottom"/>
            <w:shd w:val="clear" w:color="auto" w:fill="CCEEFF"/>
          </w:tcPr>
          <w:p>
            <w:pPr>
              <w:spacing w:after="0"/>
              <w:rPr>
                <w:sz w:val="20"/>
                <w:szCs w:val="20"/>
                <w:color w:val="auto"/>
              </w:rPr>
            </w:pPr>
          </w:p>
        </w:tc>
        <w:tc>
          <w:tcPr>
            <w:tcW w:w="12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57.4%  $</w:t>
            </w:r>
          </w:p>
        </w:tc>
        <w:tc>
          <w:tcPr>
            <w:tcW w:w="8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39,752</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28,011</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11,741</w:t>
            </w: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41.9%</w:t>
            </w:r>
          </w:p>
        </w:tc>
      </w:tr>
      <w:tr>
        <w:trPr>
          <w:trHeight w:val="27"/>
        </w:trPr>
        <w:tc>
          <w:tcPr>
            <w:tcW w:w="27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r>
    </w:tbl>
    <w:p>
      <w:pPr>
        <w:spacing w:after="0" w:line="117"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The provision for income taxes for the three and nine months ended September 30, 2019 increased $6.5 million and $11.7 million, respectively, from the comparable periods in 2018. The increase in the three and nine months ended September 30, 2019 was primarily due to increased taxable income in the United States. The increase in the three months ended September 30, 2019 as compared to the same period in 2018 was also driven by tax benefits recorded in the third quarter of 2018 resulting from filing amended returns for prior periods. Our effective tax rate for the three and nine months ended September 30, 2019 was 32.8% and 35.1%, respectively, compared to 26.6% and 36.3%, respectively, for the same periods in 2018.</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20"/>
          </w:cols>
          <w:pgMar w:left="240" w:top="121" w:right="239" w:bottom="1440" w:gutter="0" w:footer="0" w:header="0"/>
        </w:sectPr>
      </w:pPr>
    </w:p>
    <w:bookmarkStart w:id="35" w:name="page36"/>
    <w:bookmarkEnd w:id="3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right="400" w:firstLine="648"/>
        <w:spacing w:after="0" w:line="266" w:lineRule="auto"/>
        <w:rPr>
          <w:sz w:val="20"/>
          <w:szCs w:val="20"/>
          <w:color w:val="auto"/>
        </w:rPr>
      </w:pPr>
      <w:r>
        <w:rPr>
          <w:rFonts w:ascii="Times New Roman" w:cs="Times New Roman" w:eastAsia="Times New Roman" w:hAnsi="Times New Roman"/>
          <w:sz w:val="18"/>
          <w:szCs w:val="18"/>
          <w:color w:val="auto"/>
        </w:rPr>
        <w:t>For the nine months ended September 30, 2019, we did not record $4.8 million of income tax benefits generated from losses at certain of our Canadian entities. This compares to $6.6 million of income tax benefits generated in the comparable period of 2018 which also were not recorded in that period's income tax provision.</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0" w:type="dxa"/>
            <w:vAlign w:val="bottom"/>
            <w:gridSpan w:val="3"/>
          </w:tcPr>
          <w:p>
            <w:pPr>
              <w:jc w:val="center"/>
              <w:ind w:left="634"/>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1120" w:type="dxa"/>
            <w:vAlign w:val="bottom"/>
          </w:tcPr>
          <w:p>
            <w:pPr>
              <w:spacing w:after="0"/>
              <w:rPr>
                <w:sz w:val="18"/>
                <w:szCs w:val="18"/>
                <w:color w:val="auto"/>
              </w:rPr>
            </w:pPr>
          </w:p>
        </w:tc>
      </w:tr>
      <w:tr>
        <w:trPr>
          <w:trHeight w:val="270"/>
        </w:trPr>
        <w:tc>
          <w:tcPr>
            <w:tcW w:w="76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200" w:type="dxa"/>
            <w:vAlign w:val="bottom"/>
            <w:gridSpan w:val="3"/>
          </w:tcPr>
          <w:p>
            <w:pPr>
              <w:jc w:val="center"/>
              <w:ind w:left="634"/>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120" w:type="dxa"/>
            <w:vAlign w:val="bottom"/>
          </w:tcPr>
          <w:p>
            <w:pPr>
              <w:spacing w:after="0"/>
              <w:rPr>
                <w:sz w:val="23"/>
                <w:szCs w:val="23"/>
                <w:color w:val="auto"/>
              </w:rPr>
            </w:pPr>
          </w:p>
        </w:tc>
      </w:tr>
      <w:tr>
        <w:trPr>
          <w:trHeight w:val="33"/>
        </w:trPr>
        <w:tc>
          <w:tcPr>
            <w:tcW w:w="76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766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420" w:type="dxa"/>
            <w:vAlign w:val="bottom"/>
          </w:tcPr>
          <w:p>
            <w:pPr>
              <w:spacing w:after="0"/>
              <w:rPr>
                <w:sz w:val="20"/>
                <w:szCs w:val="20"/>
                <w:color w:val="auto"/>
              </w:rPr>
            </w:pPr>
          </w:p>
        </w:tc>
        <w:tc>
          <w:tcPr>
            <w:tcW w:w="1400" w:type="dxa"/>
            <w:vAlign w:val="bottom"/>
          </w:tcPr>
          <w:p>
            <w:pPr>
              <w:jc w:val="right"/>
              <w:ind w:right="674"/>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120" w:type="dxa"/>
            <w:vAlign w:val="bottom"/>
          </w:tcPr>
          <w:p>
            <w:pPr>
              <w:jc w:val="right"/>
              <w:ind w:right="652"/>
              <w:spacing w:after="0"/>
              <w:rPr>
                <w:sz w:val="20"/>
                <w:szCs w:val="20"/>
                <w:color w:val="auto"/>
              </w:rPr>
            </w:pPr>
            <w:r>
              <w:rPr>
                <w:rFonts w:ascii="Times New Roman" w:cs="Times New Roman" w:eastAsia="Times New Roman" w:hAnsi="Times New Roman"/>
                <w:sz w:val="16"/>
                <w:szCs w:val="16"/>
                <w:b w:val="1"/>
                <w:bCs w:val="1"/>
                <w:color w:val="auto"/>
              </w:rPr>
              <w:t>2018</w:t>
            </w:r>
          </w:p>
        </w:tc>
      </w:tr>
      <w:tr>
        <w:trPr>
          <w:trHeight w:val="33"/>
        </w:trPr>
        <w:tc>
          <w:tcPr>
            <w:tcW w:w="76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from operating activities</w:t>
            </w: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284,675</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247,215</w:t>
            </w:r>
          </w:p>
        </w:tc>
      </w:tr>
      <w:tr>
        <w:trPr>
          <w:trHeight w:val="243"/>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4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(187,109)</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(299,482)</w:t>
            </w:r>
          </w:p>
        </w:tc>
      </w:tr>
      <w:tr>
        <w:trPr>
          <w:trHeight w:val="27"/>
        </w:trPr>
        <w:tc>
          <w:tcPr>
            <w:tcW w:w="7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7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42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(44,132)</w:t>
            </w:r>
          </w:p>
        </w:tc>
        <w:tc>
          <w:tcPr>
            <w:tcW w:w="10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(50,414)</w:t>
            </w:r>
          </w:p>
        </w:tc>
      </w:tr>
      <w:tr>
        <w:trPr>
          <w:trHeight w:val="27"/>
        </w:trPr>
        <w:tc>
          <w:tcPr>
            <w:tcW w:w="766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2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Net cash from operating activities</w:t>
      </w:r>
    </w:p>
    <w:p>
      <w:pPr>
        <w:spacing w:after="0" w:line="281"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Net cash from operating activities for the nine months ended September 30, 2019 was $284.7 million, an increase of $37.5 million from the comparable period in 2018. The increase in operating cash flows from the comparable period of 2018 was attributable to greater levels of operating income and improvements in working capital, partially offset by increased environmental expenditures. We believe that net cash from operating activities for 2019 will continue to improve year-over-year as we continue to generate higher earnings.</w:t>
      </w:r>
    </w:p>
    <w:p>
      <w:pPr>
        <w:spacing w:after="0" w:line="23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Net cash used in investing activities</w:t>
      </w:r>
    </w:p>
    <w:p>
      <w:pPr>
        <w:spacing w:after="0" w:line="281" w:lineRule="exact"/>
        <w:rPr>
          <w:sz w:val="20"/>
          <w:szCs w:val="20"/>
          <w:color w:val="auto"/>
        </w:rPr>
      </w:pPr>
    </w:p>
    <w:p>
      <w:pPr>
        <w:ind w:right="240" w:firstLine="648"/>
        <w:spacing w:after="0" w:line="261" w:lineRule="auto"/>
        <w:rPr>
          <w:sz w:val="20"/>
          <w:szCs w:val="20"/>
          <w:color w:val="auto"/>
        </w:rPr>
      </w:pPr>
      <w:r>
        <w:rPr>
          <w:rFonts w:ascii="Times New Roman" w:cs="Times New Roman" w:eastAsia="Times New Roman" w:hAnsi="Times New Roman"/>
          <w:sz w:val="18"/>
          <w:szCs w:val="18"/>
          <w:color w:val="auto"/>
        </w:rPr>
        <w:t>Net cash used in investing activities for the nine months ended September 30, 2019 was $187.1 million, a decrease of $112.4 million from the comparable period in 2018. The change was primarily driven by a decrease in cash paid for acquisitions, which was greater during the nine months ended September 30, 2018 due to the acquisition of the Veolia Business on February 23, 2018. This decrease was partially offset by increased capital expenditure levels, net of disposals, which we expect to be approximately $200.0 million by the end of 2019.</w:t>
      </w:r>
    </w:p>
    <w:p>
      <w:pPr>
        <w:spacing w:after="0" w:line="23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Net cash used in financing activities</w:t>
      </w:r>
    </w:p>
    <w:p>
      <w:pPr>
        <w:spacing w:after="0" w:line="281"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Net cash used in financing activities for the nine months ended September 30, 2019 was $44.1 million, a decrease of $6.3 million from the comparable period in 2018. The change in net cash used in financing activities was primarily due to a decrease in repurchases of common stock, partially offset by an increase in deferred financing costs paid to issue the unsecured senior notes in 2019 as compared to the deferred financing costs paid as a result of the expansion of our Term Loan in 2018. For additional information regarding our financing activities, see Note 11, "Financing Arrangements" to the accompanying unaudited consolidated financial statements.</w:t>
      </w:r>
    </w:p>
    <w:p>
      <w:pPr>
        <w:spacing w:after="0" w:line="23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Adjusted Free Cash Flow</w:t>
      </w:r>
    </w:p>
    <w:p>
      <w:pPr>
        <w:spacing w:after="0" w:line="281"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Management considers adjusted free cash flow to be a measurement of liquidity which provides useful information to both management, creditors and investors about our financial strength and our ability to generate cash. Additionally, adjusted free cash flow is a metric on which a portion of management incentive compensation is based. We define adjusted free cash flow as net cash from operating activities, excluding cash impacts of items derived from non-operating activities such as taxes paid in connection with divestitures, less additions to property, plant and equipment plus proceeds from sales or disposals of fixed assets. Adjusted free cash flow should not be considered an alternative to net cash from operating activities or other measurements under GAAP. Adjusted free cash flow is not calculated identically by all companies, and therefore our measurements of adjusted free cash flow may not be comparable to similarly titled measures reported by other companies.</w:t>
      </w:r>
    </w:p>
    <w:p>
      <w:pPr>
        <w:spacing w:after="0" w:line="2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is a reconciliation of net cash from operating activities to adjusted free cash flow for the following periods (in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20" w:type="dxa"/>
            <w:vAlign w:val="bottom"/>
            <w:gridSpan w:val="4"/>
          </w:tcPr>
          <w:p>
            <w:pPr>
              <w:jc w:val="right"/>
              <w:ind w:right="732"/>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57"/>
        </w:trPr>
        <w:tc>
          <w:tcPr>
            <w:tcW w:w="8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960" w:type="dxa"/>
            <w:vAlign w:val="bottom"/>
          </w:tcPr>
          <w:p>
            <w:pPr>
              <w:spacing w:after="0"/>
              <w:rPr>
                <w:sz w:val="22"/>
                <w:szCs w:val="22"/>
                <w:color w:val="auto"/>
              </w:rPr>
            </w:pPr>
          </w:p>
        </w:tc>
      </w:tr>
      <w:tr>
        <w:trPr>
          <w:trHeight w:val="33"/>
        </w:trPr>
        <w:tc>
          <w:tcPr>
            <w:tcW w:w="83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1"/>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94"/>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2018</w:t>
            </w:r>
          </w:p>
        </w:tc>
      </w:tr>
      <w:tr>
        <w:trPr>
          <w:trHeight w:val="33"/>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from operating activities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284,675</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247,215</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Additions to property, plant and equipment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(174,533)</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(150,722)</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Proceeds from sale and disposal of fixed assets</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8,948</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6,111</w:t>
            </w:r>
          </w:p>
        </w:tc>
      </w:tr>
      <w:tr>
        <w:trPr>
          <w:trHeight w:val="257"/>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Adjusted free cash flow</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119,090</w:t>
            </w:r>
          </w:p>
        </w:tc>
        <w:tc>
          <w:tcPr>
            <w:tcW w:w="12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102,604</w:t>
            </w: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121" w:right="259" w:bottom="1440" w:gutter="0" w:footer="0" w:header="0"/>
        </w:sectPr>
      </w:pP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00"/>
          </w:cols>
          <w:pgMar w:left="240" w:top="121" w:right="259" w:bottom="1440" w:gutter="0" w:footer="0" w:header="0"/>
          <w:type w:val="continuous"/>
        </w:sectPr>
      </w:pPr>
    </w:p>
    <w:bookmarkStart w:id="36" w:name="page37"/>
    <w:bookmarkEnd w:id="3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Working Capital</w:t>
      </w:r>
    </w:p>
    <w:p>
      <w:pPr>
        <w:spacing w:after="0" w:line="2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 September 30, 2019, cash and cash equivalents and marketable securities totaled $329.1 million, compared to $279.4 million at December 31,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2018. At September 30, 2019, cash and cash equivalents held by our foreign subsidiaries totaled $68.1 million and were readily convertible into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currencies including U.S. dollars. At September 30, 2019, the cash and cash equivalents and marketable securities balance for our U.S. operations was $261.0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million, and our U.S. operations had net operating cash flows of $276.0 million for the nine months ended September 30, 2019. Additionally, we have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$400.0 million revolving credit facility of which approximately $231.1 million was available to borrow at September 30, 2019. Based on the above and 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current plans, we believe that our U.S. operations have and will continue to have adequate financial resources to satisfy their current liquidity needs.</w:t>
      </w:r>
    </w:p>
    <w:p>
      <w:pPr>
        <w:spacing w:after="0" w:line="261" w:lineRule="exact"/>
        <w:rPr>
          <w:sz w:val="20"/>
          <w:szCs w:val="20"/>
          <w:color w:val="auto"/>
        </w:rPr>
      </w:pPr>
    </w:p>
    <w:p>
      <w:pPr>
        <w:ind w:right="240" w:firstLine="648"/>
        <w:spacing w:after="0" w:line="258" w:lineRule="auto"/>
        <w:rPr>
          <w:sz w:val="20"/>
          <w:szCs w:val="20"/>
          <w:color w:val="auto"/>
        </w:rPr>
      </w:pPr>
      <w:r>
        <w:rPr>
          <w:rFonts w:ascii="Times New Roman" w:cs="Times New Roman" w:eastAsia="Times New Roman" w:hAnsi="Times New Roman"/>
          <w:sz w:val="18"/>
          <w:szCs w:val="18"/>
          <w:color w:val="auto"/>
        </w:rPr>
        <w:t>We assess our liquidity in terms of our ability to generate cash to fund our operating, investing and financing activities. Our primary ongoing cash requirements will be to fund operations, capital expenditures, interest payments and investments in line with our business strategy. We believe our future operating cash flows will be sufficient to meet our future operating and internal investing cash needs as well as any cash needs relating to our stock repurchase program. Furthermore, our existing cash balance and the availability of additional borrowings under our revolving credit facility provide additional potential sources of liquidity should they be required.</w:t>
      </w:r>
    </w:p>
    <w:p>
      <w:pPr>
        <w:spacing w:after="0" w:line="23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Financing Arrangements</w:t>
      </w:r>
    </w:p>
    <w:p>
      <w:pPr>
        <w:spacing w:after="0" w:line="146"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Financing arrangements are discussed in Note 11, “Financing Arrangements,” to our unaudited consolidated financial statements included in this report. As discussed therein, we refinanced a portion of our debt portfolio in July 2019 whereby the $845.0 million of previously outstanding 5.125% unsecured senior notes due 2021 were replaced by $545.0 million of 4.875% unsecured senior notes due 2027 and $300.0 million of 5.125% unsecured senior notes due 2029. We continue to monitor our debt instruments and evaluate opportunities where it may be beneficial to refinance or reallocate the portfolio.</w:t>
      </w:r>
    </w:p>
    <w:p>
      <w:pPr>
        <w:spacing w:after="0" w:line="99"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As of September 30, 2019, we were in compliance with the covenants of all our debt agreements, and we believe it is reasonably likely that we will continue to meet such covenants.</w:t>
      </w:r>
    </w:p>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Environmental Liabilities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1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 thousands, except percentages)</w:t>
            </w:r>
          </w:p>
        </w:tc>
        <w:tc>
          <w:tcPr>
            <w:tcW w:w="140" w:type="dxa"/>
            <w:vAlign w:val="bottom"/>
          </w:tcPr>
          <w:p>
            <w:pPr>
              <w:spacing w:after="0"/>
              <w:rPr>
                <w:sz w:val="18"/>
                <w:szCs w:val="18"/>
                <w:color w:val="auto"/>
              </w:rPr>
            </w:pPr>
          </w:p>
        </w:tc>
        <w:tc>
          <w:tcPr>
            <w:tcW w:w="16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September 30, 2019</w:t>
            </w:r>
          </w:p>
        </w:tc>
        <w:tc>
          <w:tcPr>
            <w:tcW w:w="160" w:type="dxa"/>
            <w:vAlign w:val="bottom"/>
          </w:tcPr>
          <w:p>
            <w:pPr>
              <w:spacing w:after="0"/>
              <w:rPr>
                <w:sz w:val="18"/>
                <w:szCs w:val="18"/>
                <w:color w:val="auto"/>
              </w:rPr>
            </w:pPr>
          </w:p>
        </w:tc>
        <w:tc>
          <w:tcPr>
            <w:tcW w:w="16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December 31, 2018</w:t>
            </w:r>
          </w:p>
        </w:tc>
        <w:tc>
          <w:tcPr>
            <w:tcW w:w="320" w:type="dxa"/>
            <w:vAlign w:val="bottom"/>
          </w:tcPr>
          <w:p>
            <w:pPr>
              <w:spacing w:after="0"/>
              <w:rPr>
                <w:sz w:val="18"/>
                <w:szCs w:val="18"/>
                <w:color w:val="auto"/>
              </w:rPr>
            </w:pPr>
          </w:p>
        </w:tc>
        <w:tc>
          <w:tcPr>
            <w:tcW w:w="148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820" w:type="dxa"/>
            <w:vAlign w:val="bottom"/>
          </w:tcPr>
          <w:p>
            <w:pPr>
              <w:jc w:val="right"/>
              <w:ind w:right="452"/>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33"/>
        </w:trPr>
        <w:tc>
          <w:tcPr>
            <w:tcW w:w="4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44"/>
        </w:trPr>
        <w:tc>
          <w:tcPr>
            <w:tcW w:w="4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Closure and post-closure liabilities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74,159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69,931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4,228</w:t>
            </w: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6.0 %</w:t>
            </w:r>
          </w:p>
        </w:tc>
      </w:tr>
      <w:tr>
        <w:trPr>
          <w:trHeight w:val="243"/>
        </w:trPr>
        <w:tc>
          <w:tcPr>
            <w:tcW w:w="4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Remedial liabilities</w:t>
            </w:r>
          </w:p>
        </w:tc>
        <w:tc>
          <w:tcPr>
            <w:tcW w:w="140" w:type="dxa"/>
            <w:vAlign w:val="bottom"/>
          </w:tcPr>
          <w:p>
            <w:pPr>
              <w:spacing w:after="0"/>
              <w:rPr>
                <w:sz w:val="21"/>
                <w:szCs w:val="21"/>
                <w:color w:val="auto"/>
              </w:rPr>
            </w:pPr>
          </w:p>
        </w:tc>
        <w:tc>
          <w:tcPr>
            <w:tcW w:w="15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117,269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121,017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(3,748)</w:t>
            </w:r>
          </w:p>
        </w:tc>
        <w:tc>
          <w:tcPr>
            <w:tcW w:w="100" w:type="dxa"/>
            <w:vAlign w:val="bottom"/>
          </w:tcPr>
          <w:p>
            <w:pPr>
              <w:spacing w:after="0"/>
              <w:rPr>
                <w:sz w:val="21"/>
                <w:szCs w:val="21"/>
                <w:color w:val="auto"/>
              </w:rPr>
            </w:pPr>
          </w:p>
        </w:tc>
        <w:tc>
          <w:tcPr>
            <w:tcW w:w="182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(3.1)</w:t>
            </w:r>
          </w:p>
        </w:tc>
      </w:tr>
      <w:tr>
        <w:trPr>
          <w:trHeight w:val="27"/>
        </w:trPr>
        <w:tc>
          <w:tcPr>
            <w:tcW w:w="4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57"/>
        </w:trPr>
        <w:tc>
          <w:tcPr>
            <w:tcW w:w="4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environmental liabilities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191,428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190,948</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480</w:t>
            </w:r>
          </w:p>
        </w:tc>
        <w:tc>
          <w:tcPr>
            <w:tcW w:w="10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0.3 %</w:t>
            </w:r>
          </w:p>
        </w:tc>
      </w:tr>
      <w:tr>
        <w:trPr>
          <w:trHeight w:val="20"/>
        </w:trPr>
        <w:tc>
          <w:tcPr>
            <w:tcW w:w="4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Total environmental liabilities as of September 30, 2019 were $191.4 million, an increase of $0.5 million compared to December 31, 2018 primarily due to accretion of $7.6 million, changes in environmental liability estimates recorded to the balance sheet of $3.8 million and new asset retirement obligations and liabilities assumed in acquisitions of $1.9 million, partially offset by expenditures of $12.8 million.</w:t>
      </w:r>
    </w:p>
    <w:p>
      <w:pPr>
        <w:spacing w:after="0" w:line="230" w:lineRule="exact"/>
        <w:rPr>
          <w:sz w:val="20"/>
          <w:szCs w:val="20"/>
          <w:color w:val="auto"/>
        </w:rPr>
      </w:pPr>
    </w:p>
    <w:p>
      <w:pPr>
        <w:ind w:right="240" w:firstLine="648"/>
        <w:spacing w:after="0" w:line="261" w:lineRule="auto"/>
        <w:rPr>
          <w:sz w:val="20"/>
          <w:szCs w:val="20"/>
          <w:color w:val="auto"/>
        </w:rPr>
      </w:pPr>
      <w:r>
        <w:rPr>
          <w:rFonts w:ascii="Times New Roman" w:cs="Times New Roman" w:eastAsia="Times New Roman" w:hAnsi="Times New Roman"/>
          <w:sz w:val="18"/>
          <w:szCs w:val="18"/>
          <w:color w:val="auto"/>
        </w:rPr>
        <w:t>We anticipate our environmental liabilities, substantially all of which we assumed in connection with our acquisitions, will be payable over many years and that cash flow from operations will generally be sufficient to fund the payment of such liabilities when required. However, events not anticipated (such as future changes in environmental laws and regulations) could require that such payments be made earlier or in greater amounts than currently anticipated, which could adversely affect our results of operations, cash flow and financial condition.</w:t>
      </w:r>
    </w:p>
    <w:p>
      <w:pPr>
        <w:spacing w:after="0" w:line="23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Capital Expenditures</w:t>
      </w:r>
    </w:p>
    <w:p>
      <w:pPr>
        <w:spacing w:after="0" w:line="146" w:lineRule="exact"/>
        <w:rPr>
          <w:sz w:val="20"/>
          <w:szCs w:val="20"/>
          <w:color w:val="auto"/>
        </w:rPr>
      </w:pPr>
    </w:p>
    <w:p>
      <w:pPr>
        <w:jc w:val="both"/>
        <w:ind w:right="40" w:firstLine="648"/>
        <w:spacing w:after="0" w:line="266" w:lineRule="auto"/>
        <w:rPr>
          <w:sz w:val="20"/>
          <w:szCs w:val="20"/>
          <w:color w:val="auto"/>
        </w:rPr>
      </w:pPr>
      <w:r>
        <w:rPr>
          <w:rFonts w:ascii="Times New Roman" w:cs="Times New Roman" w:eastAsia="Times New Roman" w:hAnsi="Times New Roman"/>
          <w:sz w:val="18"/>
          <w:szCs w:val="18"/>
          <w:color w:val="auto"/>
        </w:rPr>
        <w:t>We anticipate that 2019 capital spending, net of disposals, will be in the range of $190.0 million to $210.0 million. However, unanticipated changes in environmental regulations could require us to make significant capital expenditures for our facilities and adversely affect our results of operations and cash flow.</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89" w:lineRule="exact"/>
        <w:rPr>
          <w:sz w:val="20"/>
          <w:szCs w:val="20"/>
          <w:color w:val="auto"/>
        </w:rPr>
      </w:pPr>
    </w:p>
    <w:p>
      <w:pPr>
        <w:ind w:right="300" w:firstLine="648"/>
        <w:spacing w:after="0" w:line="266" w:lineRule="auto"/>
        <w:rPr>
          <w:sz w:val="20"/>
          <w:szCs w:val="20"/>
          <w:color w:val="auto"/>
        </w:rPr>
      </w:pPr>
      <w:r>
        <w:rPr>
          <w:rFonts w:ascii="Times New Roman" w:cs="Times New Roman" w:eastAsia="Times New Roman" w:hAnsi="Times New Roman"/>
          <w:sz w:val="18"/>
          <w:szCs w:val="18"/>
          <w:color w:val="auto"/>
        </w:rPr>
        <w:t>There were no material changes in the first nine months of 2019 to the information provided under the heading “Critical Accounting Policies and Estimates” included in our Annual Report on Form 10-K for the year ended December 31, 2018. New accounting policies adopted during the quarter are described in Note 2, "Significant Accounting Policies," to our unaudited consolidated financial statements included in this report.</w:t>
      </w: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00"/>
          </w:cols>
          <w:pgMar w:left="240" w:top="121" w:right="259" w:bottom="1440" w:gutter="0" w:footer="0" w:header="0"/>
        </w:sectPr>
      </w:pPr>
    </w:p>
    <w:bookmarkStart w:id="37" w:name="page38"/>
    <w:bookmarkEnd w:id="3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89" w:lineRule="exact"/>
        <w:rPr>
          <w:sz w:val="20"/>
          <w:szCs w:val="20"/>
          <w:color w:val="auto"/>
        </w:rPr>
      </w:pPr>
    </w:p>
    <w:p>
      <w:pPr>
        <w:ind w:right="780" w:firstLine="648"/>
        <w:spacing w:after="0" w:line="282" w:lineRule="auto"/>
        <w:rPr>
          <w:sz w:val="20"/>
          <w:szCs w:val="20"/>
          <w:color w:val="auto"/>
        </w:rPr>
      </w:pPr>
      <w:r>
        <w:rPr>
          <w:rFonts w:ascii="Times New Roman" w:cs="Times New Roman" w:eastAsia="Times New Roman" w:hAnsi="Times New Roman"/>
          <w:sz w:val="18"/>
          <w:szCs w:val="18"/>
          <w:color w:val="auto"/>
        </w:rPr>
        <w:t>There were no material changes in the first nine months of 2019 to the information provided under Item 7A. “Quantitative and Qualitative Disclosures about Market Risk” in the Company's Annual Report on Form 10-K for the year ended December 31, 2018.</w:t>
      </w:r>
    </w:p>
    <w:p>
      <w:pPr>
        <w:spacing w:after="0" w:line="77"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48" w:lineRule="exact"/>
        <w:rPr>
          <w:sz w:val="20"/>
          <w:szCs w:val="20"/>
          <w:color w:val="auto"/>
        </w:rPr>
      </w:pPr>
    </w:p>
    <w:p>
      <w:pPr>
        <w:ind w:right="40" w:firstLine="621"/>
        <w:spacing w:after="0" w:line="255" w:lineRule="auto"/>
        <w:rPr>
          <w:sz w:val="20"/>
          <w:szCs w:val="20"/>
          <w:color w:val="auto"/>
        </w:rPr>
      </w:pPr>
      <w:r>
        <w:rPr>
          <w:rFonts w:ascii="Times New Roman" w:cs="Times New Roman" w:eastAsia="Times New Roman" w:hAnsi="Times New Roman"/>
          <w:sz w:val="18"/>
          <w:szCs w:val="18"/>
          <w:color w:val="auto"/>
        </w:rPr>
        <w:t>Based on an evaluation under the supervision and with the participation of our Chief Executive Officer and Chief Financial Officer, as of the end of the period covered by this Quarterly Report on Form 10-Q, our Chief Executive Officer and Chief Financial Officer have concluded that our disclosure controls and procedures (as defined under Rule 13a-15(e) and 15d-15(e) under the Securities Exchange Act of 1934, as amended (the “Exchange Act”)) were effective as of September 30, 2019 to ensure that information required to be disclosed by us in reports that we file or submit under the Exchange Act is recorded, processed, summarized and reported within the time periods specified in Securities and Exchange Commission rules and forms and is accumulated and communicated to our management, including our Chief Executive Officer and Chief Financial Officer, as appropriate to allow timely decisions regarding required disclosure.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48" w:lineRule="exact"/>
        <w:rPr>
          <w:sz w:val="20"/>
          <w:szCs w:val="20"/>
          <w:color w:val="auto"/>
        </w:rPr>
      </w:pPr>
    </w:p>
    <w:p>
      <w:pPr>
        <w:jc w:val="both"/>
        <w:ind w:firstLine="222"/>
        <w:spacing w:after="0" w:line="266" w:lineRule="auto"/>
        <w:rPr>
          <w:sz w:val="20"/>
          <w:szCs w:val="20"/>
          <w:color w:val="auto"/>
        </w:rPr>
      </w:pPr>
      <w:r>
        <w:rPr>
          <w:rFonts w:ascii="Times New Roman" w:cs="Times New Roman" w:eastAsia="Times New Roman" w:hAnsi="Times New Roman"/>
          <w:sz w:val="18"/>
          <w:szCs w:val="18"/>
          <w:color w:val="auto"/>
        </w:rPr>
        <w:t>There were no changes in the Company's internal control over financial reporting identified in connection with the evaluation required by paragraph (d) of Exchange Act Rules 13a-15 or 15d-15 that was conducted during the quarter ended September 30, 2019 that have materially affected, or are reasonably likely to materially affect, the Company’s internal control over financial reporting.</w:t>
      </w:r>
    </w:p>
    <w:p>
      <w:pPr>
        <w:spacing w:after="0" w:line="33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380"/>
          </w:cols>
          <w:pgMar w:left="240" w:top="121" w:right="279" w:bottom="1440" w:gutter="0" w:footer="0" w:header="0"/>
        </w:sectPr>
      </w:pPr>
    </w:p>
    <w:bookmarkStart w:id="38" w:name="page39"/>
    <w:bookmarkEnd w:id="3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CLEAN HARBORS, INC. AND SUBSIDIARIES</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144"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color w:val="auto"/>
        </w:rPr>
        <w:t>LEGAL PROCEEDINGS</w:t>
      </w:r>
    </w:p>
    <w:p>
      <w:pPr>
        <w:spacing w:after="0" w:line="189" w:lineRule="exact"/>
        <w:rPr>
          <w:sz w:val="20"/>
          <w:szCs w:val="20"/>
          <w:color w:val="auto"/>
        </w:rPr>
      </w:pPr>
    </w:p>
    <w:p>
      <w:pPr>
        <w:ind w:right="680" w:firstLine="648"/>
        <w:spacing w:after="0" w:line="282" w:lineRule="auto"/>
        <w:rPr>
          <w:sz w:val="20"/>
          <w:szCs w:val="20"/>
          <w:color w:val="auto"/>
        </w:rPr>
      </w:pPr>
      <w:r>
        <w:rPr>
          <w:rFonts w:ascii="Times New Roman" w:cs="Times New Roman" w:eastAsia="Times New Roman" w:hAnsi="Times New Roman"/>
          <w:sz w:val="18"/>
          <w:szCs w:val="18"/>
          <w:color w:val="auto"/>
        </w:rPr>
        <w:t>See Note 16, “Commitments and Contingencies,” to the unaudited consolidated financial statements included in Item 1 of this report, which description is incorporated herein by reference.</w:t>
      </w:r>
    </w:p>
    <w:p>
      <w:pPr>
        <w:spacing w:after="0" w:line="77"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89"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2019, there were no material changes from the risk factors as previously disclosed in Item 1A in the Company's Annual Report on Form 10-K for the year ended December 31, 2018.</w:t>
      </w:r>
    </w:p>
    <w:p>
      <w:pPr>
        <w:spacing w:after="0" w:line="77"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 Repurchase Program</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provides information with respect to the shares of common stock repurchased by us for the periods indicated.</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5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Total Number of</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tcPr>
          <w:p>
            <w:pPr>
              <w:jc w:val="center"/>
              <w:ind w:right="35"/>
              <w:spacing w:after="0"/>
              <w:rPr>
                <w:sz w:val="20"/>
                <w:szCs w:val="20"/>
                <w:color w:val="auto"/>
              </w:rPr>
            </w:pPr>
            <w:r>
              <w:rPr>
                <w:rFonts w:ascii="Times New Roman" w:cs="Times New Roman" w:eastAsia="Times New Roman" w:hAnsi="Times New Roman"/>
                <w:sz w:val="16"/>
                <w:szCs w:val="16"/>
                <w:b w:val="1"/>
                <w:bCs w:val="1"/>
                <w:color w:val="auto"/>
              </w:rPr>
              <w:t>Approximate Dollar</w:t>
            </w:r>
          </w:p>
        </w:tc>
        <w:tc>
          <w:tcPr>
            <w:tcW w:w="0" w:type="dxa"/>
            <w:vAlign w:val="bottom"/>
          </w:tcPr>
          <w:p>
            <w:pPr>
              <w:spacing w:after="0"/>
              <w:rPr>
                <w:sz w:val="1"/>
                <w:szCs w:val="1"/>
                <w:color w:val="auto"/>
              </w:rPr>
            </w:pPr>
          </w:p>
        </w:tc>
      </w:tr>
      <w:tr>
        <w:trPr>
          <w:trHeight w:val="203"/>
        </w:trPr>
        <w:tc>
          <w:tcPr>
            <w:tcW w:w="25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Shares Purchased as</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tcPr>
          <w:p>
            <w:pPr>
              <w:jc w:val="center"/>
              <w:ind w:right="35"/>
              <w:spacing w:after="0"/>
              <w:rPr>
                <w:sz w:val="20"/>
                <w:szCs w:val="20"/>
                <w:color w:val="auto"/>
              </w:rPr>
            </w:pPr>
            <w:r>
              <w:rPr>
                <w:rFonts w:ascii="Times New Roman" w:cs="Times New Roman" w:eastAsia="Times New Roman" w:hAnsi="Times New Roman"/>
                <w:sz w:val="16"/>
                <w:szCs w:val="16"/>
                <w:b w:val="1"/>
                <w:bCs w:val="1"/>
                <w:color w:val="auto"/>
              </w:rPr>
              <w:t>Value of Shares that</w:t>
            </w:r>
          </w:p>
        </w:tc>
        <w:tc>
          <w:tcPr>
            <w:tcW w:w="0" w:type="dxa"/>
            <w:vAlign w:val="bottom"/>
          </w:tcPr>
          <w:p>
            <w:pPr>
              <w:spacing w:after="0"/>
              <w:rPr>
                <w:sz w:val="1"/>
                <w:szCs w:val="1"/>
                <w:color w:val="auto"/>
              </w:rPr>
            </w:pPr>
          </w:p>
        </w:tc>
      </w:tr>
      <w:tr>
        <w:trPr>
          <w:trHeight w:val="203"/>
        </w:trPr>
        <w:tc>
          <w:tcPr>
            <w:tcW w:w="25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Part of Publicly</w:t>
            </w:r>
          </w:p>
        </w:tc>
        <w:tc>
          <w:tcPr>
            <w:tcW w:w="100" w:type="dxa"/>
            <w:vAlign w:val="bottom"/>
          </w:tcPr>
          <w:p>
            <w:pPr>
              <w:spacing w:after="0"/>
              <w:rPr>
                <w:sz w:val="17"/>
                <w:szCs w:val="17"/>
                <w:color w:val="auto"/>
              </w:rPr>
            </w:pPr>
          </w:p>
        </w:tc>
        <w:tc>
          <w:tcPr>
            <w:tcW w:w="17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May Yet Be Purchased</w:t>
            </w:r>
          </w:p>
        </w:tc>
        <w:tc>
          <w:tcPr>
            <w:tcW w:w="0" w:type="dxa"/>
            <w:vAlign w:val="bottom"/>
          </w:tcPr>
          <w:p>
            <w:pPr>
              <w:spacing w:after="0"/>
              <w:rPr>
                <w:sz w:val="1"/>
                <w:szCs w:val="1"/>
                <w:color w:val="auto"/>
              </w:rPr>
            </w:pPr>
          </w:p>
        </w:tc>
      </w:tr>
      <w:tr>
        <w:trPr>
          <w:trHeight w:val="203"/>
        </w:trPr>
        <w:tc>
          <w:tcPr>
            <w:tcW w:w="25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840" w:type="dxa"/>
            <w:vAlign w:val="bottom"/>
          </w:tcPr>
          <w:p>
            <w:pPr>
              <w:jc w:val="right"/>
              <w:ind w:right="13"/>
              <w:spacing w:after="0"/>
              <w:rPr>
                <w:sz w:val="20"/>
                <w:szCs w:val="20"/>
                <w:color w:val="auto"/>
              </w:rPr>
            </w:pPr>
            <w:r>
              <w:rPr>
                <w:rFonts w:ascii="Times New Roman" w:cs="Times New Roman" w:eastAsia="Times New Roman" w:hAnsi="Times New Roman"/>
                <w:sz w:val="16"/>
                <w:szCs w:val="16"/>
                <w:b w:val="1"/>
                <w:bCs w:val="1"/>
                <w:color w:val="auto"/>
              </w:rPr>
              <w:t>Total Number of Shares</w:t>
            </w:r>
          </w:p>
        </w:tc>
        <w:tc>
          <w:tcPr>
            <w:tcW w:w="120" w:type="dxa"/>
            <w:vAlign w:val="bottom"/>
          </w:tcPr>
          <w:p>
            <w:pPr>
              <w:spacing w:after="0"/>
              <w:rPr>
                <w:sz w:val="17"/>
                <w:szCs w:val="17"/>
                <w:color w:val="auto"/>
              </w:rPr>
            </w:pPr>
          </w:p>
        </w:tc>
        <w:tc>
          <w:tcPr>
            <w:tcW w:w="182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Average Price Paid Per</w:t>
            </w:r>
          </w:p>
        </w:tc>
        <w:tc>
          <w:tcPr>
            <w:tcW w:w="17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Announced Plans or</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tcPr>
          <w:p>
            <w:pPr>
              <w:jc w:val="center"/>
              <w:ind w:right="35"/>
              <w:spacing w:after="0"/>
              <w:rPr>
                <w:sz w:val="20"/>
                <w:szCs w:val="20"/>
                <w:color w:val="auto"/>
              </w:rPr>
            </w:pPr>
            <w:r>
              <w:rPr>
                <w:rFonts w:ascii="Times New Roman" w:cs="Times New Roman" w:eastAsia="Times New Roman" w:hAnsi="Times New Roman"/>
                <w:sz w:val="16"/>
                <w:szCs w:val="16"/>
                <w:b w:val="1"/>
                <w:bCs w:val="1"/>
                <w:color w:val="auto"/>
              </w:rPr>
              <w:t>Under the Plans or</w:t>
            </w:r>
          </w:p>
        </w:tc>
        <w:tc>
          <w:tcPr>
            <w:tcW w:w="0" w:type="dxa"/>
            <w:vAlign w:val="bottom"/>
          </w:tcPr>
          <w:p>
            <w:pPr>
              <w:spacing w:after="0"/>
              <w:rPr>
                <w:sz w:val="1"/>
                <w:szCs w:val="1"/>
                <w:color w:val="auto"/>
              </w:rPr>
            </w:pPr>
          </w:p>
        </w:tc>
      </w:tr>
      <w:tr>
        <w:trPr>
          <w:trHeight w:val="245"/>
        </w:trPr>
        <w:tc>
          <w:tcPr>
            <w:tcW w:w="4120" w:type="dxa"/>
            <w:vAlign w:val="bottom"/>
            <w:tcBorders>
              <w:bottom w:val="single" w:sz="8" w:color="auto"/>
            </w:tcBorders>
            <w:gridSpan w:val="2"/>
          </w:tcPr>
          <w:p>
            <w:pPr>
              <w:ind w:left="184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184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6"/>
                <w:szCs w:val="16"/>
                <w:b w:val="1"/>
                <w:bCs w:val="1"/>
                <w:color w:val="auto"/>
              </w:rPr>
              <w:t xml:space="preserve">Purchased </w:t>
            </w:r>
            <w:r>
              <w:rPr>
                <w:rFonts w:ascii="Times New Roman" w:cs="Times New Roman" w:eastAsia="Times New Roman" w:hAnsi="Times New Roman"/>
                <w:sz w:val="21"/>
                <w:szCs w:val="21"/>
                <w:color w:val="auto"/>
                <w:vertAlign w:val="superscript"/>
              </w:rPr>
              <w:t>(1)</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 xml:space="preserve">Share </w:t>
            </w:r>
            <w:r>
              <w:rPr>
                <w:rFonts w:ascii="Times New Roman" w:cs="Times New Roman" w:eastAsia="Times New Roman" w:hAnsi="Times New Roman"/>
                <w:sz w:val="21"/>
                <w:szCs w:val="21"/>
                <w:color w:val="auto"/>
                <w:vertAlign w:val="superscript"/>
              </w:rPr>
              <w:t>(2)</w:t>
            </w:r>
          </w:p>
        </w:tc>
        <w:tc>
          <w:tcPr>
            <w:tcW w:w="120" w:type="dxa"/>
            <w:vAlign w:val="bottom"/>
            <w:tcBorders>
              <w:bottom w:val="single" w:sz="8" w:color="CCEEFF"/>
            </w:tcBorders>
          </w:tcPr>
          <w:p>
            <w:pPr>
              <w:spacing w:after="0"/>
              <w:rPr>
                <w:sz w:val="21"/>
                <w:szCs w:val="21"/>
                <w:color w:val="auto"/>
              </w:rPr>
            </w:pP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Programs</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6"/>
                <w:szCs w:val="16"/>
                <w:b w:val="1"/>
                <w:bCs w:val="1"/>
                <w:color w:val="auto"/>
                <w:w w:val="95"/>
              </w:rPr>
              <w:t xml:space="preserve">Programs </w:t>
            </w:r>
            <w:r>
              <w:rPr>
                <w:rFonts w:ascii="Times New Roman" w:cs="Times New Roman" w:eastAsia="Times New Roman" w:hAnsi="Times New Roman"/>
                <w:sz w:val="21"/>
                <w:szCs w:val="21"/>
                <w:color w:val="auto"/>
                <w:w w:val="95"/>
                <w:vertAlign w:val="superscript"/>
              </w:rPr>
              <w:t>(3)</w:t>
            </w:r>
          </w:p>
        </w:tc>
        <w:tc>
          <w:tcPr>
            <w:tcW w:w="0" w:type="dxa"/>
            <w:vAlign w:val="bottom"/>
          </w:tcPr>
          <w:p>
            <w:pPr>
              <w:spacing w:after="0"/>
              <w:rPr>
                <w:sz w:val="1"/>
                <w:szCs w:val="1"/>
                <w:color w:val="auto"/>
              </w:rPr>
            </w:pPr>
          </w:p>
        </w:tc>
      </w:tr>
      <w:tr>
        <w:trPr>
          <w:trHeight w:val="244"/>
        </w:trPr>
        <w:tc>
          <w:tcPr>
            <w:tcW w:w="2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8"/>
                <w:shd w:val="clear" w:color="auto" w:fill="CCEEFF"/>
              </w:rPr>
              <w:t>July 1, 2019 through July 31, 2019</w:t>
            </w:r>
          </w:p>
        </w:tc>
        <w:tc>
          <w:tcPr>
            <w:tcW w:w="158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1,071</w:t>
            </w:r>
          </w:p>
        </w:tc>
        <w:tc>
          <w:tcPr>
            <w:tcW w:w="460" w:type="dxa"/>
            <w:vAlign w:val="bottom"/>
            <w:tcBorders>
              <w:bottom w:val="single" w:sz="8" w:color="CCEEFF"/>
            </w:tcBorders>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70.53</w:t>
            </w: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294,800,437</w:t>
            </w:r>
          </w:p>
        </w:tc>
        <w:tc>
          <w:tcPr>
            <w:tcW w:w="0" w:type="dxa"/>
            <w:vAlign w:val="bottom"/>
          </w:tcPr>
          <w:p>
            <w:pPr>
              <w:spacing w:after="0"/>
              <w:rPr>
                <w:sz w:val="1"/>
                <w:szCs w:val="1"/>
                <w:color w:val="auto"/>
              </w:rPr>
            </w:pPr>
          </w:p>
        </w:tc>
      </w:tr>
      <w:tr>
        <w:trPr>
          <w:trHeight w:val="243"/>
        </w:trPr>
        <w:tc>
          <w:tcPr>
            <w:tcW w:w="41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August 1, 2019 through August 31, 2019</w:t>
            </w:r>
          </w:p>
        </w:tc>
        <w:tc>
          <w:tcPr>
            <w:tcW w:w="18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33,857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74.79</w:t>
            </w:r>
          </w:p>
        </w:tc>
        <w:tc>
          <w:tcPr>
            <w:tcW w:w="120" w:type="dxa"/>
            <w:vAlign w:val="bottom"/>
          </w:tcPr>
          <w:p>
            <w:pPr>
              <w:spacing w:after="0"/>
              <w:rPr>
                <w:sz w:val="21"/>
                <w:szCs w:val="21"/>
                <w:color w:val="auto"/>
              </w:rPr>
            </w:pPr>
          </w:p>
        </w:tc>
        <w:tc>
          <w:tcPr>
            <w:tcW w:w="17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30,000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292,561,400</w:t>
            </w:r>
          </w:p>
        </w:tc>
        <w:tc>
          <w:tcPr>
            <w:tcW w:w="0" w:type="dxa"/>
            <w:vAlign w:val="bottom"/>
          </w:tcPr>
          <w:p>
            <w:pPr>
              <w:spacing w:after="0"/>
              <w:rPr>
                <w:sz w:val="1"/>
                <w:szCs w:val="1"/>
                <w:color w:val="auto"/>
              </w:rPr>
            </w:pPr>
          </w:p>
        </w:tc>
      </w:tr>
      <w:tr>
        <w:trPr>
          <w:trHeight w:val="27"/>
        </w:trPr>
        <w:tc>
          <w:tcPr>
            <w:tcW w:w="25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September 1, 2019 through September 30, 2019</w:t>
            </w:r>
          </w:p>
        </w:tc>
        <w:tc>
          <w:tcPr>
            <w:tcW w:w="184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40,132</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75.62</w:t>
            </w:r>
          </w:p>
        </w:tc>
        <w:tc>
          <w:tcPr>
            <w:tcW w:w="12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38,000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289,683,588</w:t>
            </w:r>
          </w:p>
        </w:tc>
        <w:tc>
          <w:tcPr>
            <w:tcW w:w="0" w:type="dxa"/>
            <w:vAlign w:val="bottom"/>
          </w:tcPr>
          <w:p>
            <w:pPr>
              <w:spacing w:after="0"/>
              <w:rPr>
                <w:sz w:val="1"/>
                <w:szCs w:val="1"/>
                <w:color w:val="auto"/>
              </w:rPr>
            </w:pPr>
          </w:p>
        </w:tc>
      </w:tr>
      <w:tr>
        <w:trPr>
          <w:trHeight w:val="257"/>
        </w:trPr>
        <w:tc>
          <w:tcPr>
            <w:tcW w:w="41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1840" w:type="dxa"/>
            <w:vAlign w:val="bottom"/>
            <w:tcBorders>
              <w:top w:val="single" w:sz="8" w:color="auto"/>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75,060</w:t>
            </w:r>
          </w:p>
        </w:tc>
        <w:tc>
          <w:tcPr>
            <w:tcW w:w="460" w:type="dxa"/>
            <w:vAlign w:val="bottom"/>
            <w:gridSpan w:val="2"/>
          </w:tcPr>
          <w:p>
            <w:pPr>
              <w:jc w:val="right"/>
              <w:ind w:right="159"/>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75.17</w:t>
            </w:r>
          </w:p>
        </w:tc>
        <w:tc>
          <w:tcPr>
            <w:tcW w:w="120" w:type="dxa"/>
            <w:vAlign w:val="bottom"/>
          </w:tcPr>
          <w:p>
            <w:pPr>
              <w:spacing w:after="0"/>
              <w:rPr>
                <w:sz w:val="22"/>
                <w:szCs w:val="22"/>
                <w:color w:val="auto"/>
              </w:rPr>
            </w:pPr>
          </w:p>
        </w:tc>
        <w:tc>
          <w:tcPr>
            <w:tcW w:w="170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68,000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5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________________</w:t>
            </w:r>
          </w:p>
        </w:tc>
        <w:tc>
          <w:tcPr>
            <w:tcW w:w="1580" w:type="dxa"/>
            <w:vAlign w:val="bottom"/>
            <w:vMerge w:val="restart"/>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540" w:type="dxa"/>
            <w:vAlign w:val="bottom"/>
            <w:vMerge w:val="continue"/>
          </w:tcPr>
          <w:p>
            <w:pPr>
              <w:spacing w:after="0"/>
              <w:rPr>
                <w:sz w:val="17"/>
                <w:szCs w:val="17"/>
                <w:color w:val="auto"/>
              </w:rPr>
            </w:pPr>
          </w:p>
        </w:tc>
        <w:tc>
          <w:tcPr>
            <w:tcW w:w="1580" w:type="dxa"/>
            <w:vAlign w:val="bottom"/>
            <w:vMerge w:val="continue"/>
          </w:tcPr>
          <w:p>
            <w:pPr>
              <w:spacing w:after="0"/>
              <w:rPr>
                <w:sz w:val="17"/>
                <w:szCs w:val="17"/>
                <w:color w:val="auto"/>
              </w:rPr>
            </w:pPr>
          </w:p>
        </w:tc>
        <w:tc>
          <w:tcPr>
            <w:tcW w:w="1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660" w:right="580" w:hanging="328"/>
        <w:spacing w:after="0" w:line="261"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7,060 shares withheld by us from employees to satisfy employee tax obligations upon vesting of restricted stock units granted to our employees under the Company's equity incentive plans.</w:t>
      </w: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price paid per share of common stock repurchased under the stock repurchase program includes the commissions paid to brokers.</w:t>
      </w:r>
    </w:p>
    <w:p>
      <w:pPr>
        <w:spacing w:after="0" w:line="9" w:lineRule="exact"/>
        <w:rPr>
          <w:rFonts w:ascii="Times New Roman" w:cs="Times New Roman" w:eastAsia="Times New Roman" w:hAnsi="Times New Roman"/>
          <w:sz w:val="18"/>
          <w:szCs w:val="18"/>
          <w:color w:val="auto"/>
        </w:rPr>
      </w:pPr>
    </w:p>
    <w:p>
      <w:pPr>
        <w:ind w:left="660" w:hanging="328"/>
        <w:spacing w:after="0" w:line="269" w:lineRule="auto"/>
        <w:tabs>
          <w:tab w:leader="none" w:pos="66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board of directors has authorized the repurchase of up to $600.0 million of our common stock. We have funded and intend to fund the repurchases through available cash resources. The stock repurchase program authorizes us to purchase our common stock on the open market or in privately negotiated transactions periodically in a manner that complies with applicable U.S. securities laws. The number of shares purchased and the timing of the purchases has depended and will depend on several factors, including share price, cash required for business plans, trading volume and other conditions. During April 2018, we implemented a repurchase plan in accordance with Rule 10b5-1 promulgated under the Securities Exchange Act of 1934, as amended. Future repurchases will be made under the Rule 10b5-1 plan as well as open market or privately negotiated transactions as described above. We have no obligation to repurchase stock under this program and may suspend or terminate the repurchase program at any time.</w:t>
      </w:r>
    </w:p>
    <w:p>
      <w:pPr>
        <w:spacing w:after="0" w:line="92"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140"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140"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20"/>
          </w:cols>
          <w:pgMar w:left="240" w:top="121" w:right="2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07"/>
        </w:trPr>
        <w:tc>
          <w:tcPr>
            <w:tcW w:w="9940" w:type="dxa"/>
            <w:vAlign w:val="bottom"/>
            <w:gridSpan w:val="9"/>
          </w:tcPr>
          <w:p>
            <w:pPr>
              <w:spacing w:after="0"/>
              <w:rPr>
                <w:rFonts w:ascii="Times New Roman" w:cs="Times New Roman" w:eastAsia="Times New Roman" w:hAnsi="Times New Roman"/>
                <w:sz w:val="18"/>
                <w:szCs w:val="18"/>
                <w:color w:val="0000EE"/>
              </w:rPr>
            </w:pPr>
            <w:hyperlink w:anchor="page2">
              <w:r>
                <w:rPr>
                  <w:rFonts w:ascii="Times New Roman" w:cs="Times New Roman" w:eastAsia="Times New Roman" w:hAnsi="Times New Roman"/>
                  <w:sz w:val="18"/>
                  <w:szCs w:val="18"/>
                  <w:color w:val="0000EE"/>
                </w:rPr>
                <w:t>Table of Contents</w:t>
              </w:r>
            </w:hyperlink>
          </w:p>
        </w:tc>
        <w:tc>
          <w:tcPr>
            <w:tcW w:w="1480" w:type="dxa"/>
            <w:vAlign w:val="bottom"/>
          </w:tcPr>
          <w:p>
            <w:pPr>
              <w:spacing w:after="0"/>
              <w:rPr>
                <w:sz w:val="17"/>
                <w:szCs w:val="17"/>
                <w:color w:val="auto"/>
              </w:rPr>
            </w:pPr>
          </w:p>
        </w:tc>
      </w:tr>
      <w:tr>
        <w:trPr>
          <w:trHeight w:val="20"/>
        </w:trPr>
        <w:tc>
          <w:tcPr>
            <w:tcW w:w="9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40" w:type="dxa"/>
            <w:vAlign w:val="bottom"/>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480"/>
        </w:trPr>
        <w:tc>
          <w:tcPr>
            <w:tcW w:w="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9020" w:type="dxa"/>
            <w:vAlign w:val="bottom"/>
            <w:gridSpan w:val="8"/>
          </w:tcPr>
          <w:p>
            <w:pPr>
              <w:ind w:left="12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1480" w:type="dxa"/>
            <w:vAlign w:val="bottom"/>
          </w:tcPr>
          <w:p>
            <w:pPr>
              <w:spacing w:after="0"/>
              <w:rPr>
                <w:sz w:val="24"/>
                <w:szCs w:val="24"/>
                <w:color w:val="auto"/>
              </w:rPr>
            </w:pPr>
          </w:p>
        </w:tc>
      </w:tr>
      <w:tr>
        <w:trPr>
          <w:trHeight w:val="373"/>
        </w:trPr>
        <w:tc>
          <w:tcPr>
            <w:tcW w:w="9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Item No.</w:t>
            </w:r>
          </w:p>
        </w:tc>
        <w:tc>
          <w:tcPr>
            <w:tcW w:w="2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6560" w:type="dxa"/>
            <w:vAlign w:val="bottom"/>
            <w:tcBorders>
              <w:bottom w:val="single" w:sz="8" w:color="auto"/>
            </w:tcBorders>
            <w:gridSpan w:val="3"/>
          </w:tcPr>
          <w:p>
            <w:pPr>
              <w:ind w:left="19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20" w:type="dxa"/>
            <w:vAlign w:val="bottom"/>
          </w:tcPr>
          <w:p>
            <w:pPr>
              <w:spacing w:after="0"/>
              <w:rPr>
                <w:sz w:val="24"/>
                <w:szCs w:val="24"/>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Location</w:t>
            </w:r>
          </w:p>
        </w:tc>
      </w:tr>
      <w:tr>
        <w:trPr>
          <w:trHeight w:val="201"/>
        </w:trPr>
        <w:tc>
          <w:tcPr>
            <w:tcW w:w="920" w:type="dxa"/>
            <w:vAlign w:val="bottom"/>
          </w:tcPr>
          <w:p>
            <w:pPr>
              <w:jc w:val="center"/>
              <w:spacing w:after="0" w:line="201" w:lineRule="exact"/>
              <w:rPr>
                <w:sz w:val="20"/>
                <w:szCs w:val="20"/>
                <w:color w:val="auto"/>
              </w:rPr>
            </w:pPr>
            <w:r>
              <w:rPr>
                <w:rFonts w:ascii="Times New Roman" w:cs="Times New Roman" w:eastAsia="Times New Roman" w:hAnsi="Times New Roman"/>
                <w:sz w:val="18"/>
                <w:szCs w:val="18"/>
                <w:color w:val="auto"/>
              </w:rPr>
              <w:t>31.1</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740" w:type="dxa"/>
            <w:vAlign w:val="bottom"/>
            <w:tcBorders>
              <w:bottom w:val="single" w:sz="8" w:color="0000FF"/>
            </w:tcBorders>
            <w:gridSpan w:val="3"/>
          </w:tcPr>
          <w:p>
            <w:pPr>
              <w:spacing w:after="0" w:line="201" w:lineRule="exact"/>
              <w:rPr>
                <w:rFonts w:ascii="Times New Roman" w:cs="Times New Roman" w:eastAsia="Times New Roman" w:hAnsi="Times New Roman"/>
                <w:sz w:val="18"/>
                <w:szCs w:val="18"/>
                <w:color w:val="0000FF"/>
                <w:w w:val="99"/>
              </w:rPr>
            </w:pPr>
            <w:hyperlink w:anchor="page42">
              <w:r>
                <w:rPr>
                  <w:rFonts w:ascii="Times New Roman" w:cs="Times New Roman" w:eastAsia="Times New Roman" w:hAnsi="Times New Roman"/>
                  <w:sz w:val="18"/>
                  <w:szCs w:val="18"/>
                  <w:color w:val="0000FF"/>
                  <w:w w:val="99"/>
                </w:rPr>
                <w:t>Rule 13a-14a/15d-14(a) Certification of the CEO Alan S. McKim</w:t>
              </w:r>
            </w:hyperlink>
          </w:p>
        </w:tc>
        <w:tc>
          <w:tcPr>
            <w:tcW w:w="4020" w:type="dxa"/>
            <w:vAlign w:val="bottom"/>
            <w:gridSpan w:val="3"/>
          </w:tcPr>
          <w:p>
            <w:pPr>
              <w:spacing w:after="0"/>
              <w:rPr>
                <w:sz w:val="17"/>
                <w:szCs w:val="17"/>
                <w:color w:val="auto"/>
              </w:rPr>
            </w:pPr>
          </w:p>
        </w:tc>
        <w:tc>
          <w:tcPr>
            <w:tcW w:w="1480" w:type="dxa"/>
            <w:vAlign w:val="bottom"/>
          </w:tcPr>
          <w:p>
            <w:pPr>
              <w:jc w:val="center"/>
              <w:spacing w:after="0" w:line="201" w:lineRule="exact"/>
              <w:rPr>
                <w:sz w:val="20"/>
                <w:szCs w:val="20"/>
                <w:color w:val="auto"/>
              </w:rPr>
            </w:pPr>
            <w:r>
              <w:rPr>
                <w:rFonts w:ascii="Times New Roman" w:cs="Times New Roman" w:eastAsia="Times New Roman" w:hAnsi="Times New Roman"/>
                <w:sz w:val="18"/>
                <w:szCs w:val="18"/>
                <w:color w:val="auto"/>
                <w:w w:val="99"/>
              </w:rPr>
              <w:t>Filed herewith</w:t>
            </w:r>
          </w:p>
        </w:tc>
      </w:tr>
      <w:tr>
        <w:trPr>
          <w:trHeight w:val="520"/>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31.2</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920" w:type="dxa"/>
            <w:vAlign w:val="bottom"/>
            <w:tcBorders>
              <w:bottom w:val="single" w:sz="8" w:color="0000FF"/>
            </w:tcBorders>
            <w:gridSpan w:val="4"/>
          </w:tcPr>
          <w:p>
            <w:pPr>
              <w:spacing w:after="0"/>
              <w:rPr>
                <w:rFonts w:ascii="Times New Roman" w:cs="Times New Roman" w:eastAsia="Times New Roman" w:hAnsi="Times New Roman"/>
                <w:sz w:val="18"/>
                <w:szCs w:val="18"/>
                <w:color w:val="0000FF"/>
                <w:w w:val="99"/>
              </w:rPr>
            </w:pPr>
            <w:hyperlink w:anchor="page43">
              <w:r>
                <w:rPr>
                  <w:rFonts w:ascii="Times New Roman" w:cs="Times New Roman" w:eastAsia="Times New Roman" w:hAnsi="Times New Roman"/>
                  <w:sz w:val="18"/>
                  <w:szCs w:val="18"/>
                  <w:color w:val="0000FF"/>
                  <w:w w:val="99"/>
                </w:rPr>
                <w:t>Rule 13a-14a/15d-14(a) Certification of the CFO Michael L. Battles</w:t>
              </w:r>
            </w:hyperlink>
          </w:p>
        </w:tc>
        <w:tc>
          <w:tcPr>
            <w:tcW w:w="3840" w:type="dxa"/>
            <w:vAlign w:val="bottom"/>
            <w:gridSpan w:val="2"/>
          </w:tcPr>
          <w:p>
            <w:pPr>
              <w:spacing w:after="0"/>
              <w:rPr>
                <w:sz w:val="24"/>
                <w:szCs w:val="24"/>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Filed herewith</w:t>
            </w:r>
          </w:p>
        </w:tc>
      </w:tr>
      <w:tr>
        <w:trPr>
          <w:trHeight w:val="520"/>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32</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80" w:type="dxa"/>
            <w:vAlign w:val="bottom"/>
            <w:tcBorders>
              <w:bottom w:val="single" w:sz="8" w:color="0000FF"/>
            </w:tcBorders>
            <w:gridSpan w:val="2"/>
          </w:tcPr>
          <w:p>
            <w:pPr>
              <w:spacing w:after="0"/>
              <w:rPr>
                <w:rFonts w:ascii="Times New Roman" w:cs="Times New Roman" w:eastAsia="Times New Roman" w:hAnsi="Times New Roman"/>
                <w:sz w:val="18"/>
                <w:szCs w:val="18"/>
                <w:color w:val="0000FF"/>
                <w:w w:val="99"/>
              </w:rPr>
            </w:pPr>
            <w:hyperlink w:anchor="page44">
              <w:r>
                <w:rPr>
                  <w:rFonts w:ascii="Times New Roman" w:cs="Times New Roman" w:eastAsia="Times New Roman" w:hAnsi="Times New Roman"/>
                  <w:sz w:val="18"/>
                  <w:szCs w:val="18"/>
                  <w:color w:val="0000FF"/>
                  <w:w w:val="99"/>
                </w:rPr>
                <w:t>Section 1350 Certifications</w:t>
              </w:r>
            </w:hyperlink>
          </w:p>
        </w:tc>
        <w:tc>
          <w:tcPr>
            <w:tcW w:w="6780" w:type="dxa"/>
            <w:vAlign w:val="bottom"/>
            <w:gridSpan w:val="4"/>
          </w:tcPr>
          <w:p>
            <w:pPr>
              <w:spacing w:after="0"/>
              <w:rPr>
                <w:sz w:val="24"/>
                <w:szCs w:val="24"/>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Filed herewith</w:t>
            </w:r>
          </w:p>
        </w:tc>
      </w:tr>
      <w:tr>
        <w:trPr>
          <w:trHeight w:val="542"/>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101</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7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Interactive Data Files Pursuant to Rule 405 of Regulation S-T: Financial statements from the quarterly report on</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r>
      <w:tr>
        <w:trPr>
          <w:trHeight w:val="234"/>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7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Form 10-Q of Clean Harbors, Inc. for the quarter ended September 30, 2019, formatted in iXBRL (Inline eXtensible</w:t>
            </w:r>
          </w:p>
        </w:tc>
        <w:tc>
          <w:tcPr>
            <w:tcW w:w="1480" w:type="dxa"/>
            <w:vAlign w:val="bottom"/>
          </w:tcPr>
          <w:p>
            <w:pPr>
              <w:spacing w:after="0"/>
              <w:rPr>
                <w:sz w:val="20"/>
                <w:szCs w:val="20"/>
                <w:color w:val="auto"/>
              </w:rPr>
            </w:pPr>
          </w:p>
        </w:tc>
      </w:tr>
    </w:tbl>
    <w:p>
      <w:pPr>
        <w:ind w:left="1180" w:right="2360"/>
        <w:spacing w:after="0" w:line="254" w:lineRule="auto"/>
        <w:rPr>
          <w:sz w:val="20"/>
          <w:szCs w:val="20"/>
          <w:color w:val="auto"/>
        </w:rPr>
      </w:pPr>
      <w:r>
        <w:rPr>
          <w:rFonts w:ascii="Times New Roman" w:cs="Times New Roman" w:eastAsia="Times New Roman" w:hAnsi="Times New Roman"/>
          <w:sz w:val="18"/>
          <w:szCs w:val="18"/>
          <w:color w:val="auto"/>
        </w:rPr>
        <w:t>Business Reporting Language): (i) Consolidated Balance Sheets, (ii) Unaudited Consolidated Statements of Operations, (iii) Unaudited Consolidated Statements of Comprehensive Income, (iv) Unaudited Consolidated Statements of Cash Flows, (v) Unaudited Consolidated Statements of Stockholders’ Equity and (vi) Notes to Unaudited Consolidated Financial Statements.</w:t>
      </w:r>
    </w:p>
    <w:p>
      <w:pPr>
        <w:spacing w:after="0" w:line="145" w:lineRule="exact"/>
        <w:rPr>
          <w:sz w:val="20"/>
          <w:szCs w:val="20"/>
          <w:color w:val="auto"/>
        </w:rPr>
      </w:pPr>
    </w:p>
    <w:p>
      <w:pPr>
        <w:ind w:left="1180" w:right="2200" w:hanging="848"/>
        <w:spacing w:after="0" w:line="266" w:lineRule="auto"/>
        <w:tabs>
          <w:tab w:leader="none" w:pos="11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 page from the Company's Quarterly Report on Form 10-Q for the quarter ended September 30, 2019, formatted in iXBRL and contained in Exhibit 101.</w:t>
      </w:r>
    </w:p>
    <w:p>
      <w:pPr>
        <w:spacing w:after="0"/>
        <w:rPr>
          <w:sz w:val="20"/>
          <w:szCs w:val="20"/>
          <w:color w:val="auto"/>
        </w:rPr>
      </w:pPr>
      <w:r>
        <w:rPr>
          <w:rFonts w:ascii="Times New Roman" w:cs="Times New Roman" w:eastAsia="Times New Roman" w:hAnsi="Times New Roman"/>
          <w:sz w:val="18"/>
          <w:szCs w:val="18"/>
          <w:color w:val="auto"/>
        </w:rPr>
        <w:t>_______________________</w:t>
      </w:r>
    </w:p>
    <w:p>
      <w:pPr>
        <w:spacing w:after="0" w:line="144" w:lineRule="exact"/>
        <w:rPr>
          <w:sz w:val="20"/>
          <w:szCs w:val="20"/>
          <w:color w:val="auto"/>
        </w:rPr>
      </w:pPr>
    </w:p>
    <w:p>
      <w:pPr>
        <w:ind w:left="660" w:right="400" w:hanging="490"/>
        <w:spacing w:after="0" w:line="266"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Interactive data files are furnished and deemed not filed or part of a registration statement or prospectus for purposes of Sections 11 or 12 of the Securities Act of 1933, as amended, are deemed not filed for purposes of Section 18 of the Securities Exchange Act of 1934, as amended, and otherwise are not subject to liability under those sections.</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20"/>
          </w:cols>
          <w:pgMar w:left="240" w:top="108" w:right="239" w:bottom="1440" w:gutter="0" w:footer="0" w:header="0"/>
        </w:sectPr>
      </w:pPr>
    </w:p>
    <w:bookmarkStart w:id="40" w:name="page41"/>
    <w:bookmarkEnd w:id="4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CLEAN HARBORS, INC. AND SUBSIDIARIES</w:t>
      </w:r>
    </w:p>
    <w:p>
      <w:pPr>
        <w:spacing w:after="0" w:line="144"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48"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4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CLEAN HARBORS, INC.</w:t>
      </w:r>
    </w:p>
    <w:p>
      <w:pPr>
        <w:spacing w:after="0" w:line="6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Registrant</w:t>
      </w:r>
    </w:p>
    <w:p>
      <w:pPr>
        <w:spacing w:after="0" w:line="333" w:lineRule="exact"/>
        <w:rPr>
          <w:sz w:val="20"/>
          <w:szCs w:val="20"/>
          <w:color w:val="auto"/>
        </w:rPr>
      </w:pPr>
    </w:p>
    <w:p>
      <w:pPr>
        <w:ind w:left="5900"/>
        <w:spacing w:after="0"/>
        <w:tabs>
          <w:tab w:leader="none" w:pos="79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ALAN S. MCKIM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34290</wp:posOffset>
            </wp:positionV>
            <wp:extent cx="33274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3" w:lineRule="exact"/>
        <w:rPr>
          <w:sz w:val="20"/>
          <w:szCs w:val="20"/>
          <w:color w:val="auto"/>
        </w:rPr>
      </w:pPr>
    </w:p>
    <w:p>
      <w:pPr>
        <w:jc w:val="center"/>
        <w:ind w:left="6180"/>
        <w:spacing w:after="0"/>
        <w:rPr>
          <w:sz w:val="20"/>
          <w:szCs w:val="20"/>
          <w:color w:val="auto"/>
        </w:rPr>
      </w:pPr>
      <w:r>
        <w:rPr>
          <w:rFonts w:ascii="Times New Roman" w:cs="Times New Roman" w:eastAsia="Times New Roman" w:hAnsi="Times New Roman"/>
          <w:sz w:val="18"/>
          <w:szCs w:val="18"/>
          <w:b w:val="1"/>
          <w:bCs w:val="1"/>
          <w:color w:val="auto"/>
        </w:rPr>
        <w:t>Alan S. McKim</w:t>
      </w:r>
    </w:p>
    <w:p>
      <w:pPr>
        <w:spacing w:after="0" w:line="63" w:lineRule="exact"/>
        <w:rPr>
          <w:sz w:val="20"/>
          <w:szCs w:val="20"/>
          <w:color w:val="auto"/>
        </w:rPr>
      </w:pPr>
    </w:p>
    <w:p>
      <w:pPr>
        <w:jc w:val="center"/>
        <w:ind w:left="6180"/>
        <w:spacing w:after="0"/>
        <w:rPr>
          <w:sz w:val="20"/>
          <w:szCs w:val="20"/>
          <w:color w:val="auto"/>
        </w:rPr>
      </w:pPr>
      <w:r>
        <w:rPr>
          <w:rFonts w:ascii="Times New Roman" w:cs="Times New Roman" w:eastAsia="Times New Roman" w:hAnsi="Times New Roman"/>
          <w:sz w:val="18"/>
          <w:szCs w:val="18"/>
          <w:b w:val="1"/>
          <w:bCs w:val="1"/>
          <w:color w:val="auto"/>
        </w:rPr>
        <w:t>Chairman, President and Chief Executive Officer</w:t>
      </w:r>
    </w:p>
    <w:p>
      <w:pPr>
        <w:spacing w:after="0" w:line="337" w:lineRule="exact"/>
        <w:rPr>
          <w:sz w:val="20"/>
          <w:szCs w:val="20"/>
          <w:color w:val="auto"/>
        </w:rPr>
      </w:pPr>
    </w:p>
    <w:p>
      <w:pPr>
        <w:ind w:left="40"/>
        <w:spacing w:after="0"/>
        <w:tabs>
          <w:tab w:leader="none" w:pos="7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October 30, 2019</w:t>
      </w:r>
    </w:p>
    <w:p>
      <w:pPr>
        <w:spacing w:after="0" w:line="333" w:lineRule="exact"/>
        <w:rPr>
          <w:sz w:val="20"/>
          <w:szCs w:val="20"/>
          <w:color w:val="auto"/>
        </w:rPr>
      </w:pPr>
    </w:p>
    <w:p>
      <w:pPr>
        <w:ind w:left="5900"/>
        <w:spacing w:after="0"/>
        <w:tabs>
          <w:tab w:leader="none" w:pos="77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MICHAEL L. BATTLES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34290</wp:posOffset>
            </wp:positionV>
            <wp:extent cx="33274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3" w:lineRule="exact"/>
        <w:rPr>
          <w:sz w:val="20"/>
          <w:szCs w:val="20"/>
          <w:color w:val="auto"/>
        </w:rPr>
      </w:pPr>
    </w:p>
    <w:p>
      <w:pPr>
        <w:jc w:val="center"/>
        <w:ind w:left="6180"/>
        <w:spacing w:after="0"/>
        <w:rPr>
          <w:sz w:val="20"/>
          <w:szCs w:val="20"/>
          <w:color w:val="auto"/>
        </w:rPr>
      </w:pPr>
      <w:r>
        <w:rPr>
          <w:rFonts w:ascii="Times New Roman" w:cs="Times New Roman" w:eastAsia="Times New Roman" w:hAnsi="Times New Roman"/>
          <w:sz w:val="18"/>
          <w:szCs w:val="18"/>
          <w:b w:val="1"/>
          <w:bCs w:val="1"/>
          <w:color w:val="auto"/>
        </w:rPr>
        <w:t>Michael L. Battles</w:t>
      </w:r>
    </w:p>
    <w:p>
      <w:pPr>
        <w:spacing w:after="0" w:line="63" w:lineRule="exact"/>
        <w:rPr>
          <w:sz w:val="20"/>
          <w:szCs w:val="20"/>
          <w:color w:val="auto"/>
        </w:rPr>
      </w:pPr>
    </w:p>
    <w:p>
      <w:pPr>
        <w:jc w:val="center"/>
        <w:ind w:left="6180"/>
        <w:spacing w:after="0"/>
        <w:rPr>
          <w:sz w:val="20"/>
          <w:szCs w:val="20"/>
          <w:color w:val="auto"/>
        </w:rPr>
      </w:pPr>
      <w:r>
        <w:rPr>
          <w:rFonts w:ascii="Times New Roman" w:cs="Times New Roman" w:eastAsia="Times New Roman" w:hAnsi="Times New Roman"/>
          <w:sz w:val="18"/>
          <w:szCs w:val="18"/>
          <w:b w:val="1"/>
          <w:bCs w:val="1"/>
          <w:color w:val="auto"/>
        </w:rPr>
        <w:t>Executive Vice President and Chief Financial Officer</w:t>
      </w:r>
    </w:p>
    <w:p>
      <w:pPr>
        <w:spacing w:after="0" w:line="337" w:lineRule="exact"/>
        <w:rPr>
          <w:sz w:val="20"/>
          <w:szCs w:val="20"/>
          <w:color w:val="auto"/>
        </w:rPr>
      </w:pPr>
    </w:p>
    <w:p>
      <w:pPr>
        <w:ind w:left="40"/>
        <w:spacing w:after="0"/>
        <w:tabs>
          <w:tab w:leader="none" w:pos="7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October 30, 2019</w:t>
      </w:r>
    </w:p>
    <w:p>
      <w:pPr>
        <w:spacing w:after="0" w:line="200" w:lineRule="exact"/>
        <w:rPr>
          <w:sz w:val="20"/>
          <w:szCs w:val="20"/>
          <w:color w:val="auto"/>
        </w:rPr>
      </w:pPr>
    </w:p>
    <w:p>
      <w:pPr>
        <w:spacing w:after="0" w:line="295"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0940"/>
          </w:cols>
          <w:pgMar w:left="240" w:top="121" w:right="71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Alan S. McKim, certify that:</w:t>
      </w:r>
    </w:p>
    <w:p>
      <w:pPr>
        <w:spacing w:after="0" w:line="225" w:lineRule="exact"/>
        <w:rPr>
          <w:sz w:val="20"/>
          <w:szCs w:val="20"/>
          <w:color w:val="auto"/>
        </w:rPr>
      </w:pPr>
    </w:p>
    <w:p>
      <w:pPr>
        <w:ind w:left="200" w:hanging="192"/>
        <w:spacing w:after="0"/>
        <w:tabs>
          <w:tab w:leader="none" w:pos="2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Clean Harbors, Inc.;</w:t>
      </w:r>
    </w:p>
    <w:p>
      <w:pPr>
        <w:spacing w:after="0" w:line="265" w:lineRule="exact"/>
        <w:rPr>
          <w:rFonts w:ascii="Times New Roman" w:cs="Times New Roman" w:eastAsia="Times New Roman" w:hAnsi="Times New Roman"/>
          <w:sz w:val="18"/>
          <w:szCs w:val="18"/>
          <w:color w:val="auto"/>
        </w:rPr>
      </w:pPr>
    </w:p>
    <w:p>
      <w:pPr>
        <w:ind w:right="440" w:firstLine="8"/>
        <w:spacing w:after="0" w:line="329" w:lineRule="auto"/>
        <w:tabs>
          <w:tab w:leader="none" w:pos="189"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right="40" w:firstLine="8"/>
        <w:spacing w:after="0" w:line="329" w:lineRule="auto"/>
        <w:tabs>
          <w:tab w:leader="none" w:pos="189"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ind w:left="200" w:hanging="192"/>
        <w:spacing w:after="0"/>
        <w:tabs>
          <w:tab w:leader="none" w:pos="2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w:t>
      </w:r>
    </w:p>
    <w:p>
      <w:pPr>
        <w:spacing w:after="0" w:line="6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Act Rules 13a-15(e) and 15d-15(e)) and internal control over financial reporting (as defined in Exchange Act Rules 13a-15(f) and 15d-15(f)) for the registrant and have: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Designed such disclosure controls and procedures, or caused such disclosure controls and procedures to be designed under our supervision, to ensure that</w:t>
      </w:r>
    </w:p>
    <w:p>
      <w:pPr>
        <w:spacing w:after="0" w:line="50"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material information relating to the registrant, including its consolidated subsidiaries, is made known to us by others within those entities, particularly during the period in which this report is being prepared;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 Designed such internal control over financial reporting, or caused such internal control over financial reporting to be designed under our supervision, to</w:t>
      </w:r>
    </w:p>
    <w:p>
      <w:pPr>
        <w:spacing w:after="0" w:line="50"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provide reasonable assurance regarding the reliability of financial reporting and the preparation of financial statements for external purposes in accordance with generally accepted accounting principles;</w:t>
      </w:r>
    </w:p>
    <w:p>
      <w:pPr>
        <w:spacing w:after="0" w:line="162" w:lineRule="exact"/>
        <w:rPr>
          <w:sz w:val="20"/>
          <w:szCs w:val="20"/>
          <w:color w:val="auto"/>
        </w:rPr>
      </w:pPr>
    </w:p>
    <w:p>
      <w:pPr>
        <w:ind w:right="20" w:firstLine="8"/>
        <w:spacing w:after="0" w:line="329" w:lineRule="auto"/>
        <w:tabs>
          <w:tab w:leader="none" w:pos="25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1"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w:t>
      </w:r>
    </w:p>
    <w:p>
      <w:pPr>
        <w:spacing w:after="0" w:line="50"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quarter (the registrant’s fourth fiscal quarter in the case of an annual report) that has materially affected, or is reasonably likely to materially affect, the registrant’s internal control over financial reporting; and</w:t>
      </w:r>
    </w:p>
    <w:p>
      <w:pPr>
        <w:spacing w:after="0" w:line="162" w:lineRule="exact"/>
        <w:rPr>
          <w:sz w:val="20"/>
          <w:szCs w:val="20"/>
          <w:color w:val="auto"/>
        </w:rPr>
      </w:pPr>
    </w:p>
    <w:p>
      <w:pPr>
        <w:ind w:right="460" w:firstLine="8"/>
        <w:spacing w:after="0" w:line="329" w:lineRule="auto"/>
        <w:tabs>
          <w:tab w:leader="none" w:pos="189"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sz w:val="20"/>
          <w:szCs w:val="20"/>
          <w:color w:val="auto"/>
        </w:rPr>
      </w:pPr>
    </w:p>
    <w:p>
      <w:pPr>
        <w:ind w:right="200" w:firstLine="8"/>
        <w:spacing w:after="0" w:line="329" w:lineRule="auto"/>
        <w:tabs>
          <w:tab w:leader="none" w:pos="25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right="440" w:firstLine="8"/>
        <w:spacing w:after="0" w:line="329" w:lineRule="auto"/>
        <w:tabs>
          <w:tab w:leader="none" w:pos="26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83"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color w:val="auto"/>
        </w:rPr>
        <w:t>/s/ Alan S. McKim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34290</wp:posOffset>
            </wp:positionV>
            <wp:extent cx="36188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3"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b w:val="1"/>
          <w:bCs w:val="1"/>
          <w:color w:val="auto"/>
        </w:rPr>
        <w:t>Alan S. McKim</w:t>
      </w:r>
    </w:p>
    <w:p>
      <w:pPr>
        <w:spacing w:after="0" w:line="63"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b w:val="1"/>
          <w:bCs w:val="1"/>
          <w:i w:val="1"/>
          <w:iCs w:val="1"/>
          <w:color w:val="auto"/>
        </w:rPr>
        <w:t>Chairman, President and Chief Executive Officer</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30, 2019</w:t>
      </w:r>
    </w:p>
    <w:p>
      <w:pPr>
        <w:sectPr>
          <w:pgSz w:w="11900" w:h="16838" w:orient="portrait"/>
          <w:cols w:equalWidth="0" w:num="1">
            <w:col w:w="11420"/>
          </w:cols>
          <w:pgMar w:left="240" w:top="576" w:right="2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L. Battles, certify that:</w:t>
      </w:r>
    </w:p>
    <w:p>
      <w:pPr>
        <w:spacing w:after="0" w:line="225" w:lineRule="exact"/>
        <w:rPr>
          <w:sz w:val="20"/>
          <w:szCs w:val="20"/>
          <w:color w:val="auto"/>
        </w:rPr>
      </w:pPr>
    </w:p>
    <w:p>
      <w:pPr>
        <w:ind w:left="200" w:hanging="192"/>
        <w:spacing w:after="0"/>
        <w:tabs>
          <w:tab w:leader="none" w:pos="2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Clean Harbors, Inc.;</w:t>
      </w:r>
    </w:p>
    <w:p>
      <w:pPr>
        <w:spacing w:after="0" w:line="265" w:lineRule="exact"/>
        <w:rPr>
          <w:rFonts w:ascii="Times New Roman" w:cs="Times New Roman" w:eastAsia="Times New Roman" w:hAnsi="Times New Roman"/>
          <w:sz w:val="18"/>
          <w:szCs w:val="18"/>
          <w:color w:val="auto"/>
        </w:rPr>
      </w:pPr>
    </w:p>
    <w:p>
      <w:pPr>
        <w:ind w:right="440" w:firstLine="8"/>
        <w:spacing w:after="0" w:line="329" w:lineRule="auto"/>
        <w:tabs>
          <w:tab w:leader="none" w:pos="189"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right="40" w:firstLine="8"/>
        <w:spacing w:after="0" w:line="329" w:lineRule="auto"/>
        <w:tabs>
          <w:tab w:leader="none" w:pos="189"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ind w:left="200" w:hanging="192"/>
        <w:spacing w:after="0"/>
        <w:tabs>
          <w:tab w:leader="none" w:pos="20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w:t>
      </w:r>
    </w:p>
    <w:p>
      <w:pPr>
        <w:spacing w:after="0" w:line="6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Act Rules 13a-15(e) and 15d-15(e)) and internal control over financial reporting (as defined in Exchange Act Rules 13a-15(f) and 15d-15(f)) for the registrant and have: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Designed such disclosure controls and procedures, or caused such disclosure controls and procedures to be designed under our supervision, to ensure that</w:t>
      </w:r>
    </w:p>
    <w:p>
      <w:pPr>
        <w:spacing w:after="0" w:line="50"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material information relating to the registrant, including its consolidated subsidiaries, is made known to us by others within those entities, particularly during the period in which this report is being prepared;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 Designed such internal control over financial reporting, or caused such internal control over financial reporting to be designed under our supervision, to</w:t>
      </w:r>
    </w:p>
    <w:p>
      <w:pPr>
        <w:spacing w:after="0" w:line="50"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provide reasonable assurance regarding the reliability of financial reporting and the preparation of financial statements for external purposes in accordance with generally accepted accounting principles;</w:t>
      </w:r>
    </w:p>
    <w:p>
      <w:pPr>
        <w:spacing w:after="0" w:line="162" w:lineRule="exact"/>
        <w:rPr>
          <w:sz w:val="20"/>
          <w:szCs w:val="20"/>
          <w:color w:val="auto"/>
        </w:rPr>
      </w:pPr>
    </w:p>
    <w:p>
      <w:pPr>
        <w:ind w:right="20" w:firstLine="8"/>
        <w:spacing w:after="0" w:line="329" w:lineRule="auto"/>
        <w:tabs>
          <w:tab w:leader="none" w:pos="25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1"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w:t>
      </w:r>
    </w:p>
    <w:p>
      <w:pPr>
        <w:spacing w:after="0" w:line="50"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quarter (the registrant’s fourth fiscal quarter in the case of an annual report) that has materially affected, or is reasonably likely to materially affect, the registrant’s internal control over financial reporting; and</w:t>
      </w:r>
    </w:p>
    <w:p>
      <w:pPr>
        <w:spacing w:after="0" w:line="162" w:lineRule="exact"/>
        <w:rPr>
          <w:sz w:val="20"/>
          <w:szCs w:val="20"/>
          <w:color w:val="auto"/>
        </w:rPr>
      </w:pPr>
    </w:p>
    <w:p>
      <w:pPr>
        <w:ind w:right="460" w:firstLine="8"/>
        <w:spacing w:after="0" w:line="329" w:lineRule="auto"/>
        <w:tabs>
          <w:tab w:leader="none" w:pos="189"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sz w:val="20"/>
          <w:szCs w:val="20"/>
          <w:color w:val="auto"/>
        </w:rPr>
      </w:pPr>
    </w:p>
    <w:p>
      <w:pPr>
        <w:ind w:right="200" w:firstLine="8"/>
        <w:spacing w:after="0" w:line="329" w:lineRule="auto"/>
        <w:tabs>
          <w:tab w:leader="none" w:pos="25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right="440" w:firstLine="8"/>
        <w:spacing w:after="0" w:line="329" w:lineRule="auto"/>
        <w:tabs>
          <w:tab w:leader="none" w:pos="26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83"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color w:val="auto"/>
        </w:rPr>
        <w:t>/s/ Michael L. Battles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34290</wp:posOffset>
            </wp:positionV>
            <wp:extent cx="36188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3"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b w:val="1"/>
          <w:bCs w:val="1"/>
          <w:color w:val="auto"/>
        </w:rPr>
        <w:t>Michael L. Battles</w:t>
      </w:r>
    </w:p>
    <w:p>
      <w:pPr>
        <w:spacing w:after="0" w:line="63"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b w:val="1"/>
          <w:bCs w:val="1"/>
          <w:i w:val="1"/>
          <w:iCs w:val="1"/>
          <w:color w:val="auto"/>
        </w:rPr>
        <w:t>Executive Vice President and Chief Financial Officer</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30, 2019</w:t>
      </w:r>
    </w:p>
    <w:p>
      <w:pPr>
        <w:sectPr>
          <w:pgSz w:w="11900" w:h="16838" w:orient="portrait"/>
          <w:cols w:equalWidth="0" w:num="1">
            <w:col w:w="11420"/>
          </w:cols>
          <w:pgMar w:left="240" w:top="576" w:right="2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CLEAN HARBORS, INC. AND SUBSIDIARIES</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SECTION 1350, CHAPTER 63 OF TITLE 18, UNITED STATES CODE,</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 OXLEY ACT OF 2002</w:t>
      </w:r>
    </w:p>
    <w:p>
      <w:pPr>
        <w:spacing w:after="0" w:line="207"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Pursuant to 18 U.S.C. §1350, each of the undersigned certifies that, to his knowledge, this Quarterly Report on Form 10-Q for the period ended September 30, 2019 fully complies with the requirements of Section 13(a) or 15(d) of the Securities Exchange Act of 1934 and the information contained in this report fairly presents, in all material respects, the financial condition and results of operations of Clean Harbors, Inc.</w:t>
      </w:r>
    </w:p>
    <w:p>
      <w:pPr>
        <w:spacing w:after="0" w:line="338" w:lineRule="exact"/>
        <w:rPr>
          <w:sz w:val="20"/>
          <w:szCs w:val="20"/>
          <w:color w:val="auto"/>
        </w:rPr>
      </w:pPr>
    </w:p>
    <w:p>
      <w:pPr>
        <w:ind w:left="6000"/>
        <w:spacing w:after="0"/>
        <w:tabs>
          <w:tab w:leader="none" w:pos="80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ALAN S. MCKIM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34290</wp:posOffset>
            </wp:positionV>
            <wp:extent cx="32588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3" w:lineRule="exact"/>
        <w:rPr>
          <w:sz w:val="20"/>
          <w:szCs w:val="20"/>
          <w:color w:val="auto"/>
        </w:rPr>
      </w:pPr>
    </w:p>
    <w:p>
      <w:pPr>
        <w:jc w:val="center"/>
        <w:ind w:left="6280"/>
        <w:spacing w:after="0"/>
        <w:rPr>
          <w:sz w:val="20"/>
          <w:szCs w:val="20"/>
          <w:color w:val="auto"/>
        </w:rPr>
      </w:pPr>
      <w:r>
        <w:rPr>
          <w:rFonts w:ascii="Times New Roman" w:cs="Times New Roman" w:eastAsia="Times New Roman" w:hAnsi="Times New Roman"/>
          <w:sz w:val="18"/>
          <w:szCs w:val="18"/>
          <w:b w:val="1"/>
          <w:bCs w:val="1"/>
          <w:color w:val="auto"/>
        </w:rPr>
        <w:t>Alan S. McKim</w:t>
      </w:r>
    </w:p>
    <w:p>
      <w:pPr>
        <w:spacing w:after="0" w:line="63" w:lineRule="exact"/>
        <w:rPr>
          <w:sz w:val="20"/>
          <w:szCs w:val="20"/>
          <w:color w:val="auto"/>
        </w:rPr>
      </w:pPr>
    </w:p>
    <w:p>
      <w:pPr>
        <w:jc w:val="center"/>
        <w:ind w:left="6280"/>
        <w:spacing w:after="0"/>
        <w:rPr>
          <w:sz w:val="20"/>
          <w:szCs w:val="20"/>
          <w:color w:val="auto"/>
        </w:rPr>
      </w:pPr>
      <w:r>
        <w:rPr>
          <w:rFonts w:ascii="Times New Roman" w:cs="Times New Roman" w:eastAsia="Times New Roman" w:hAnsi="Times New Roman"/>
          <w:sz w:val="18"/>
          <w:szCs w:val="18"/>
          <w:b w:val="1"/>
          <w:bCs w:val="1"/>
          <w:color w:val="auto"/>
        </w:rPr>
        <w:t>Chairman, President and Chief Executive Officer</w:t>
      </w:r>
    </w:p>
    <w:p>
      <w:pPr>
        <w:spacing w:after="0" w:line="33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Date: October 30, 2019</w:t>
      </w:r>
    </w:p>
    <w:p>
      <w:pPr>
        <w:spacing w:after="0" w:line="333" w:lineRule="exact"/>
        <w:rPr>
          <w:sz w:val="20"/>
          <w:szCs w:val="20"/>
          <w:color w:val="auto"/>
        </w:rPr>
      </w:pPr>
    </w:p>
    <w:p>
      <w:pPr>
        <w:ind w:left="6000"/>
        <w:spacing w:after="0"/>
        <w:tabs>
          <w:tab w:leader="none" w:pos="77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MICHAEL L. BATTLES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34290</wp:posOffset>
            </wp:positionV>
            <wp:extent cx="32588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3" w:lineRule="exact"/>
        <w:rPr>
          <w:sz w:val="20"/>
          <w:szCs w:val="20"/>
          <w:color w:val="auto"/>
        </w:rPr>
      </w:pPr>
    </w:p>
    <w:p>
      <w:pPr>
        <w:jc w:val="center"/>
        <w:ind w:left="6280"/>
        <w:spacing w:after="0"/>
        <w:rPr>
          <w:sz w:val="20"/>
          <w:szCs w:val="20"/>
          <w:color w:val="auto"/>
        </w:rPr>
      </w:pPr>
      <w:r>
        <w:rPr>
          <w:rFonts w:ascii="Times New Roman" w:cs="Times New Roman" w:eastAsia="Times New Roman" w:hAnsi="Times New Roman"/>
          <w:sz w:val="18"/>
          <w:szCs w:val="18"/>
          <w:b w:val="1"/>
          <w:bCs w:val="1"/>
          <w:color w:val="auto"/>
        </w:rPr>
        <w:t>Michael L. Battles</w:t>
      </w:r>
    </w:p>
    <w:p>
      <w:pPr>
        <w:spacing w:after="0" w:line="60" w:lineRule="exact"/>
        <w:rPr>
          <w:sz w:val="20"/>
          <w:szCs w:val="20"/>
          <w:color w:val="auto"/>
        </w:rPr>
      </w:pPr>
    </w:p>
    <w:p>
      <w:pPr>
        <w:ind w:left="6920"/>
        <w:spacing w:after="0"/>
        <w:rPr>
          <w:sz w:val="20"/>
          <w:szCs w:val="20"/>
          <w:color w:val="auto"/>
        </w:rPr>
      </w:pPr>
      <w:r>
        <w:rPr>
          <w:rFonts w:ascii="Times New Roman" w:cs="Times New Roman" w:eastAsia="Times New Roman" w:hAnsi="Times New Roman"/>
          <w:sz w:val="17"/>
          <w:szCs w:val="17"/>
          <w:b w:val="1"/>
          <w:bCs w:val="1"/>
          <w:color w:val="auto"/>
        </w:rPr>
        <w:t>Executive Vice President and Chief Financial Officer</w:t>
      </w:r>
    </w:p>
    <w:p>
      <w:pPr>
        <w:spacing w:after="0" w:line="35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Date: October 30, 2019</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1)"/>
      <w:numFmt w:val="decimal"/>
      <w:start w:val="3"/>
    </w:lvl>
  </w:abstractNum>
  <w:abstractNum w:abstractNumId="3">
    <w:nsid w:val="216231B"/>
    <w:multiLevelType w:val="hybridMultilevel"/>
    <w:lvl w:ilvl="0">
      <w:lvlJc w:val="left"/>
      <w:lvlText w:val="(%1)"/>
      <w:numFmt w:val="decimal"/>
      <w:start w:val="1"/>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1)"/>
      <w:numFmt w:val="decimal"/>
      <w:start w:val="1"/>
    </w:lvl>
  </w:abstractNum>
  <w:abstractNum w:abstractNumId="6">
    <w:nsid w:val="66EF438D"/>
    <w:multiLevelType w:val="hybridMultilevel"/>
    <w:lvl w:ilvl="0">
      <w:lvlJc w:val="left"/>
      <w:lvlText w:val="(%1)"/>
      <w:numFmt w:val="decimal"/>
      <w:start w:val="1"/>
    </w:lvl>
  </w:abstractNum>
  <w:abstractNum w:abstractNumId="7">
    <w:nsid w:val="140E0F76"/>
    <w:multiLevelType w:val="hybridMultilevel"/>
    <w:lvl w:ilvl="0">
      <w:lvlJc w:val="left"/>
      <w:lvlText w:val="%1"/>
      <w:numFmt w:val="decimal"/>
      <w:start w:val="104"/>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1."/>
      <w:numFmt w:val="decimal"/>
      <w:start w:val="1"/>
    </w:lvl>
  </w:abstractNum>
  <w:abstractNum w:abstractNumId="10">
    <w:nsid w:val="DED7263"/>
    <w:multiLevelType w:val="hybridMultilevel"/>
    <w:lvl w:ilvl="0">
      <w:lvlJc w:val="left"/>
      <w:lvlText w:val="(%1)"/>
      <w:numFmt w:val="lowerLetter"/>
      <w:start w:val="3"/>
    </w:lvl>
  </w:abstractNum>
  <w:abstractNum w:abstractNumId="11">
    <w:nsid w:val="7FDCC233"/>
    <w:multiLevelType w:val="hybridMultilevel"/>
    <w:lvl w:ilvl="0">
      <w:lvlJc w:val="left"/>
      <w:lvlText w:val="%1."/>
      <w:numFmt w:val="decimal"/>
      <w:start w:val="5"/>
    </w:lvl>
  </w:abstractNum>
  <w:abstractNum w:abstractNumId="12">
    <w:nsid w:val="1BEFD79F"/>
    <w:multiLevelType w:val="hybridMultilevel"/>
    <w:lvl w:ilvl="0">
      <w:lvlJc w:val="left"/>
      <w:lvlText w:val="(%1)"/>
      <w:numFmt w:val="lowerLetter"/>
      <w:start w:val="1"/>
    </w:lvl>
  </w:abstractNum>
  <w:abstractNum w:abstractNumId="13">
    <w:nsid w:val="41A7C4C9"/>
    <w:multiLevelType w:val="hybridMultilevel"/>
    <w:lvl w:ilvl="0">
      <w:lvlJc w:val="left"/>
      <w:lvlText w:val="%1."/>
      <w:numFmt w:val="decimal"/>
      <w:start w:val="1"/>
    </w:lvl>
  </w:abstractNum>
  <w:abstractNum w:abstractNumId="14">
    <w:nsid w:val="6B68079A"/>
    <w:multiLevelType w:val="hybridMultilevel"/>
    <w:lvl w:ilvl="0">
      <w:lvlJc w:val="left"/>
      <w:lvlText w:val="(%1)"/>
      <w:numFmt w:val="lowerLetter"/>
      <w:start w:val="3"/>
    </w:lvl>
  </w:abstractNum>
  <w:abstractNum w:abstractNumId="15">
    <w:nsid w:val="4E6AFB66"/>
    <w:multiLevelType w:val="hybridMultilevel"/>
    <w:lvl w:ilvl="0">
      <w:lvlJc w:val="left"/>
      <w:lvlText w:val="%1."/>
      <w:numFmt w:val="decimal"/>
      <w:start w:val="5"/>
    </w:lvl>
  </w:abstractNum>
  <w:abstractNum w:abstractNumId="16">
    <w:nsid w:val="25E45D3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2019-12-28T04:09:24Z</dcterms:created>
  <dcterms:modified xsi:type="dcterms:W3CDTF">2019-12-28T04:09:24Z</dcterms:modified>
</cp:coreProperties>
</file>