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8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200"/>
          </w:cols>
          <w:pgMar w:left="320" w:top="229" w:right="379" w:bottom="1440" w:gutter="0" w:footer="0" w:header="0"/>
        </w:sectPr>
      </w:pPr>
    </w:p>
    <w:p>
      <w:pPr>
        <w:spacing w:after="0" w:line="33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29" w:right="379" w:bottom="1440" w:gutter="0" w:footer="0" w:header="0"/>
          <w:type w:val="continuous"/>
        </w:sectPr>
      </w:pP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229" w:right="379" w:bottom="1440" w:gutter="0" w:footer="0" w:header="0"/>
          <w:type w:val="continuous"/>
        </w:sectPr>
      </w:pPr>
    </w:p>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3220" w:type="dxa"/>
            <w:vAlign w:val="bottom"/>
            <w:gridSpan w:val="2"/>
            <w:vMerge w:val="continue"/>
          </w:tcPr>
          <w:p>
            <w:pPr>
              <w:spacing w:after="0"/>
              <w:rPr>
                <w:sz w:val="20"/>
                <w:szCs w:val="20"/>
                <w:color w:val="auto"/>
              </w:rPr>
            </w:pPr>
          </w:p>
        </w:tc>
        <w:tc>
          <w:tcPr>
            <w:tcW w:w="3240" w:type="dxa"/>
            <w:vAlign w:val="bottom"/>
            <w:gridSpan w:val="2"/>
            <w:vMerge w:val="continue"/>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80" w:firstLine="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1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540" w:space="100"/>
            <w:col w:w="3300" w:space="720"/>
            <w:col w:w="3540"/>
          </w:cols>
          <w:pgMar w:left="320" w:top="229" w:right="379" w:bottom="1440" w:gutter="0" w:footer="0" w:header="0"/>
          <w:type w:val="continuous"/>
        </w:sectPr>
      </w:pPr>
    </w:p>
    <w:p>
      <w:pPr>
        <w:spacing w:after="0" w:line="3" w:lineRule="exact"/>
        <w:rPr>
          <w:sz w:val="24"/>
          <w:szCs w:val="24"/>
          <w:color w:val="auto"/>
        </w:r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right="16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April 26, 2024 was 53,935,124.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630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30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Unaudited Financial Statements</w:t>
            </w:r>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8"/>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444,698</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106,101</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$47,129 and $42,209,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82,939</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2,052,219</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2,330,484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187,060</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602,797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2,137,332</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451,806</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1,037,537</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$14,079 and $13,556,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$15,100 and $13,358, respectively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97,885</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131,743</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353,107</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3,610,963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3,097,826</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15)</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53,926,191 and 53,929,703 shares,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459,728</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1,962,578</w:t>
            </w: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6,939,823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7"/>
                <w:szCs w:val="17"/>
                <w:color w:val="auto"/>
              </w:rPr>
            </w:pPr>
          </w:p>
        </w:tc>
      </w:tr>
      <w:tr>
        <w:trPr>
          <w:trHeight w:val="23"/>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1,053,233</w:t>
            </w:r>
          </w:p>
        </w:tc>
      </w:tr>
      <w:tr>
        <w:trPr>
          <w:trHeight w:val="230"/>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254,154</w:t>
            </w:r>
          </w:p>
        </w:tc>
      </w:tr>
      <w:tr>
        <w:trPr>
          <w:trHeight w:val="223"/>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1,307,387</w:t>
            </w:r>
          </w:p>
        </w:tc>
      </w:tr>
      <w:tr>
        <w:trPr>
          <w:trHeight w:val="21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751,595</w:t>
            </w:r>
          </w:p>
        </w:tc>
      </w:tr>
      <w:tr>
        <w:trPr>
          <w:trHeight w:val="229"/>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179,919</w:t>
            </w:r>
          </w:p>
        </w:tc>
      </w:tr>
      <w:tr>
        <w:trPr>
          <w:trHeight w:val="223"/>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931,514</w:t>
            </w:r>
          </w:p>
        </w:tc>
      </w:tr>
      <w:tr>
        <w:trPr>
          <w:trHeight w:val="223"/>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166,753</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84,758</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120,955</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 of $3,514 and $2,955,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72,401</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868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9"/>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53,930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54,076</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7"/>
                <w:szCs w:val="17"/>
                <w:color w:val="auto"/>
              </w:rPr>
            </w:pPr>
          </w:p>
        </w:tc>
      </w:tr>
      <w:tr>
        <w:trPr>
          <w:trHeight w:val="23"/>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72,401</w:t>
            </w: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fair value of interest rate hedges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29"/>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29"/>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settlement of interest rate hedges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r>
      <w:tr>
        <w:trPr>
          <w:trHeight w:val="23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58,055</w:t>
            </w: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0" w:type="dxa"/>
            <w:vAlign w:val="bottom"/>
          </w:tcPr>
          <w:p>
            <w:pPr>
              <w:spacing w:after="0"/>
              <w:rPr>
                <w:sz w:val="1"/>
                <w:szCs w:val="1"/>
                <w:color w:val="auto"/>
              </w:rPr>
            </w:pPr>
          </w:p>
        </w:tc>
      </w:tr>
      <w:tr>
        <w:trPr>
          <w:trHeight w:val="213"/>
        </w:trPr>
        <w:tc>
          <w:tcPr>
            <w:tcW w:w="8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(17,328)</w:t>
            </w:r>
          </w:p>
        </w:tc>
        <w:tc>
          <w:tcPr>
            <w:tcW w:w="0" w:type="dxa"/>
            <w:vAlign w:val="bottom"/>
          </w:tcPr>
          <w:p>
            <w:pPr>
              <w:spacing w:after="0"/>
              <w:rPr>
                <w:sz w:val="1"/>
                <w:szCs w:val="1"/>
                <w:color w:val="auto"/>
              </w:rPr>
            </w:pPr>
          </w:p>
        </w:tc>
      </w:tr>
      <w:tr>
        <w:trPr>
          <w:trHeight w:val="213"/>
        </w:trPr>
        <w:tc>
          <w:tcPr>
            <w:tcW w:w="8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(94,145)</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28,008</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(108,533)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 net of transaction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(609,873)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(197,934)</w:t>
            </w:r>
          </w:p>
        </w:tc>
        <w:tc>
          <w:tcPr>
            <w:tcW w:w="0" w:type="dxa"/>
            <w:vAlign w:val="bottom"/>
          </w:tcPr>
          <w:p>
            <w:pPr>
              <w:spacing w:after="0"/>
              <w:rPr>
                <w:sz w:val="1"/>
                <w:szCs w:val="1"/>
                <w:color w:val="auto"/>
              </w:rPr>
            </w:pPr>
          </w:p>
        </w:tc>
      </w:tr>
      <w:tr>
        <w:trPr>
          <w:trHeight w:val="19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(616,475)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0" w:type="dxa"/>
            <w:vAlign w:val="bottom"/>
          </w:tcPr>
          <w:p>
            <w:pPr>
              <w:spacing w:after="0"/>
              <w:rPr>
                <w:sz w:val="1"/>
                <w:szCs w:val="1"/>
                <w:color w:val="auto"/>
              </w:rPr>
            </w:pPr>
          </w:p>
        </w:tc>
      </w:tr>
      <w:tr>
        <w:trPr>
          <w:trHeight w:val="212"/>
        </w:trPr>
        <w:tc>
          <w:tcPr>
            <w:tcW w:w="81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(18,445)</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(188,296)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492,603</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37,141</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27,533</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997"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0" w:type="dxa"/>
            <w:vAlign w:val="bottom"/>
            <w:vMerge w:val="restart"/>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8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3740" w:type="dxa"/>
            <w:vAlign w:val="bottom"/>
          </w:tcPr>
          <w:p>
            <w:pPr>
              <w:spacing w:after="0"/>
              <w:rPr>
                <w:sz w:val="24"/>
                <w:szCs w:val="24"/>
                <w:color w:val="auto"/>
              </w:rPr>
            </w:pPr>
          </w:p>
        </w:tc>
        <w:tc>
          <w:tcPr>
            <w:tcW w:w="2000" w:type="dxa"/>
            <w:vAlign w:val="bottom"/>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line="20" w:lineRule="exact"/>
              <w:rPr>
                <w:sz w:val="1"/>
                <w:szCs w:val="1"/>
                <w:color w:val="auto"/>
              </w:rPr>
            </w:pPr>
          </w:p>
        </w:tc>
        <w:tc>
          <w:tcPr>
            <w:tcW w:w="800" w:type="dxa"/>
            <w:vAlign w:val="bottom"/>
            <w:vMerge w:val="restart"/>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800" w:type="dxa"/>
            <w:vAlign w:val="bottom"/>
          </w:tcPr>
          <w:p>
            <w:pPr>
              <w:jc w:val="center"/>
              <w:ind w:left="242"/>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301"/>
              <w:spacing w:after="0" w:line="146"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8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1,980,044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2023.</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w:t>
      </w:r>
      <w:r>
        <w:rPr>
          <w:rFonts w:ascii="Times New Roman" w:cs="Times New Roman" w:eastAsia="Times New Roman" w:hAnsi="Times New Roman"/>
          <w:sz w:val="18"/>
          <w:szCs w:val="18"/>
          <w:i w:val="1"/>
          <w:iCs w:val="1"/>
          <w:color w:val="auto"/>
        </w:rPr>
        <w:t>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an enhanced disclosure of significant segment expenses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the impact of adopting this new pronouncement on its consolidated financial statements and disclosures.</w:t>
      </w:r>
    </w:p>
    <w:p>
      <w:pPr>
        <w:spacing w:after="0" w:line="20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Company is currently evaluating the impact of adopting this new pronouncement on its consolidated financial statements and disclosures.</w:t>
      </w:r>
    </w:p>
    <w:p>
      <w:pPr>
        <w:spacing w:after="0" w:line="20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SEC adopted the final rule under SEC Release No. 33-11275,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The rules require disclosure of, among other things: material climate-related risks; activities to mitigate or adapt to such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and management of such risks; and material Scope 1 and Scope 2 greenhouse gas emissions. Additionally, the rules require disclosure in the notes to the financial statements of the effects of severe weather events and other natural conditions, subject to certain materiality thresholds. The rules will become effective on a phased-in timeline beginning the year ended December 31, 2025. The Company is currently evaluating the final rule to determine its impact on the Company’s consolidated financial statements and disclosures.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11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w:t>
      </w:r>
    </w:p>
    <w:p>
      <w:pPr>
        <w:spacing w:after="0" w:line="11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1,053,458</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193,912</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1,161,279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215,314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1,376,695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407,491</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162,293</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215,314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1,376,695</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958,584</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221,771</w:t>
            </w:r>
          </w:p>
        </w:tc>
        <w:tc>
          <w:tcPr>
            <w:tcW w:w="20" w:type="dxa"/>
            <w:vAlign w:val="bottom"/>
          </w:tcPr>
          <w:p>
            <w:pPr>
              <w:spacing w:after="0"/>
              <w:rPr>
                <w:sz w:val="19"/>
                <w:szCs w:val="19"/>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1,060,982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246,298</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1,307,387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366,509</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196,739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246,298</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1,307,387</w:t>
            </w:r>
          </w:p>
        </w:tc>
        <w:tc>
          <w:tcPr>
            <w:tcW w:w="0" w:type="dxa"/>
            <w:vAlign w:val="bottom"/>
          </w:tcPr>
          <w:p>
            <w:pPr>
              <w:spacing w:after="0"/>
              <w:rPr>
                <w:sz w:val="1"/>
                <w:szCs w:val="1"/>
                <w:color w:val="auto"/>
              </w:rPr>
            </w:pPr>
          </w:p>
        </w:tc>
      </w:tr>
      <w:tr>
        <w:trPr>
          <w:trHeight w:val="439"/>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1,039,763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sheet on a contract-by-contract basis at the end of each reporting period. The contract liability balances at the beginning of each period presented are generally fully recognized in the subsequent three-month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March 22, 2024, the Company completed its acquisition of Hepaco Blocker, Inc. and its subsidiaries (collectively, “HEPACO”) for an all-cash purchase price of $395.4 million, net of cash acquired and subject to final settlement of working capital balances. The operations of HEPACO expand the Environmental Services segment’s field services business.</w:t>
      </w:r>
    </w:p>
    <w:p>
      <w:pPr>
        <w:spacing w:after="0" w:line="10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22,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6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6"/>
          <w:szCs w:val="16"/>
          <w:b w:val="1"/>
          <w:bCs w:val="1"/>
          <w:color w:val="auto"/>
        </w:rPr>
        <w:t>At 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and supplies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123" w:hanging="1123"/>
        <w:spacing w:after="0"/>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68,496</w:t>
      </w:r>
    </w:p>
    <w:p>
      <w:pPr>
        <w:spacing w:after="0" w:line="49"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1,574</w:t>
      </w:r>
    </w:p>
    <w:p>
      <w:pPr>
        <w:spacing w:after="0" w:line="49"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5,221</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45,453</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130,000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9,385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2,660</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(43,966)</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(2,758)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(6,627)</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(8,916)</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(374)</w:t>
      </w:r>
    </w:p>
    <w:p>
      <w:pPr>
        <w:spacing w:after="0" w:line="25" w:lineRule="exact"/>
        <w:rPr>
          <w:sz w:val="20"/>
          <w:szCs w:val="20"/>
          <w:color w:val="auto"/>
        </w:rPr>
      </w:pPr>
    </w:p>
    <w:p>
      <w:pPr>
        <w:sectPr>
          <w:pgSz w:w="11900" w:h="16838" w:orient="portrait"/>
          <w:cols w:equalWidth="0" w:num="2">
            <w:col w:w="8837" w:space="720"/>
            <w:col w:w="168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9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5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200,148</w:t>
            </w:r>
          </w:p>
        </w:tc>
      </w:tr>
      <w:tr>
        <w:trPr>
          <w:trHeight w:val="256"/>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195,265</w:t>
            </w:r>
          </w:p>
        </w:tc>
      </w:tr>
      <w:tr>
        <w:trPr>
          <w:trHeight w:val="275"/>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395,413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10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not deductible for tax purposes.</w:t>
      </w:r>
    </w:p>
    <w:p>
      <w:pPr>
        <w:spacing w:after="0" w:line="116"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The operations included in the Company’s financial statements for the period ended March 31, 2024, and pro forma revenue and earnings amounts on a combined basis as if this acquisition had been completed on January 1, 2023 are immaterial to the consolidated financial statements of the Company.</w:t>
      </w:r>
    </w:p>
    <w:p>
      <w:pPr>
        <w:spacing w:after="0" w:line="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1, 2024, the Company acquired a privately-owned business for an all-cash purchase price of $68.9 million, net of cash acquired and subject to the final settlement of working capital balances. The acquired company expands the SKSS segment’s oil collection operations in the southeastern region of the United States while also adding incremental production from the re-refinery owned and operated by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1,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2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At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and supplies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203" w:hanging="1203"/>
        <w:spacing w:after="0"/>
        <w:tabs>
          <w:tab w:leader="none" w:pos="12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5,693</w:t>
      </w:r>
    </w:p>
    <w:p>
      <w:pPr>
        <w:spacing w:after="0" w:line="49"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6,817</w:t>
      </w:r>
    </w:p>
    <w:p>
      <w:pPr>
        <w:spacing w:after="0" w:line="49" w:lineRule="exact"/>
        <w:rPr>
          <w:rFonts w:ascii="Times New Roman" w:cs="Times New Roman" w:eastAsia="Times New Roman" w:hAnsi="Times New Roman"/>
          <w:sz w:val="18"/>
          <w:szCs w:val="18"/>
          <w:color w:val="auto"/>
        </w:rPr>
      </w:pPr>
    </w:p>
    <w:p>
      <w:pPr>
        <w:ind w:left="1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38,914</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20,200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3,615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(8,990)</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(1,823)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(1,792)</w:t>
      </w:r>
    </w:p>
    <w:p>
      <w:pPr>
        <w:spacing w:after="0" w:line="25" w:lineRule="exact"/>
        <w:rPr>
          <w:sz w:val="20"/>
          <w:szCs w:val="20"/>
          <w:color w:val="auto"/>
        </w:rPr>
      </w:pPr>
    </w:p>
    <w:p>
      <w:pPr>
        <w:sectPr>
          <w:pgSz w:w="11900" w:h="16838" w:orient="portrait"/>
          <w:cols w:equalWidth="0" w:num="2">
            <w:col w:w="8837" w:space="720"/>
            <w:col w:w="168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9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6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63,149</w:t>
            </w:r>
          </w:p>
        </w:tc>
      </w:tr>
      <w:tr>
        <w:trPr>
          <w:trHeight w:val="257"/>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75"/>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7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and assembled workforce that the Company expects to realize from the acquisition. Goodwill generated from the acquisition is deductible for tax purposes.</w:t>
      </w:r>
    </w:p>
    <w:p>
      <w:pPr>
        <w:spacing w:after="0" w:line="116"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The operations included in the Company’s financial statements for the period ended March 31, 2024, and pro forma revenue and earnings amounts on a combined basis as if this acquisition had been completed on January 1, 2023 are immaterial to the consolidated financial statements of the Company.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March 31, 2023, the Company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The allocation of the purchase price was based on estimates of the fair value and assets acquired and liabilities assumed as of March 31, 2023. The following table summarizes the final determination and recognition of assets acquired and liabilities assumed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Final Allocation At</w:t>
            </w:r>
          </w:p>
        </w:tc>
      </w:tr>
      <w:tr>
        <w:trPr>
          <w:trHeight w:val="189"/>
        </w:trPr>
        <w:tc>
          <w:tcPr>
            <w:tcW w:w="5440" w:type="dxa"/>
            <w:vAlign w:val="bottom"/>
          </w:tcPr>
          <w:p>
            <w:pPr>
              <w:spacing w:after="0"/>
              <w:rPr>
                <w:sz w:val="16"/>
                <w:szCs w:val="16"/>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2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 Date As Reported</w:t>
            </w:r>
          </w:p>
        </w:tc>
      </w:tr>
      <w:tr>
        <w:trPr>
          <w:trHeight w:val="212"/>
        </w:trPr>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18"/>
                <w:szCs w:val="18"/>
                <w:color w:val="auto"/>
              </w:rPr>
            </w:pPr>
          </w:p>
        </w:tc>
        <w:tc>
          <w:tcPr>
            <w:tcW w:w="192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r>
      <w:tr>
        <w:trPr>
          <w:trHeight w:val="33"/>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71,291</w:t>
            </w:r>
          </w:p>
        </w:tc>
      </w:tr>
      <w:tr>
        <w:trPr>
          <w:trHeight w:val="22"/>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w:t>
            </w: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r>
      <w:tr>
        <w:trPr>
          <w:trHeight w:val="21"/>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customer relationships, trademarks/tradenames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630,525</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1,276,567</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213,601</w:t>
            </w:r>
          </w:p>
        </w:tc>
      </w:tr>
      <w:tr>
        <w:trPr>
          <w:trHeight w:val="223"/>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4,964,301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2,774,191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2,770,983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2,330,484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1"/>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in both periods.</w:t>
      </w:r>
    </w:p>
    <w:p>
      <w:pPr>
        <w:spacing w:after="0" w:line="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$175.0 million and $151.7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$9.2 million in both periods.</w:t>
      </w:r>
    </w:p>
    <w:p>
      <w:pPr>
        <w:spacing w:after="0" w:line="12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$82.2 million and $72.0 million for the three months ended March 31, 2024 and March 31, 2023, respectively. The Company recorded $2.5 million and $1.2 million of capitalized interest during the three months ended March 31, 2024 and March 31, 2023, respectively, mainly attributable to the construction of a new incinerator in Kimball, Nebraska.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three months ended March 31, 2024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201,009</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1,487,821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March 31, 2024, no such triggering events were identified.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December 31, 2023, the Company’s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3"/>
                <w:szCs w:val="13"/>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482,512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1,163,211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$12.9 million and $12.7 million in the three months ended March 31, 2024 and March 31,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March 31, 2024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(nine months)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45,383</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43,304</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403,754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619,905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349,435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2024 through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there were no significant benefits or charges resulting from changes in estimates for closure and post-closure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2024 through March 31, 2024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there were no significant benefits or charges resulting from changes in estimates for remedial liabilities.</w:t>
      </w:r>
    </w:p>
    <w:p>
      <w:pPr>
        <w:spacing w:after="0" w:line="185" w:lineRule="exact"/>
        <w:rPr>
          <w:sz w:val="20"/>
          <w:szCs w:val="20"/>
          <w:color w:val="auto"/>
        </w:rPr>
      </w:pPr>
    </w:p>
    <w:p>
      <w:pPr>
        <w:ind w:right="8260" w:firstLine="8"/>
        <w:spacing w:after="0" w:line="417" w:lineRule="auto"/>
        <w:tabs>
          <w:tab w:leader="none" w:pos="3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7"/>
                <w:szCs w:val="17"/>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2,806,122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2,778,624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4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financing arrangements are described in Note 12, “Financing Arrangements,” in the Company’s Annual Report on Form 10-K for the year ended December 31, 2023 and, other than as noted below, there have been no material changes to the arrangements described therein.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22, 2024, the Company and substantially all of the Company’s domestic subsidiaries entered into Incremental Facility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the Company’s existing Credit Agreement, dated as of June 30, 2017 (“Term Loan Agreement”). Incremental Facility Amendment No. 5 provided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term loans (the “2024 Incremental Term Loans”) under the Term Loan Agreement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Proceeds from the issuance of the 2024 Incremental Term Loans were $494.7 million after debt discount and debt issuance costs, and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to fund the acquisition of HEPACO, with the excess increasing the Company’s cash balances. The 2024 Incremental Term Loans are in addition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$980.0 million of term loans (the “Existing Term Loans”) which were outstanding prior to the issuance of the 2024 Incremental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2024 Incremental Term Loans and the Existing Term Loans (collectively referred to as the “2028 Term Loans”) will mature on October 8, 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prepaid at any time without premium or penalty other than customary breakage costs or if the Company engages in certain repricing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before September 22, 2024, in which event a 1.0% prepayment premium would be due. The Company’s obligations under the 2028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are guaranteed by substantially all of the Company’s domestic restricted subsidiaries and secured by liens on substantially all of the assets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guarantors.</w:t>
      </w:r>
    </w:p>
    <w:p>
      <w:pPr>
        <w:spacing w:after="0" w:line="1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2028 Term Loans bear interest, at the Company’s election, at either of the following rates per annum: (a) the sum of Term SOFR (as defined in the Term Loan Agreement) plus a SOFR Adjustment (as defined in the Term Loan Agreement) ranging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0.11448% to 0.42826% (depending on the duration of the loan) plus 1.75%, or (b) the sum of the Base Rate (as defined in the Term Loan Agreement) plus 0.75%, with Term SOFR being subject to a floor of 0.00% and the Base Rate being subject to a floor of 1.00%. Interest on the 2028 Term Loans is paid monthly with interest payments on the 2024 Incremental Term Loan portion commencing in April 2024.</w:t>
      </w:r>
    </w:p>
    <w:p>
      <w:pPr>
        <w:spacing w:after="0" w:line="10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$400.0 million revolving credit facility under which the Company had no outstanding loan balance as of March 31, 2024 and December 31, 2023. As of March 31, 2024, the Company had $268.0 million available to borrow under the revolving credit facility and outstanding letters of credit were $132.0 million. Subject to certain conditions, this credit facility will expire in October 2025.</w:t>
      </w:r>
    </w:p>
    <w:p>
      <w:pPr>
        <w:spacing w:after="0" w:line="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estimated fair value of the Company’s outstanding long-term debt, including the current portion, was $2.8 billion and $2.3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1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after taking into account the interest rate swaps discussed under the “Cash Flow Hedges” header below, the Company’s variable rate debt consisted of $876.2 million of the 2028 Term Loans. The Company’s interest rate on this variable rate debt as of March 31, 2024 was 7.19%.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5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with a notional amount of $600.0 million (“2022 Swaps”) to effectively fix the interest rate on $600.0 million principal of the outstanding Existing Term Loans. The fixed rate on these instruments is 1.9645% and the variable rate is linked to the Term SOFR to mirror the variable interest payments for the Existing Term Loans. Including the 1.75% interest rate margin and the 0.11448% SOFR adjustment for the Existing Term Loans, the effective annual interest rate of this $600.0 million is approximately 3.83%. Prior to the phase-out of LIBOR as a referenced rate on June 30, 2023, the fixed rate was 0.931% and the variable rate was linked to LIBOR, again to mirror the LIBOR linked variable interest payments for the Existing Term Loans. With the then 2.00% interest rate margin for the Existing Term Loans, the effective annual interest rate of the $600.0 million was 2.931% through June 30, 2023. The 2022 Swaps will expire on September 30, 2027.</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the inception of these instruments, the Company designated the 2022 Swaps as cash flow hedges. As of March 31, 2024, the Company recorded a derivative asset with a fair value of $42.2 million related to the 2022 Swaps. The balance of the derivative asset as of December 31, 2023 was $35.5 million.</w:t>
      </w:r>
    </w:p>
    <w:p>
      <w:pPr>
        <w:spacing w:after="0" w:line="9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2480" w:type="dxa"/>
            <w:vAlign w:val="bottom"/>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8"/>
                <w:szCs w:val="18"/>
                <w:color w:val="auto"/>
              </w:rPr>
            </w:pPr>
          </w:p>
        </w:tc>
      </w:tr>
      <w:tr>
        <w:trPr>
          <w:trHeight w:val="219"/>
        </w:trPr>
        <w:tc>
          <w:tcPr>
            <w:tcW w:w="8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Borders>
              <w:bottom w:val="single" w:sz="8" w:color="auto"/>
            </w:tcBorders>
          </w:tcPr>
          <w:p>
            <w:pPr>
              <w:spacing w:after="0"/>
              <w:rPr>
                <w:sz w:val="19"/>
                <w:szCs w:val="19"/>
                <w:color w:val="auto"/>
              </w:rPr>
            </w:pPr>
          </w:p>
        </w:tc>
      </w:tr>
      <w:tr>
        <w:trPr>
          <w:trHeight w:val="211"/>
        </w:trPr>
        <w:tc>
          <w:tcPr>
            <w:tcW w:w="8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81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jc w:val="right"/>
              <w:ind w:right="714"/>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69,832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1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72,401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6"/>
        </w:trPr>
        <w:tc>
          <w:tcPr>
            <w:tcW w:w="8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53,930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54,076</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54,213</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54,404</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81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900" w:type="dxa"/>
            <w:vAlign w:val="bottom"/>
            <w:tcBorders>
              <w:bottom w:val="single" w:sz="8" w:color="auto"/>
            </w:tcBorders>
          </w:tcPr>
          <w:p>
            <w:pPr>
              <w:jc w:val="right"/>
              <w:ind w:right="714"/>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1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1.34</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9"/>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included all outstanding performance awards and restricted stock awards in the calculation of diluted earnings per share except for as shown in the table below (in thousands):</w:t>
      </w:r>
    </w:p>
    <w:p>
      <w:pPr>
        <w:spacing w:after="0" w:line="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stock awards for which performance criteria was not attained at reporting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48"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three months ended March 31, 2024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36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 Loss</w:t>
            </w:r>
          </w:p>
        </w:tc>
        <w:tc>
          <w:tcPr>
            <w:tcW w:w="13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Available-</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Fair Value of</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For-Sale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on Pension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consolidated statement of operations during the three months ended March 31, 2024 which was reclassified out of accumulated other comprehensive loss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Component of Accumulated Other Comprehensive Loss</w:t>
            </w:r>
          </w:p>
        </w:tc>
        <w:tc>
          <w:tcPr>
            <w:tcW w:w="2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4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53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Fair Value of Interest Rate Hedges</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recognized for the three months ended March 31, 2024 and March 31, 2023 was $6.3 million and $6.0 million, respectively. The total income tax benefit recognized in the consolidated statements of operations from stock-based compensation expense for the three months ended March 31, 2024 and March 31, 2023 was $1.2 million and $1.0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three months ended March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was $43.9 million of total unrecognized compensation cost arising from restricted stock awards. This cost is expected to be recognized over a weighted average period of 3.3 years. The total fair value of restricted stock vested during the three months ended March 31, 2024 and March 31, 2023 was $3.7 million and $2.1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revenue, Adjusted EBITDA Margin, Return on Invested Capital and Total Recordable Incident Rate targets. Performance stock awards include continued service conditions through vesting.</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three months ended March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was $7.4 million of total unrecognized compensation cost arising from performance stock awards deemed probable of vesting. The total fair value of performance awards vested during the three months ended March 31, 2024 and March 31, 2023 was $3.7 million and $7.8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March 31, 2024 and December 31, 2023, the Company had recorded reserves of $28.5 million and $32.4 million, respectively, for actual or probable liabilities related to the legal and administrative proceedings in which the Company was then involved, the principal of which are described below. As of March 31, 2024 and December 31, 2023, the $28.5 million and $32.4 million, respectively, of reserves consisted of (i) $23.6 million and $25.0 million, respectively, related to pending legal or administrative proceedings, including Superfund liabilities, which were included in remedial liabilities on the consolidated balance sheets, and (ii) $4.9 million and $7.4 million, respectively, primarily related to federal, state and provincial enforcement actions, which were included in accrued expenses on the consolidated balance sheets.</w:t>
      </w:r>
    </w:p>
    <w:p>
      <w:pPr>
        <w:spacing w:after="0" w:line="10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principal legal and administrative proceedings in which the Company was involved, or which had been terminated during 2024, relate to Safety-Kleen product liability cases and Superfund proceedings.</w:t>
      </w:r>
    </w:p>
    <w:p>
      <w:pPr>
        <w:spacing w:after="0" w:line="79"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a defendant in certain product liability cases that are currently pending in various courts and jurisdictions throughout the United States. As of March 31, 2024, there were approximately 70 proceedings (excluding cases which have been settled but not formally dismissed) wherein persons claim personal injury resulting from the use of Safety-Kleen’s parts cleaning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March 31, 2024. From January 1, 2024 to March 31, 2024, four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0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(which, since December 28, 2012, has included Safety-Kleen)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13 are currently requiring expenditures on remediation and 82 are not currently requiring expenditures on remediation.</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Of the 125 third-party sites at which the Company has been notified it is a PRP or potential PRP or may have indemnification obligations, the Company has indemnification agreements at a total of 17 sites. These agreements indemnify the Company (which now includes Safety-Kleen) with respect to any liability at the 17 sites for waste disposed prior to the Company’s (or Safety-Kleen’s) acquisition of the former subsidiaries of Waste Management, Inc. and McKesson Corporation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March 31, 2024 and December 31, 2023 there were no proceedings for which the Company believes it is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62"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for the three months ended March 31, 2024 and 2023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326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114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7"/>
                <w:szCs w:val="17"/>
                <w:color w:val="auto"/>
              </w:rPr>
            </w:pPr>
          </w:p>
        </w:tc>
        <w:tc>
          <w:tcPr>
            <w:tcW w:w="98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Direct</w:t>
            </w:r>
          </w:p>
        </w:tc>
      </w:tr>
      <w:tr>
        <w:trPr>
          <w:trHeight w:val="216"/>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1,070,741</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236,539</w:t>
            </w: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1,376,695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1,307,387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1,307,387</w:t>
            </w: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income, net. Transactions between the segments are accounted for at the Company’s best estimate based on similar transactions with outside customers.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8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228,345</w:t>
            </w: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r>
      <w:tr>
        <w:trPr>
          <w:trHeight w:val="229"/>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(54,670)</w:t>
            </w:r>
          </w:p>
        </w:tc>
      </w:tr>
      <w:tr>
        <w:trPr>
          <w:trHeight w:val="22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215,138</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84,758</w:t>
            </w:r>
          </w:p>
        </w:tc>
      </w:tr>
      <w:tr>
        <w:trPr>
          <w:trHeight w:val="22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120,955</w:t>
            </w: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w:t>
            </w:r>
          </w:p>
        </w:tc>
      </w:tr>
      <w:tr>
        <w:trPr>
          <w:trHeight w:val="223"/>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98,077</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cost management initiatives, cash flow, liquidity, expectations and intentions and other statements that are not historical facts. Forward-</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risks and uncertainties and the items identified in Part I, Item IA, “Risk Factors,” in this report under Item 1A and in our Annual Report on Form 10-K filed with the Securities and Exchange Commission (“SEC”) on February 21, 2024,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 offering a unique closed-loop re-refining process that helps customers achieve their sustainability goals.</w:t>
      </w:r>
    </w:p>
    <w:p>
      <w:pPr>
        <w:spacing w:after="0" w:line="1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which is reconciled to our net income and described more fully below. The following is a discussion of how management evaluates its segments using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80" w:hanging="324"/>
        <w:spacing w:after="0" w:line="25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our wide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U.S.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right="40" w:hanging="324"/>
        <w:spacing w:after="0" w:line="252" w:lineRule="auto"/>
        <w:tabs>
          <w:tab w:leader="none" w:pos="97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(“SKSS”) segment results are impacted by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high-quality, environmentally responsible recycled oil products and their demand for our related service and product offerings. SKSS offers high quality recycled base and blended oil products and other automotive and industrial lubricants to fleet customers, distributors, manufacturers of oil products and industrial plants. Segment results are impacted by market pricing, overall demand and the mix of our oil products sales, with management’s objective being to limit exposure to commodity market pricing risk through increased volumes of value added lubricant products (e.g. blended oil, group III base oils) or strategic partnerships.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manufacturing and automotive services markets, efficiency of our operations, partnerships,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Total direct revenues for the three months ended March 31, 2024 were $1,376.7 million, compared with $1,307.4 million for the three months ended March 31, 2023. Our Environmental Services segment direct revenues increased $101.8 million or 9.5% from the comparable period in 2023 driven by growth across our service offerings and contributions from the recent acquisitions of Thompson Industrial and HEPACO. In the three months ended March 31, 2024, our SKSS segment direct revenues decreased $32.5 million or 13.7% from the comparable period in 2023, due to lower base oil product revenues resulting from market-driven pricing, partially offset by higher revenue from blended oil product sales and the collection of used motor oil.</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2024 was $125.5 million, compared with $121.0 million in the three months ended March 31, 2023, representing an increase of 3.7%. Net income for the three months ended March 31, 2024 was $69.8 million, compared with net income of $72.4 million in the three months ended March 31, 2023, representing a decrease of 3.5%.</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we evaluate our segments, increased 7.0% from $215.1 million in the three months ended March 31, 2023 to $230.1 million in the three months ended March 31, 2024. This increase was driven by 15.8% of Adjusted EBITDA growth in the Environmental Services segment. Additional information regarding Adjusted EBITDA, which is a non-GAAP measure, including a reconciliation of Adjusted EBITDA to net income, appears below under </w:t>
      </w:r>
      <w:r>
        <w:rPr>
          <w:rFonts w:ascii="Times New Roman" w:cs="Times New Roman" w:eastAsia="Times New Roman" w:hAnsi="Times New Roman"/>
          <w:sz w:val="18"/>
          <w:szCs w:val="18"/>
          <w:i w:val="1"/>
          <w:iCs w:val="1"/>
          <w:color w:val="auto"/>
        </w:rPr>
        <w:t>“Adjusted EBITDA.”</w:t>
      </w:r>
    </w:p>
    <w:p>
      <w:pPr>
        <w:spacing w:after="0" w:line="9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three months ended March 31, 2024 decreased $9.5 million from $28.0 million in 2023 to $18.5 million in 2024. As is typical for the first quarter, adjusted free cash flow, which management uses to measure our financial strength and ability to generate cash, was an outflow of $118.4 million in the three months ended March 31, 2024 as compared to an outflow of $51.8 million in the comparable period of 2023. The decrease in adjusted free cash flow was driven by higher spend on property, plant and equipment net of proceeds from sale and disposal of fixed assets due to the purchase of a building for a strategic project in Baltimore, Maryland, continued incremental capital spend on the build out of our Kimball, Nebraska incinerator and incremental investments in vehicles, machinery and equipment. Additional information regarding adjusted free cash flow, which is a non-GAAP measure, including a reconciliation of adjusted free cash flow to net cash from operating activities, appears below under </w:t>
      </w:r>
      <w:r>
        <w:rPr>
          <w:rFonts w:ascii="Times New Roman" w:cs="Times New Roman" w:eastAsia="Times New Roman" w:hAnsi="Times New Roman"/>
          <w:sz w:val="18"/>
          <w:szCs w:val="18"/>
          <w:i w:val="1"/>
          <w:iCs w:val="1"/>
          <w:color w:val="auto"/>
        </w:rPr>
        <w:t>“Adjusted 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three months ended March 31, 2024 and March 31, 2023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2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90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1,172,510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1,070,741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101,769</w:t>
            </w:r>
          </w:p>
        </w:tc>
        <w:tc>
          <w:tcPr>
            <w:tcW w:w="11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204,083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236,539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(32,456)</w:t>
            </w:r>
          </w:p>
        </w:tc>
        <w:tc>
          <w:tcPr>
            <w:tcW w:w="11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(13.7)</w:t>
            </w:r>
          </w:p>
        </w:tc>
      </w:tr>
      <w:tr>
        <w:trPr>
          <w:trHeight w:val="21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12"/>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1,376,695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1,307,387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69,308</w:t>
            </w:r>
          </w:p>
        </w:tc>
        <w:tc>
          <w:tcPr>
            <w:tcW w:w="11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5.3</w:t>
            </w:r>
          </w:p>
        </w:tc>
      </w:tr>
      <w:tr>
        <w:trPr>
          <w:trHeight w:val="209"/>
        </w:trPr>
        <w:tc>
          <w:tcPr>
            <w:tcW w:w="59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812,898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753,360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59,538</w:t>
            </w:r>
          </w:p>
        </w:tc>
        <w:tc>
          <w:tcPr>
            <w:tcW w:w="11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7.9</w:t>
            </w: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2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154,887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175,857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(20,970)</w:t>
            </w:r>
          </w:p>
        </w:tc>
        <w:tc>
          <w:tcPr>
            <w:tcW w:w="11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(11.9)</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08"/>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971,070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931,514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39,556</w:t>
            </w:r>
          </w:p>
        </w:tc>
        <w:tc>
          <w:tcPr>
            <w:tcW w:w="11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4.2</w:t>
            </w: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&amp; Administrative Expenses: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89,036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6,101</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6.9</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11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67,235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58,498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8,737</w:t>
            </w:r>
          </w:p>
        </w:tc>
        <w:tc>
          <w:tcPr>
            <w:tcW w:w="11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14.9</w:t>
            </w:r>
          </w:p>
        </w:tc>
      </w:tr>
      <w:tr>
        <w:trPr>
          <w:trHeight w:val="212"/>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181,868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166,753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15,115</w:t>
            </w:r>
          </w:p>
        </w:tc>
        <w:tc>
          <w:tcPr>
            <w:tcW w:w="11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9.1</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264,475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228,345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36,130</w:t>
            </w:r>
          </w:p>
        </w:tc>
        <w:tc>
          <w:tcPr>
            <w:tcW w:w="11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15.8</w:t>
            </w: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2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(11,763)</w:t>
            </w:r>
          </w:p>
        </w:tc>
        <w:tc>
          <w:tcPr>
            <w:tcW w:w="11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(28.4)</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(64,080)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(54,670)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(9,410)</w:t>
            </w:r>
          </w:p>
        </w:tc>
        <w:tc>
          <w:tcPr>
            <w:tcW w:w="11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(17.2)</w:t>
            </w:r>
          </w:p>
        </w:tc>
      </w:tr>
      <w:tr>
        <w:trPr>
          <w:trHeight w:val="208"/>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230,095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215,138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14,957</w:t>
            </w:r>
          </w:p>
        </w:tc>
        <w:tc>
          <w:tcPr>
            <w:tcW w:w="11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7.0%</w:t>
            </w:r>
          </w:p>
        </w:tc>
      </w:tr>
      <w:tr>
        <w:trPr>
          <w:trHeight w:val="19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as a % of Direct Revenues: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Environmental Services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Safety-Kleen Sustainability Solutions</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Corporate Items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7"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revenues are revenues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are shown exclusive of items presented separately on the consolidated statements of operations which consist of (i) accretion of environmental liabilities and (ii) depreciation and amortization.</w:t>
      </w: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Company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our ability to manage the spread between oil product prices and prices for the collection of used oil and foreign currency translation. In addition, customer efforts to minimize hazardous waste and changes in regulation can impact our revenues.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2100" w:type="dxa"/>
            <w:vAlign w:val="bottom"/>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1,172,510</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1,070,741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Environmental Services direct revenues for the three months ended March 31, 2024 increased $101.8 million from the comparable period in 2023</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growth across our service lines coupled with incremental revenues from recent acquisitions. Technical services revenue increased $41.0 million with contributions across our portfolio of waste disposal services. Higher pricing of our disposal services more than offset a 1% decrease in utilization, which was 79% for the three months ended March 31, 2024. Revenue from our industrial services operations grew $23.0 million due to contributions from the acquisition of Thompson Industrial which did not close until March 31, 2023. Revenues for Safety-Kleen core service offerings grew by $20.9 million from the comparable period in 2023 due to improved pricing and greater demand for our containerized waste, parts washer and vacuum services. Field and emergency response service revenues increased $15.4 million from the comparable period in 2023 driven by incremental revenue from the HEPACO acquisition along with overall growth in core service offerings.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236,539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three months ended March 31, 2024, SKSS direct revenues decreased $32.5 million from the comparable period in 2023 largely due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million reduction in revenues from base oil sales driven primarily by lower pricing and, to a lesser extent, lower volumes sold. Revenue from the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recycled fuel oil and refinery by-products also decreased $9.6 million from the comparable period while revenues from contract packaging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million. These decreases were partially offset by a $9.6 million increase in revenues from blended oil sales as higher volumes sold outpaced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Revenues from the collection of used oil increased $4.3 million driven by higher pricing for these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inflationary pressures across several cost categories, but most notably related to internal and external labor, transportation, maintenance costs, and energy related costs. We aim to manage these increases through constant cost monitoring and a focus on cost saving areas, including lowering employee turnover, as well as our overall customer pricing strategies designed to offset the negative inflationary impacts on our margins.</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management and operating structure in an effort to manage our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812,898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753,360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59,538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6"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Environmental Services cost of revenues for the three months ended March 31, 2024 increased $59.5 million from the comparable period in 2023, however as a percentage of revenues decreased 1.1% resulting in improved margins of the segment. Commensurate with the revenue growth in the business, labor and benefit related costs increased $33.7 million, equipment and supply costs increased $14.4 million and external transportation, vehicle and fuel related costs increased $7.0 million for the three months ended March 31, 2024 when compared to the three months ended March 31, 2023. Overall, the growth of revenue outpaced cost increases in all major cost categories, which we believe exhibits the strong operating leverage of the segment.</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154,887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175,857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(20,970)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SKSS cost of revenues for the three months ended March 31, 2024 decreased $21.0 million from the comparable period in 2023 but as a percentage of revenues, increased by 1.6% driven by the reduced revenues discussed above. Overall costs of materials including oil additives and other raw materials decreased by $24.6 million mainly driven by lower cost of obtaining used oil through our oil collection services. Partially offsetting these cost decreases were increases in labor and benefit related costs of $1.3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95,137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89,036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March 31, 2024 increased $6.1 million from the comparable period in 2023, however, remained relatively consistent as a percentage of segment revenues, continuing our trend of leveraging our SG&amp;A base in the midst of revenue growth discussed above. Overall, investments in our employees led to higher labor and benefits related costs of $5.8 million in the three months ended March 31, 2024, partially offset by reductions across several other cost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19,496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SKSS SG&amp;A expenses for the three months ended March 31, 2024 remained relatively consistent with the prior period. However, as a percentage of revenues, increased 1.5% from the prior period, mainly due to the revenue reductions discussed above.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67,235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58,498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Total Company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2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Corporate SG&amp;A expenses for the three months ended March 31, 2024 increased $8.7 million from the comparable period in 2023 and remained relatively consistent as a percentage of total Clean Harbors’ direct revenues when compared to the same period in the prior year. In general, these cost increases in 2024 as compared to 2023 were due to higher labor and benefits related expenses of $6.6 million, which includes certain acquisition related severance costs, as well as a $1.5 million increase in legal costs and other professional fees.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We define Adjusted EBITDA as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income, net.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Adjusted EBITDA as well as Adjusted EBITDA as a percent of Direct Revenues by segment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40" w:type="dxa"/>
            <w:vAlign w:val="bottom"/>
            <w:gridSpan w:val="4"/>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3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264,475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228,345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36,130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9"/>
        </w:trPr>
        <w:tc>
          <w:tcPr>
            <w:tcW w:w="5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(11,763)</w:t>
            </w:r>
          </w:p>
        </w:tc>
        <w:tc>
          <w:tcPr>
            <w:tcW w:w="1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5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(64,080)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(54,670)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(9,410)</w:t>
            </w:r>
          </w:p>
        </w:tc>
        <w:tc>
          <w:tcPr>
            <w:tcW w:w="126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230,095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215,138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14,957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ind w:left="2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Adjusted EBITDA as a % of 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shd w:val="clear" w:color="auto" w:fill="CCEEFF"/>
          </w:tcPr>
          <w:p>
            <w:pPr>
              <w:spacing w:after="0"/>
              <w:rPr>
                <w:sz w:val="19"/>
                <w:szCs w:val="19"/>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Pr>
          <w:p>
            <w:pPr>
              <w:spacing w:after="0"/>
              <w:rPr>
                <w:sz w:val="19"/>
                <w:szCs w:val="19"/>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shd w:val="clear" w:color="auto" w:fill="CCEEFF"/>
          </w:tcPr>
          <w:p>
            <w:pPr>
              <w:spacing w:after="0"/>
              <w:rPr>
                <w:sz w:val="19"/>
                <w:szCs w:val="19"/>
                <w:color w:val="auto"/>
              </w:rPr>
            </w:pPr>
          </w:p>
        </w:tc>
      </w:tr>
      <w:tr>
        <w:trPr>
          <w:trHeight w:val="234"/>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6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spacing w:after="0" w:line="14" w:lineRule="exact"/>
        <w:rPr>
          <w:sz w:val="20"/>
          <w:szCs w:val="20"/>
          <w:color w:val="auto"/>
        </w:rPr>
      </w:pPr>
    </w:p>
    <w:p>
      <w:pPr>
        <w:ind w:left="580" w:right="280" w:hanging="329"/>
        <w:spacing w:after="0" w:line="270" w:lineRule="auto"/>
        <w:tabs>
          <w:tab w:leader="none" w:pos="5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Services and SKSS calculated as a percentage of individual segment revenues. Corporate Items calculated as a percentage of total Company revenues.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gridSpan w:val="8"/>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72,401</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84,758</w:t>
            </w: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20,632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25,676</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230,095</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215,138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441"/>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7"/>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21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5"/>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fixed assets and amortization of landfills and finance leases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 amortization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60" w:type="dxa"/>
            <w:vAlign w:val="bottom"/>
            <w:tcBorders>
              <w:bottom w:val="single" w:sz="8" w:color="CCEEFF"/>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2024 increased by $10.3 million from the comparable period in 2023 due to the depreciation of assets placed in service including the incremental assets acquired in the Thompson Industrial acquisition which occurred on March 31,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11"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recorded a $2.4 million loss on early extinguishment of debt in connection with the repayment of outstanding debt due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of interest income for the three months ended March 31, 2024 increased $7.9 million from the comparable period in 2023.</w:t>
      </w:r>
    </w:p>
    <w:p>
      <w:pPr>
        <w:spacing w:after="0" w:line="144"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interest expense, net of interest income included an $8.3 million benefit recognized from settling interest rate swaps in that prior year period. Absent this benefit, interest expense, net of interest income decreased slightly compared to 2023 aided by higher interest income.</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effective interest rate on our debt was 5.7%. For additional information regarding the financing events during 2024 and our current portfolio of long-term debt, see Note 11, “Financing Arrangements,” to the accompanying unaudited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4"/>
        </w:trPr>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25,963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9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provision for income taxes remained relatively consistent with the prior period, as did our effective tax rate.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3"/>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60" w:type="dxa"/>
            <w:vAlign w:val="bottom"/>
            <w:tcBorders>
              <w:bottom w:val="single" w:sz="8" w:color="auto"/>
            </w:tcBorders>
          </w:tcPr>
          <w:p>
            <w:pPr>
              <w:spacing w:after="0"/>
              <w:rPr>
                <w:sz w:val="18"/>
                <w:szCs w:val="18"/>
                <w:color w:val="auto"/>
              </w:rPr>
            </w:pPr>
          </w:p>
        </w:tc>
      </w:tr>
      <w:tr>
        <w:trPr>
          <w:trHeight w:val="21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(197,934)</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486,019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three months ended March 31, 2024 was $18.5 million as compared to $28.0 million in the comparable period of 2023. This $9.5 million decrease in operating cash flows was attributable to increased working capital balances and higher interest paid partially offset by lower taxes paid.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4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$609.9 million, an increase of $411.9 million from the comparable period in 2023. Cash used for acquisitions increased $366.8 million due to the acquisition of HEPACO as well as smaller acquisitions completed during the three months ended March 31, 2024. In 2023 the cash used for acquisitions was $108.5 million due to the acquisition of Thompson Industrial. Property, plant and equipment, net of proceeds from the sale and disposal of fixed assets increased $57.1 million, largely driven by $15.1 million spent on the Baltimore, Maryland strategic project, an increase of $7.5 million in capital spending for our new incinerator construction in Kimball, Nebraska and other investments in vehicles and equipment for our operations. The remaining change in net cash used in investing activities was due to the timing of transactions within our wholly owned captive insurance company which resulted in a $2.1 million cash inflow in the three months ended March 31, 2024 as compared to a $9.2 million cash outflow in the three months ended 2023.</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(used in) financing activities</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Net cash from financing activities for the three months ended March 31, 2024 was $486.0 million, as compared to net cash used in financing activities of $18.4 million for the three months ended March 31, 2023. The primary drivers of this change were the incurrence of additional term loans net of discount and deferred financing costs paid of $494.7 million. Partially offsetting this, the Company spent $2.0 million more for repurchases of common stock compared to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believe that adjusted free cash flow should be viewed only as a supplement to the GAAP financial information.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2024, cash and cash equivalents and marketable securities totaled $442.6 million, compared to $550.8 million at December 31, 2023. At March 31, 2024, cash and cash equivalents held by our Canadian subsidiaries totaled $56.0 million. The cash and cash equivalents and marketable securities balance for our U.S. operations was $386.6 million at March 31, 2024. Our U.S. operations had net operating cash inflows of $27.5 million for the three months ended March 31, 2024.</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$400.0 million revolving credit facility of which, as of March 31, 2024, approximately $268.0 million was available to borrow under the facility, with letters of credit of $132.0 million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Capital expenditures during the first three months of 2024 was $137.9 million as compared to $81.7 million during the first three months of 2023 mainly driven by the purchase of the Baltimore facility discussed below, incremental spend on the Kimball incinerator and additional investment in our fleet and equipment. We anticipate that 2024 capital spending, net of disposals, will be in the range of $400.0 million to $430.0 million. This projected amount is inclusive of capital expenditures of approximately $65.0 million to finish the Kimball, Nebraska incinerator project and approximately $20.0 million for a strategic project in Baltimore, Maryland.</w:t>
      </w:r>
    </w:p>
    <w:p>
      <w:pPr>
        <w:spacing w:after="0" w:line="11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2024, capital spending on the construction of our new incinerator at our Kimball, Nebraska facility was approximately $20.5 million. Total spending on the project as of March 31, 2024 was $155.2 million. We expect the remaining spending for this project to be approximately $51.7 million and we anticipate it will be complete in late 2024. Additionally, capital spending on the strategic project in Baltimore, Maryland was approximately $15.1 million for the purchase of the facility and we expect to incur an additional $5.0 million relative to this project during the remainder of 2024.</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2024, our financing arrangements include (i) $545.0 million of 4.875% senior unsecured notes due 2027, (ii) $1,476.2 million of senior secured term loans due 2028, (iii) $300.0 million of 5.125% senior unsecured notes due 2029 and (iv) $500.0 million of 6.375% senior unsecured notes due 2031. As noted above, we also maintain our $400.0 million revolving credit facility with no amounts owed as of March 31, 2024.</w:t>
      </w:r>
    </w:p>
    <w:p>
      <w:pPr>
        <w:spacing w:after="0" w:line="10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the accompanying unaudited consolidated financial statements.</w:t>
      </w:r>
    </w:p>
    <w:p>
      <w:pPr>
        <w:spacing w:after="0" w:line="9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were in compliance with the covenants of all of our debt agreements, and we believe we will continue to meet such covenants.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4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2023 our Board of Directors authorized a $500.0 million expansion of the Company’s existing share repurchase program for a total authorization of $1.1 billion under the expanded plan. During the three months ended March 31, 2024 and March 31, 2023, the Company repurchased and retired a total of 27,265 and 22,250 shares, respectively, of the Company’s common stock for total expenditures of approximately $5.0 million and $3.0 million, respectively.</w:t>
      </w:r>
    </w:p>
    <w:p>
      <w:pPr>
        <w:spacing w:after="0" w:line="11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Through March 31, 2024, the Company has repurchased and retired a total of approximately 8.6 million shares of its common stock for approximately $550.9 million under the expanded plan, and as of March 31, 2024, an additional $549.1 million remained available for repurchase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Pr>
          <w:p>
            <w:pPr>
              <w:spacing w:after="0"/>
              <w:rPr>
                <w:sz w:val="18"/>
                <w:szCs w:val="18"/>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84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94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liabilities as of March 31, 2024 were $229.4 million, relatively consistent with the balance as of December 31, 2023. During the three months ended March 31, 2024, expenditures of $4.7 million were partially offset by accretion of $3.2 million and changes in estimates for the environmental liabilities of $1.0 million.</w:t>
      </w:r>
    </w:p>
    <w:p>
      <w:pPr>
        <w:spacing w:after="0" w:line="10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March 31, 2024, there were $132.0 million outstanding letters of credit. See Note 11, “Financing Arrangements,” to the accompanying unaudited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first three months of 2024 to the information provided under the heading “Critical Accounting Estimates” included in our Annual Report on Form 10-K for the year ended December 31, 2023. For more information regarding our accounting policies, please refer to Note 2, “Significant Accounting Policies” to the accompanying unaudited consolidated financial statements.</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three months of 2024 to the information provided under Item 7A. “Quantitative and Qualitative Disclosures about Market Risk” in the Company’s Annual Report on Form 10-K for the year ended December 31, 2023.</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March 31, 2024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three months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15, “Commitments and Contingencies,” to the unaudited consolidated financial statements included in Item 1 of this report, which description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549,755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549,101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58" w:lineRule="exact"/>
        <w:rPr>
          <w:sz w:val="20"/>
          <w:szCs w:val="20"/>
          <w:color w:val="auto"/>
        </w:rPr>
      </w:pPr>
    </w:p>
    <w:p>
      <w:pPr>
        <w:ind w:left="660" w:right="620" w:hanging="328"/>
        <w:spacing w:after="0" w:line="261"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16,928 shares withheld by us from employees to satisfy employee tax obligations upon vesting of restricted stock granted to our employees under the Company’s equity incentive plans.</w:t>
      </w:r>
    </w:p>
    <w:p>
      <w:pPr>
        <w:ind w:left="660" w:right="20" w:hanging="328"/>
        <w:spacing w:after="0" w:line="250" w:lineRule="auto"/>
        <w:tabs>
          <w:tab w:leader="none" w:pos="7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Company’s stock repurchase program includes the commissions paid to brokers.</w:t>
      </w:r>
    </w:p>
    <w:p>
      <w:pPr>
        <w:ind w:left="660" w:right="20" w:hanging="328"/>
        <w:spacing w:after="0" w:line="251"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our Board of Directors authorized a $500.0 million expansion of the Company’s existing share repurchase program. As of March 31, 2024, the amount available for repurchase under the expanded plan is $549.1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Securities Exchange Act of 1934, as amended. During the three months ended March 31, 2024,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(as defined in Rule 16a-1(f)) of Clean Harbors, Inc.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54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880" w:type="dxa"/>
            <w:vAlign w:val="bottom"/>
          </w:tcPr>
          <w:p>
            <w:pPr>
              <w:spacing w:after="0"/>
              <w:rPr>
                <w:sz w:val="20"/>
                <w:szCs w:val="20"/>
                <w:color w:val="auto"/>
              </w:rPr>
            </w:pPr>
          </w:p>
        </w:tc>
      </w:tr>
      <w:tr>
        <w:trPr>
          <w:trHeight w:val="355"/>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0" w:type="dxa"/>
            <w:vAlign w:val="bottom"/>
            <w:gridSpan w:val="12"/>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2"/>
        </w:trPr>
        <w:tc>
          <w:tcPr>
            <w:tcW w:w="820" w:type="dxa"/>
            <w:vAlign w:val="bottom"/>
          </w:tcPr>
          <w:p>
            <w:pPr>
              <w:jc w:val="center"/>
              <w:ind w:left="51"/>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80" w:type="dxa"/>
            <w:vAlign w:val="bottom"/>
            <w:gridSpan w:val="13"/>
          </w:tcPr>
          <w:p>
            <w:pPr>
              <w:spacing w:after="0" w:line="18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Incremental Facility Amendment No. 5 to Credit Agreement, dated as of March 22, 2024, to Credit Agreement</w:t>
              </w:r>
            </w:hyperlink>
          </w:p>
        </w:tc>
        <w:tc>
          <w:tcPr>
            <w:tcW w:w="100" w:type="dxa"/>
            <w:vAlign w:val="bottom"/>
          </w:tcPr>
          <w:p>
            <w:pPr>
              <w:spacing w:after="0"/>
              <w:rPr>
                <w:sz w:val="15"/>
                <w:szCs w:val="15"/>
                <w:color w:val="auto"/>
              </w:rPr>
            </w:pPr>
          </w:p>
        </w:tc>
        <w:tc>
          <w:tcPr>
            <w:tcW w:w="1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(1)</w:t>
            </w: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dated as of June 30, 2017, as previously amended, among Clean Harbors, Inc., as the Borrower, each of the</w:t>
              </w:r>
            </w:hyperlink>
          </w:p>
        </w:tc>
        <w:tc>
          <w:tcPr>
            <w:tcW w:w="2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gridSpan w:val="14"/>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entities listed as an Incremental Lender on the signature pages thereto, Goldman Sachs Lending Partners LLC,</w:t>
              </w:r>
            </w:hyperlink>
          </w:p>
        </w:tc>
        <w:tc>
          <w:tcPr>
            <w:tcW w:w="188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as administrative agent and collateral agent, and the other Loan Parties party thereto.</w:t>
              </w:r>
            </w:hyperlink>
          </w:p>
        </w:tc>
        <w:tc>
          <w:tcPr>
            <w:tcW w:w="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4"/>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80" w:type="dxa"/>
            <w:vAlign w:val="bottom"/>
            <w:gridSpan w:val="14"/>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Second Amendment, dated as of March 22, 2024 to Sixth Amended and Restated Credit Agreement dated as of</w:t>
              </w:r>
            </w:hyperlink>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October 28, 2020, as amended, among Clean Harbors, Inc., as the U.S. Borrower, Clean Harbors Industrial</w:t>
              </w:r>
            </w:hyperlink>
          </w:p>
        </w:tc>
        <w:tc>
          <w:tcPr>
            <w:tcW w:w="16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Services Canada, Inc., as the Canadian Borrower, Bank of America, N.A., as Administrative Agent and the</w:t>
              </w:r>
            </w:hyperlink>
          </w:p>
        </w:tc>
        <w:tc>
          <w:tcPr>
            <w:tcW w:w="20" w:type="dxa"/>
            <w:vAlign w:val="bottom"/>
            <w:tcBorders>
              <w:bottom w:val="single" w:sz="8" w:color="0000FF"/>
            </w:tcBorders>
          </w:tcPr>
          <w:p>
            <w:pPr>
              <w:spacing w:after="0"/>
              <w:rPr>
                <w:sz w:val="13"/>
                <w:szCs w:val="13"/>
                <w:color w:val="auto"/>
              </w:rPr>
            </w:pPr>
          </w:p>
        </w:tc>
        <w:tc>
          <w:tcPr>
            <w:tcW w:w="460" w:type="dxa"/>
            <w:vAlign w:val="bottom"/>
            <w:gridSpan w:val="6"/>
          </w:tcPr>
          <w:p>
            <w:pPr>
              <w:spacing w:after="0"/>
              <w:rPr>
                <w:sz w:val="13"/>
                <w:szCs w:val="13"/>
                <w:color w:val="auto"/>
              </w:rPr>
            </w:pPr>
          </w:p>
        </w:tc>
        <w:tc>
          <w:tcPr>
            <w:tcW w:w="1880" w:type="dxa"/>
            <w:vAlign w:val="bottom"/>
          </w:tcPr>
          <w:p>
            <w:pPr>
              <w:spacing w:after="0"/>
              <w:rPr>
                <w:sz w:val="13"/>
                <w:szCs w:val="13"/>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Lenders party thereto.</w:t>
              </w:r>
            </w:hyperlink>
          </w:p>
        </w:tc>
        <w:tc>
          <w:tcPr>
            <w:tcW w:w="6120" w:type="dxa"/>
            <w:vAlign w:val="bottom"/>
            <w:gridSpan w:val="7"/>
          </w:tcPr>
          <w:p>
            <w:pPr>
              <w:spacing w:after="0"/>
              <w:rPr>
                <w:sz w:val="14"/>
                <w:szCs w:val="14"/>
                <w:color w:val="auto"/>
              </w:rPr>
            </w:pPr>
          </w:p>
        </w:tc>
        <w:tc>
          <w:tcPr>
            <w:tcW w:w="460" w:type="dxa"/>
            <w:vAlign w:val="bottom"/>
            <w:gridSpan w:val="6"/>
          </w:tcPr>
          <w:p>
            <w:pPr>
              <w:spacing w:after="0"/>
              <w:rPr>
                <w:sz w:val="14"/>
                <w:szCs w:val="14"/>
                <w:color w:val="auto"/>
              </w:rPr>
            </w:pPr>
          </w:p>
        </w:tc>
        <w:tc>
          <w:tcPr>
            <w:tcW w:w="1880" w:type="dxa"/>
            <w:vAlign w:val="bottom"/>
          </w:tcPr>
          <w:p>
            <w:pPr>
              <w:spacing w:after="0"/>
              <w:rPr>
                <w:sz w:val="14"/>
                <w:szCs w:val="14"/>
                <w:color w:val="auto"/>
              </w:rPr>
            </w:pPr>
          </w:p>
        </w:tc>
      </w:tr>
      <w:tr>
        <w:trPr>
          <w:trHeight w:val="263"/>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Co-CEO Michael L. Battles</w:t>
            </w:r>
          </w:p>
        </w:tc>
        <w:tc>
          <w:tcPr>
            <w:tcW w:w="2980" w:type="dxa"/>
            <w:vAlign w:val="bottom"/>
            <w:gridSpan w:val="10"/>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Co-CEO Eric W. Gerstenberg</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CFO Eric J. Dugas</w:t>
            </w:r>
          </w:p>
        </w:tc>
        <w:tc>
          <w:tcPr>
            <w:tcW w:w="2860" w:type="dxa"/>
            <w:vAlign w:val="bottom"/>
            <w:gridSpan w:val="9"/>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2560" w:type="dxa"/>
            <w:vAlign w:val="bottom"/>
            <w:tcBorders>
              <w:top w:val="single" w:sz="8" w:color="0000FF"/>
            </w:tcBorders>
          </w:tcPr>
          <w:p>
            <w:pPr>
              <w:spacing w:after="0"/>
              <w:rPr>
                <w:sz w:val="22"/>
                <w:szCs w:val="22"/>
                <w:color w:val="auto"/>
              </w:rPr>
            </w:pPr>
          </w:p>
        </w:tc>
        <w:tc>
          <w:tcPr>
            <w:tcW w:w="3640" w:type="dxa"/>
            <w:vAlign w:val="bottom"/>
            <w:gridSpan w:val="11"/>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304"/>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4"/>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4"/>
        </w:trPr>
        <w:tc>
          <w:tcPr>
            <w:tcW w:w="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0"/>
        </w:trPr>
        <w:tc>
          <w:tcPr>
            <w:tcW w:w="8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contained in Exhibits 101*)</w:t>
            </w:r>
          </w:p>
        </w:tc>
        <w:tc>
          <w:tcPr>
            <w:tcW w:w="188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52" w:lineRule="exact"/>
        <w:rPr>
          <w:sz w:val="20"/>
          <w:szCs w:val="20"/>
          <w:color w:val="auto"/>
        </w:rPr>
      </w:pPr>
    </w:p>
    <w:p>
      <w:pPr>
        <w:ind w:left="560" w:hanging="39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4.43G to the Company's Current Report on Form 8-K filed on March 25, 2024.</w:t>
      </w:r>
    </w:p>
    <w:p>
      <w:pPr>
        <w:spacing w:after="0" w:line="144" w:lineRule="exact"/>
        <w:rPr>
          <w:rFonts w:ascii="Times New Roman" w:cs="Times New Roman" w:eastAsia="Times New Roman" w:hAnsi="Times New Roman"/>
          <w:sz w:val="18"/>
          <w:szCs w:val="18"/>
          <w:color w:val="auto"/>
        </w:rPr>
      </w:pPr>
    </w:p>
    <w:p>
      <w:pPr>
        <w:ind w:left="560" w:hanging="39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4.34 3 to the Company's Current Report on Form 8-K filed on 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77" w:lineRule="exact"/>
        <w:rPr>
          <w:sz w:val="20"/>
          <w:szCs w:val="20"/>
          <w:color w:val="auto"/>
        </w:rPr>
      </w:pPr>
    </w:p>
    <w:p>
      <w:pPr>
        <w:ind w:left="55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1, 2024</w:t>
      </w:r>
    </w:p>
    <w:p>
      <w:pPr>
        <w:spacing w:after="0" w:line="77" w:lineRule="exact"/>
        <w:rPr>
          <w:sz w:val="20"/>
          <w:szCs w:val="20"/>
          <w:color w:val="auto"/>
        </w:rPr>
      </w:pPr>
    </w:p>
    <w:p>
      <w:pPr>
        <w:ind w:left="550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1, 2024</w:t>
      </w:r>
    </w:p>
    <w:p>
      <w:pPr>
        <w:spacing w:after="0" w:line="77" w:lineRule="exact"/>
        <w:rPr>
          <w:sz w:val="20"/>
          <w:szCs w:val="20"/>
          <w:color w:val="auto"/>
        </w:rPr>
      </w:pPr>
    </w:p>
    <w:p>
      <w:pPr>
        <w:ind w:left="55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320" w:top="121" w:right="10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March 31, 2024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11" w:lineRule="exact"/>
        <w:rPr>
          <w:sz w:val="20"/>
          <w:szCs w:val="20"/>
          <w:color w:val="auto"/>
        </w:rPr>
      </w:pPr>
    </w:p>
    <w:p>
      <w:pPr>
        <w:ind w:left="5380"/>
        <w:spacing w:after="0"/>
        <w:tabs>
          <w:tab w:leader="none" w:pos="7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May 1, 2024</w:t>
      </w:r>
    </w:p>
    <w:p>
      <w:pPr>
        <w:spacing w:after="0" w:line="252" w:lineRule="exact"/>
        <w:rPr>
          <w:sz w:val="20"/>
          <w:szCs w:val="20"/>
          <w:color w:val="auto"/>
        </w:rPr>
      </w:pPr>
    </w:p>
    <w:p>
      <w:pPr>
        <w:ind w:left="538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May 1, 2024</w:t>
      </w:r>
    </w:p>
    <w:p>
      <w:pPr>
        <w:spacing w:after="0" w:line="77" w:lineRule="exact"/>
        <w:rPr>
          <w:sz w:val="20"/>
          <w:szCs w:val="20"/>
          <w:color w:val="auto"/>
        </w:rPr>
      </w:pPr>
    </w:p>
    <w:p>
      <w:pPr>
        <w:ind w:left="538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May 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5"/>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5"/>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3" Type="http://schemas.openxmlformats.org/officeDocument/2006/relationships/hyperlink" Target="https://www.sec.gov/Archives/edgar/data/822818/000082281824000011/cleanharbors-amendmentno.htm" TargetMode="External"/><Relationship Id="rId54" Type="http://schemas.openxmlformats.org/officeDocument/2006/relationships/hyperlink" Target="https://www.sec.gov/Archives/edgar/data/822818/000082281824000011/bofa-cleanharborsxseco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2024-05-01T09:32:38Z</dcterms:created>
  <dcterms:modified xsi:type="dcterms:W3CDTF">2024-05-01T09:32:38Z</dcterms:modified>
</cp:coreProperties>
</file>