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 OF AMERICA</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OF 1934</w:t>
      </w:r>
    </w:p>
    <w:p>
      <w:pPr>
        <w:sectPr>
          <w:pgSz w:w="11900" w:h="16838" w:orient="portrait"/>
          <w:cols w:equalWidth="0" w:num="1">
            <w:col w:w="11400"/>
          </w:cols>
          <w:pgMar w:left="240" w:top="233" w:right="259" w:bottom="1440" w:gutter="0" w:footer="0" w:header="0"/>
        </w:sectPr>
      </w:pPr>
    </w:p>
    <w:p>
      <w:pPr>
        <w:spacing w:after="0" w:line="21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33" w:right="25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00"/>
          </w:cols>
          <w:pgMar w:left="240" w:top="233"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6"/>
              </w:rPr>
              <w:t>Massachusetts</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04-2997780</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42 Longwater Drive, Norwell, MA</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02061-9149</w:t>
            </w:r>
          </w:p>
        </w:tc>
      </w:tr>
      <w:tr>
        <w:trPr>
          <w:trHeight w:val="270"/>
        </w:trPr>
        <w:tc>
          <w:tcPr>
            <w:tcW w:w="558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792-5000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ind w:right="120" w:firstLine="324"/>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0"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4380" w:type="dxa"/>
            <w:vAlign w:val="bottom"/>
          </w:tcPr>
          <w:p>
            <w:pPr>
              <w:jc w:val="center"/>
              <w:ind w:right="1616"/>
              <w:spacing w:after="0"/>
              <w:rPr>
                <w:sz w:val="20"/>
                <w:szCs w:val="20"/>
                <w:color w:val="auto"/>
              </w:rPr>
            </w:pPr>
            <w:r>
              <w:rPr>
                <w:rFonts w:ascii="Arial" w:cs="Arial" w:eastAsia="Arial" w:hAnsi="Arial"/>
                <w:sz w:val="18"/>
                <w:szCs w:val="18"/>
                <w:color w:val="auto"/>
                <w:w w:val="91"/>
              </w:rPr>
              <w:t>Large accelerated filer x</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2"/>
              </w:rPr>
              <w:t>Accelerated filer o</w:t>
            </w:r>
          </w:p>
        </w:tc>
      </w:tr>
      <w:tr>
        <w:trPr>
          <w:trHeight w:val="270"/>
        </w:trPr>
        <w:tc>
          <w:tcPr>
            <w:tcW w:w="4380" w:type="dxa"/>
            <w:vAlign w:val="bottom"/>
          </w:tcPr>
          <w:p>
            <w:pPr>
              <w:jc w:val="center"/>
              <w:ind w:right="1596"/>
              <w:spacing w:after="0"/>
              <w:rPr>
                <w:sz w:val="20"/>
                <w:szCs w:val="20"/>
                <w:color w:val="auto"/>
              </w:rPr>
            </w:pPr>
            <w:r>
              <w:rPr>
                <w:rFonts w:ascii="Arial" w:cs="Arial" w:eastAsia="Arial" w:hAnsi="Arial"/>
                <w:sz w:val="18"/>
                <w:szCs w:val="18"/>
                <w:color w:val="auto"/>
                <w:w w:val="91"/>
              </w:rPr>
              <w:t>Non-accelerated filer o</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Smaller reporting company o</w:t>
            </w:r>
          </w:p>
        </w:tc>
      </w:tr>
      <w:tr>
        <w:trPr>
          <w:trHeight w:val="285"/>
        </w:trPr>
        <w:tc>
          <w:tcPr>
            <w:tcW w:w="4380" w:type="dxa"/>
            <w:vAlign w:val="bottom"/>
          </w:tcPr>
          <w:p>
            <w:pPr>
              <w:jc w:val="center"/>
              <w:ind w:right="1616"/>
              <w:spacing w:after="0"/>
              <w:rPr>
                <w:sz w:val="20"/>
                <w:szCs w:val="20"/>
                <w:color w:val="auto"/>
              </w:rPr>
            </w:pPr>
            <w:r>
              <w:rPr>
                <w:rFonts w:ascii="Arial" w:cs="Arial" w:eastAsia="Arial" w:hAnsi="Arial"/>
                <w:sz w:val="14"/>
                <w:szCs w:val="14"/>
                <w:color w:val="auto"/>
                <w:w w:val="94"/>
              </w:rPr>
              <w:t>(Do not check if a smaller reporting company)</w:t>
            </w:r>
          </w:p>
        </w:tc>
        <w:tc>
          <w:tcPr>
            <w:tcW w:w="3800" w:type="dxa"/>
            <w:vAlign w:val="bottom"/>
          </w:tcPr>
          <w:p>
            <w:pPr>
              <w:jc w:val="center"/>
              <w:ind w:left="1610"/>
              <w:spacing w:after="0"/>
              <w:rPr>
                <w:sz w:val="20"/>
                <w:szCs w:val="20"/>
                <w:color w:val="auto"/>
              </w:rPr>
            </w:pPr>
            <w:r>
              <w:rPr>
                <w:rFonts w:ascii="Arial" w:cs="Arial" w:eastAsia="Arial" w:hAnsi="Arial"/>
                <w:sz w:val="18"/>
                <w:szCs w:val="18"/>
                <w:color w:val="auto"/>
                <w:w w:val="91"/>
              </w:rPr>
              <w:t>Emerging growth company o</w:t>
            </w:r>
          </w:p>
        </w:tc>
      </w:tr>
    </w:tbl>
    <w:p>
      <w:pPr>
        <w:spacing w:after="0" w:line="21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00"/>
          </w:cols>
          <w:pgMar w:left="240" w:top="233" w:right="259" w:bottom="1440" w:gutter="0" w:footer="0" w:header="0"/>
          <w:type w:val="continuous"/>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56,189,898</w:t>
      </w:r>
    </w:p>
    <w:p>
      <w:pPr>
        <w:spacing w:after="0" w:line="90" w:lineRule="exact"/>
        <w:rPr>
          <w:sz w:val="24"/>
          <w:szCs w:val="24"/>
          <w:color w:val="auto"/>
        </w:rPr>
      </w:pPr>
    </w:p>
    <w:p>
      <w:pPr>
        <w:sectPr>
          <w:pgSz w:w="11900" w:h="16838" w:orient="portrait"/>
          <w:cols w:equalWidth="0" w:num="2">
            <w:col w:w="7580" w:space="720"/>
            <w:col w:w="3100"/>
          </w:cols>
          <w:pgMar w:left="240" w:top="233" w:right="259" w:bottom="1440" w:gutter="0" w:footer="0" w:header="0"/>
          <w:type w:val="continuous"/>
        </w:sectPr>
      </w:pPr>
    </w:p>
    <w:p>
      <w:pPr>
        <w:ind w:left="258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(Outstanding as of April 27, 2018)</w:t>
      </w:r>
    </w:p>
    <w:p>
      <w:pPr>
        <w:sectPr>
          <w:pgSz w:w="11900" w:h="16838" w:orient="portrait"/>
          <w:cols w:equalWidth="0" w:num="2">
            <w:col w:w="6740" w:space="720"/>
            <w:col w:w="394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gridSpan w:val="6"/>
          </w:tcPr>
          <w:p>
            <w:pPr>
              <w:jc w:val="center"/>
              <w:ind w:right="358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6"/>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Loss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50"/>
        </w:trPr>
        <w:tc>
          <w:tcPr>
            <w:tcW w:w="36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60" w:type="dxa"/>
            <w:vAlign w:val="bottom"/>
            <w:tcBorders>
              <w:top w:val="single" w:sz="8" w:color="0000EE"/>
            </w:tcBorders>
            <w:gridSpan w:val="4"/>
          </w:tcPr>
          <w:p>
            <w:pPr>
              <w:spacing w:after="0"/>
              <w:rPr>
                <w:sz w:val="21"/>
                <w:szCs w:val="21"/>
                <w:color w:val="auto"/>
              </w:rPr>
            </w:pPr>
          </w:p>
        </w:tc>
        <w:tc>
          <w:tcPr>
            <w:tcW w:w="626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w:t>
              </w:r>
            </w:hyperlink>
          </w:p>
        </w:tc>
        <w:tc>
          <w:tcPr>
            <w:tcW w:w="624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Arial" w:cs="Arial" w:eastAsia="Arial" w:hAnsi="Arial"/>
                <w:sz w:val="18"/>
                <w:szCs w:val="18"/>
                <w:b w:val="1"/>
                <w:bCs w:val="1"/>
                <w:color w:val="0000FF"/>
                <w:w w:val="89"/>
              </w:rPr>
            </w:pPr>
            <w:hyperlink w:anchor="page39">
              <w:r>
                <w:rPr>
                  <w:rFonts w:ascii="Arial" w:cs="Arial" w:eastAsia="Arial" w:hAnsi="Arial"/>
                  <w:sz w:val="18"/>
                  <w:szCs w:val="18"/>
                  <w:b w:val="1"/>
                  <w:bCs w:val="1"/>
                  <w:color w:val="0000FF"/>
                  <w:w w:val="89"/>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Arial" w:cs="Arial" w:eastAsia="Arial" w:hAnsi="Arial"/>
                <w:sz w:val="18"/>
                <w:szCs w:val="18"/>
                <w:b w:val="1"/>
                <w:bCs w:val="1"/>
                <w:color w:val="0000FF"/>
                <w:w w:val="94"/>
              </w:rPr>
            </w:pPr>
            <w:hyperlink w:anchor="page39">
              <w:r>
                <w:rPr>
                  <w:rFonts w:ascii="Arial" w:cs="Arial" w:eastAsia="Arial" w:hAnsi="Arial"/>
                  <w:sz w:val="18"/>
                  <w:szCs w:val="18"/>
                  <w:b w:val="1"/>
                  <w:bCs w:val="1"/>
                  <w:color w:val="0000FF"/>
                  <w:w w:val="94"/>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Arial" w:cs="Arial" w:eastAsia="Arial" w:hAnsi="Arial"/>
                <w:sz w:val="18"/>
                <w:szCs w:val="18"/>
                <w:b w:val="1"/>
                <w:bCs w:val="1"/>
                <w:color w:val="0000EE"/>
                <w:w w:val="91"/>
              </w:rPr>
            </w:pPr>
            <w:hyperlink w:anchor="page39">
              <w:r>
                <w:rPr>
                  <w:rFonts w:ascii="Arial" w:cs="Arial" w:eastAsia="Arial" w:hAnsi="Arial"/>
                  <w:sz w:val="18"/>
                  <w:szCs w:val="18"/>
                  <w:b w:val="1"/>
                  <w:bCs w:val="1"/>
                  <w:color w:val="0000EE"/>
                  <w:w w:val="91"/>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Arial" w:cs="Arial" w:eastAsia="Arial" w:hAnsi="Arial"/>
                <w:sz w:val="18"/>
                <w:szCs w:val="18"/>
                <w:b w:val="1"/>
                <w:bCs w:val="1"/>
                <w:color w:val="0000EE"/>
                <w:w w:val="96"/>
              </w:rPr>
            </w:pPr>
            <w:hyperlink w:anchor="page39">
              <w:r>
                <w:rPr>
                  <w:rFonts w:ascii="Arial" w:cs="Arial" w:eastAsia="Arial" w:hAnsi="Arial"/>
                  <w:sz w:val="18"/>
                  <w:szCs w:val="18"/>
                  <w:b w:val="1"/>
                  <w:bCs w:val="1"/>
                  <w:color w:val="0000EE"/>
                  <w:w w:val="96"/>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Arial" w:cs="Arial" w:eastAsia="Arial" w:hAnsi="Arial"/>
                <w:sz w:val="18"/>
                <w:szCs w:val="18"/>
                <w:b w:val="1"/>
                <w:bCs w:val="1"/>
                <w:color w:val="0000FF"/>
                <w:w w:val="96"/>
              </w:rPr>
            </w:pPr>
            <w:hyperlink w:anchor="page40">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FF"/>
                <w:w w:val="85"/>
              </w:rPr>
            </w:pPr>
            <w:hyperlink w:anchor="page41">
              <w:r>
                <w:rPr>
                  <w:rFonts w:ascii="Arial" w:cs="Arial" w:eastAsia="Arial" w:hAnsi="Arial"/>
                  <w:sz w:val="18"/>
                  <w:szCs w:val="18"/>
                  <w:b w:val="1"/>
                  <w:bCs w:val="1"/>
                  <w:color w:val="0000FF"/>
                  <w:w w:val="85"/>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r>
      <w:tr>
        <w:trPr>
          <w:trHeight w:val="264"/>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186,352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319,399</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 of allowances aggregating $29,145 and $27,799, respectively</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551,841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528,924</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20,445</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176,012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35,175</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1,079,822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1,154,056</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1,631,648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492,705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478,523</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17,498</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965,149</w:t>
            </w:r>
          </w:p>
        </w:tc>
      </w:tr>
      <w:tr>
        <w:trPr>
          <w:trHeight w:val="297"/>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3,684,816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71"/>
        </w:trPr>
        <w:tc>
          <w:tcPr>
            <w:tcW w:w="8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4,000</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224,231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68,748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67,822</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187,982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19,782</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$5,519 and $6,444,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54,593</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$14,304 and $13,338, respectively</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111,130</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1,625,537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222,643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223,291</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2,014,551</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Commitments and contingent liabilities (See Note 16)</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Common stock, $.01 par value: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Authorized 80,000,000; shares issued and outstanding 56,244,601 and 56,501,190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675,230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686,962</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658,887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673,082</w:t>
            </w: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1,188,202</w:t>
            </w:r>
          </w:p>
        </w:tc>
      </w:tr>
      <w:tr>
        <w:trPr>
          <w:trHeight w:val="257"/>
        </w:trPr>
        <w:tc>
          <w:tcPr>
            <w:tcW w:w="82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3,684,816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619,719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128,727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749,778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688,941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447,649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391,087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105,498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546,425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496,585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72,412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 net of interest income of $764 and $215,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Loss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loss per share - 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57,262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8"/>
                <w:szCs w:val="18"/>
                <w:color w:val="auto"/>
              </w:rPr>
              <w:t>Shares used to compute loss per share -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56,457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57,262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3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Unrealized (losses) gains on available-for-sale sec</w:t>
            </w:r>
          </w:p>
        </w:tc>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urities (net of ta</w:t>
            </w: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 of $80 and $152,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29"/>
        </w:trPr>
        <w:tc>
          <w:tcPr>
            <w:tcW w:w="8340" w:type="dxa"/>
            <w:vAlign w:val="bottom"/>
            <w:gridSpan w:val="3"/>
          </w:tcPr>
          <w:p>
            <w:pPr>
              <w:ind w:left="360"/>
              <w:spacing w:after="0"/>
              <w:rPr>
                <w:sz w:val="20"/>
                <w:szCs w:val="20"/>
                <w:color w:val="auto"/>
              </w:rPr>
            </w:pPr>
            <w:r>
              <w:rPr>
                <w:rFonts w:ascii="Arial" w:cs="Arial" w:eastAsia="Arial" w:hAnsi="Arial"/>
                <w:sz w:val="18"/>
                <w:szCs w:val="18"/>
                <w:color w:val="auto"/>
                <w:w w:val="92"/>
              </w:rPr>
              <w:t>Reclassification adjustment for losses on available-for-sale securities included in net income (net of taxes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40" w:type="dxa"/>
            <w:vAlign w:val="bottom"/>
            <w:gridSpan w:val="3"/>
          </w:tcPr>
          <w:p>
            <w:pPr>
              <w:ind w:left="360"/>
              <w:spacing w:after="0"/>
              <w:rPr>
                <w:sz w:val="20"/>
                <w:szCs w:val="20"/>
                <w:color w:val="auto"/>
              </w:rPr>
            </w:pPr>
            <w:r>
              <w:rPr>
                <w:rFonts w:ascii="Arial" w:cs="Arial" w:eastAsia="Arial" w:hAnsi="Arial"/>
                <w:sz w:val="18"/>
                <w:szCs w:val="18"/>
                <w:color w:val="auto"/>
              </w:rPr>
              <w:t>$0 and $0, respectively)</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5,823</w:t>
            </w:r>
          </w:p>
        </w:tc>
      </w:tr>
      <w:tr>
        <w:trPr>
          <w:trHeight w:val="237"/>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6,051</w:t>
            </w:r>
          </w:p>
        </w:tc>
      </w:tr>
      <w:tr>
        <w:trPr>
          <w:trHeight w:val="27"/>
        </w:trPr>
        <w:tc>
          <w:tcPr>
            <w:tcW w:w="39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r>
      <w:tr>
        <w:trPr>
          <w:trHeight w:val="20"/>
        </w:trPr>
        <w:tc>
          <w:tcPr>
            <w:tcW w:w="3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(12,631)</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(21,393)</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from operating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74,844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72,412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 and debt discount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environmental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Changes in environmental liability estimates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2,271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expense,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Environmental expenditures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Accounts receivable and unbilled accounts receivable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24,301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Inventories and supplies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(6,873)</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from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51,903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57,119</w:t>
            </w:r>
          </w:p>
        </w:tc>
        <w:tc>
          <w:tcPr>
            <w:tcW w:w="0" w:type="dxa"/>
            <w:vAlign w:val="bottom"/>
          </w:tcPr>
          <w:p>
            <w:pPr>
              <w:spacing w:after="0"/>
              <w:rPr>
                <w:sz w:val="1"/>
                <w:szCs w:val="1"/>
                <w:color w:val="auto"/>
              </w:rPr>
            </w:pP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used in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(42,462)</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and disposal of fixed assets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of business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64"/>
        </w:trPr>
        <w:tc>
          <w:tcPr>
            <w:tcW w:w="8260" w:type="dxa"/>
            <w:vAlign w:val="bottom"/>
          </w:tcPr>
          <w:p>
            <w:pPr>
              <w:ind w:left="340"/>
              <w:spacing w:after="0"/>
              <w:rPr>
                <w:sz w:val="20"/>
                <w:szCs w:val="20"/>
                <w:color w:val="auto"/>
              </w:rPr>
            </w:pPr>
            <w:r>
              <w:rPr>
                <w:rFonts w:ascii="Arial" w:cs="Arial" w:eastAsia="Arial" w:hAnsi="Arial"/>
                <w:sz w:val="14"/>
                <w:szCs w:val="14"/>
                <w:color w:val="auto"/>
              </w:rPr>
              <w:t>Proceeds from sale of available-for-sale securities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(164,428)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(51,868)</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used in financing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 in uncashed checks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(7,557)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8260" w:type="dxa"/>
            <w:vAlign w:val="bottom"/>
          </w:tcPr>
          <w:p>
            <w:pPr>
              <w:ind w:left="360"/>
              <w:spacing w:after="0"/>
              <w:rPr>
                <w:sz w:val="20"/>
                <w:szCs w:val="20"/>
                <w:color w:val="auto"/>
              </w:rPr>
            </w:pPr>
            <w:r>
              <w:rPr>
                <w:rFonts w:ascii="Arial" w:cs="Arial" w:eastAsia="Arial" w:hAnsi="Arial"/>
                <w:sz w:val="14"/>
                <w:szCs w:val="14"/>
                <w:color w:val="auto"/>
              </w:rPr>
              <w:t>Tax payments related to withholdings on vested restricted stock</w:t>
            </w: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55"/>
        </w:trPr>
        <w:tc>
          <w:tcPr>
            <w:tcW w:w="8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financing costs paid</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 on debt</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(15,436)</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 on cash</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50"/>
        </w:trPr>
        <w:tc>
          <w:tcPr>
            <w:tcW w:w="8260" w:type="dxa"/>
            <w:vAlign w:val="bottom"/>
          </w:tcPr>
          <w:p>
            <w:pPr>
              <w:ind w:left="180"/>
              <w:spacing w:after="0"/>
              <w:rPr>
                <w:sz w:val="20"/>
                <w:szCs w:val="20"/>
                <w:color w:val="auto"/>
              </w:rPr>
            </w:pPr>
            <w:r>
              <w:rPr>
                <w:rFonts w:ascii="Arial" w:cs="Arial" w:eastAsia="Arial" w:hAnsi="Arial"/>
                <w:sz w:val="14"/>
                <w:szCs w:val="14"/>
                <w:color w:val="auto"/>
              </w:rPr>
              <w:t>Decrease in cash and cash equivalents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(133,047)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(9,631)</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319,399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306,997</w:t>
            </w:r>
          </w:p>
        </w:tc>
        <w:tc>
          <w:tcPr>
            <w:tcW w:w="0" w:type="dxa"/>
            <w:vAlign w:val="bottom"/>
          </w:tcPr>
          <w:p>
            <w:pPr>
              <w:spacing w:after="0"/>
              <w:rPr>
                <w:sz w:val="1"/>
                <w:szCs w:val="1"/>
                <w:color w:val="auto"/>
              </w:rPr>
            </w:pPr>
          </w:p>
        </w:tc>
      </w:tr>
      <w:tr>
        <w:trPr>
          <w:trHeight w:val="283"/>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186,352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297,366</w:t>
            </w:r>
          </w:p>
        </w:tc>
        <w:tc>
          <w:tcPr>
            <w:tcW w:w="0" w:type="dxa"/>
            <w:vAlign w:val="bottom"/>
          </w:tcPr>
          <w:p>
            <w:pPr>
              <w:spacing w:after="0"/>
              <w:rPr>
                <w:sz w:val="1"/>
                <w:szCs w:val="1"/>
                <w:color w:val="auto"/>
              </w:rPr>
            </w:pPr>
          </w:p>
        </w:tc>
      </w:tr>
      <w:tr>
        <w:trPr>
          <w:trHeight w:val="251"/>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Supplemental information: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180"/>
              <w:spacing w:after="0"/>
              <w:rPr>
                <w:sz w:val="20"/>
                <w:szCs w:val="20"/>
                <w:color w:val="auto"/>
              </w:rPr>
            </w:pPr>
            <w:r>
              <w:rPr>
                <w:rFonts w:ascii="Arial" w:cs="Arial" w:eastAsia="Arial" w:hAnsi="Arial"/>
                <w:sz w:val="14"/>
                <w:szCs w:val="14"/>
                <w:color w:val="auto"/>
              </w:rPr>
              <w:t>Cash payments for interest and income taxes: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21,717</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Income taxes paid</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investing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Property, plant and equipment accrued</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17,911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19,270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Receivable for estimated purchase price adjustment</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360"/>
          </w:cols>
          <w:pgMar w:left="240" w:top="125" w:right="299" w:bottom="233"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25" w:right="299" w:bottom="233"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$ 0.01</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Par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3"/>
              </w:rPr>
              <w:t>$686,962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673,082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4"/>
              </w:rPr>
              <w:t>$ 1,188,202</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Cumulative effect of change in accounting principle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rPr>
              <w:t>Issuance of restricted shares, net of shares remitted and tax</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withholdings</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56,245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3"/>
              </w:rPr>
              <w:t>$675,230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(189,153)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658,887</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4"/>
              </w:rPr>
              <w:t>$ 1,145,526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firstLine="621"/>
        <w:spacing w:after="0" w:line="290" w:lineRule="auto"/>
        <w:rPr>
          <w:sz w:val="20"/>
          <w:szCs w:val="20"/>
          <w:color w:val="auto"/>
        </w:rPr>
      </w:pPr>
      <w:r>
        <w:rPr>
          <w:rFonts w:ascii="Arial" w:cs="Arial" w:eastAsia="Arial" w:hAnsi="Arial"/>
          <w:sz w:val="16"/>
          <w:szCs w:val="16"/>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2017, which includes the audited consolidated balance sheet as of December 31, 2017 from which the one presented herein was derived.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2017. There have been no material changes in these policies or their application except for the changes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 the Environmental Services segment which consists of the Company’s historical Technical Services, Industrial Services, Field Services and Oil, Gas and Lodging businesses and (ii) the Safety-Kleen segment. See Note 18, </w:t>
      </w:r>
      <w:r>
        <w:rPr>
          <w:rFonts w:ascii="Arial" w:cs="Arial" w:eastAsia="Arial" w:hAnsi="Arial"/>
          <w:sz w:val="16"/>
          <w:szCs w:val="16"/>
          <w:i w:val="1"/>
          <w:iCs w:val="1"/>
          <w:color w:val="auto"/>
        </w:rPr>
        <w:t>"</w:t>
      </w:r>
      <w:r>
        <w:rPr>
          <w:rFonts w:ascii="Arial" w:cs="Arial" w:eastAsia="Arial" w:hAnsi="Arial"/>
          <w:sz w:val="16"/>
          <w:szCs w:val="16"/>
          <w:color w:val="auto"/>
        </w:rPr>
        <w:t>Segment Reporting</w:t>
      </w:r>
      <w:r>
        <w:rPr>
          <w:rFonts w:ascii="Arial" w:cs="Arial" w:eastAsia="Arial" w:hAnsi="Arial"/>
          <w:sz w:val="16"/>
          <w:szCs w:val="16"/>
          <w:i w:val="1"/>
          <w:iCs w:val="1"/>
          <w:color w:val="auto"/>
        </w:rPr>
        <w:t>,"</w:t>
      </w:r>
      <w:r>
        <w:rPr>
          <w:rFonts w:ascii="Arial" w:cs="Arial" w:eastAsia="Arial" w:hAnsi="Arial"/>
          <w:sz w:val="16"/>
          <w:szCs w:val="16"/>
          <w:color w:val="auto"/>
        </w:rPr>
        <w:t xml:space="preserve"> for more information. The amounts presented for the three months ended March 31, 2017 have been recast to reflect the impact of such changes. These reclassifications and adjustments had no effect on consolidated statements of operations, consolidated statements of comprehensive loss, consolidated statements of cash flows or consolidated statements of stockholders' equity for any of the periods presented.</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replaces numerous requirements in U.S. GAAP, including industry-specific requirements, and provides companies with a single revenue recognition model for recognizing revenue from contracts with customers. 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On January 1, 2018, the Company adopted Topic 606 using the modified retrospective method for all contracts. Results for reporting periods beginning on the date of adoption are presented under ASC 606, while prior period amounts have not been adjusted and continue to be reported in accordance with the Company's historical accounting methodology pursuant to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Upon adoption, a cumulative effect adjustment was not required as the majority of the Company’s contracts are recognized based on time and materials incurred and were not impacted by the new guidance. The Company has concluded that the most significant impact of the standard relates to the incremental disclosures required.</w:t>
      </w:r>
    </w:p>
    <w:p>
      <w:pPr>
        <w:spacing w:after="0" w:line="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 - Intra-Entity Transfers of Assets Other than Inventory</w:t>
      </w:r>
      <w:r>
        <w:rPr>
          <w:rFonts w:ascii="Arial" w:cs="Arial" w:eastAsia="Arial" w:hAnsi="Arial"/>
          <w:sz w:val="18"/>
          <w:szCs w:val="18"/>
          <w:color w:val="auto"/>
        </w:rPr>
        <w:t>. The amendment improves the accounting for the income tax consequences of intra-entity transfers of assets other than inventory.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Company adopted the amendment on a modified retrospective basis effective January 1, 2018. As a result of adoption, the Company recorded a cumulative effect adjustment that reduced retained earnings by $1.6 million.</w:t>
      </w:r>
    </w:p>
    <w:p>
      <w:pPr>
        <w:spacing w:after="0" w:line="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amendment requires an employer to report the service cost component of net benefit cost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In addition, the amendment allows only the service cost component to be eligible for capitalization when applicable. The Company adopted the amendment in the first quarter of 2018. Adoption did not have a material impact on the Company's consolidated financial statements.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to be implemented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evaluating the impact that the below standards to be implemented will have on the Company's consolidated financial statements.</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February 2016,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 increases transparency and comparability among organizations by recognizing lease assets and lease liabilities on the balance sheet and disclosing key information about leasing arrangements. In February 2018, FASB issued ASU 2018-01, </w:t>
      </w:r>
      <w:r>
        <w:rPr>
          <w:rFonts w:ascii="Arial" w:cs="Arial" w:eastAsia="Arial" w:hAnsi="Arial"/>
          <w:sz w:val="17"/>
          <w:szCs w:val="17"/>
          <w:i w:val="1"/>
          <w:iCs w:val="1"/>
          <w:color w:val="auto"/>
        </w:rPr>
        <w:t>Leases (Topic 842): Land Easement Practical Expedient for Transition to Topic 842</w:t>
      </w:r>
      <w:r>
        <w:rPr>
          <w:rFonts w:ascii="Arial" w:cs="Arial" w:eastAsia="Arial" w:hAnsi="Arial"/>
          <w:sz w:val="17"/>
          <w:szCs w:val="17"/>
          <w:color w:val="auto"/>
        </w:rPr>
        <w:t>. The amendment clarifies that land easements are within the scope of the new leases standard (ASC 842) and introduces a new transition practical expedient allowing a company to not assess whether existing and expired land easements that were not previously accounted for as leases under current US GAAP (ASC 840) are or contain leases under ASC 842. The Company will adopt the new standard beginning on January 1, 2019. A modified retrospective transition approach is required for leases existing at, or entered into after, the beginning of the earliest comparative period presented in the financial statements, with certain practical expedients available. While the Company is still continuing to assess the effect of adoption, it expects that the new standard will have a material effect on its consolidated balance sheet related to the recognition of new assets and lease liabilities. In preparation for the adoption of the guidance, the Company is in the process of implementing new software to enable the preparation of financial information.</w:t>
      </w:r>
    </w:p>
    <w:p>
      <w:pPr>
        <w:spacing w:after="0" w:line="93" w:lineRule="exact"/>
        <w:rPr>
          <w:sz w:val="20"/>
          <w:szCs w:val="20"/>
          <w:color w:val="auto"/>
        </w:rPr>
      </w:pPr>
    </w:p>
    <w:p>
      <w:pPr>
        <w:ind w:right="9740" w:firstLine="8"/>
        <w:spacing w:after="0" w:line="460" w:lineRule="auto"/>
        <w:tabs>
          <w:tab w:leader="none" w:pos="2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Revenue Recognition</w:t>
      </w:r>
    </w:p>
    <w:p>
      <w:pPr>
        <w:spacing w:after="0" w:line="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the Company expects to be entitled to in exchange for those goods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generates services and product revenues through its Environmental Services and Safety-Kleen operating segments. The majority of the Company’s contracts are for services, which are recognized based on time and materials incurred at contractually agreed-upon rates. Product revenues are recognized when the products are delivered and control transfers to the customer. The Company’s payment terms vary by the type and location of its customers and the products or services offered. The term between invoicing and when payment is due is not significant. The Company excludes sales taxes that it collects from customers from its revenues.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disaggregated by revenue source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 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343,972</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287,642</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631,759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6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95,716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22,276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439,688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309,918</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749,778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Sources of Revenue (1)</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236,306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236,306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69,935</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103,763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103,763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29,856</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194,161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194,161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115,757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115,757</w:t>
            </w:r>
          </w:p>
        </w:tc>
        <w:tc>
          <w:tcPr>
            <w:tcW w:w="0" w:type="dxa"/>
            <w:vAlign w:val="bottom"/>
          </w:tcPr>
          <w:p>
            <w:pPr>
              <w:spacing w:after="0"/>
              <w:rPr>
                <w:sz w:val="1"/>
                <w:szCs w:val="1"/>
                <w:color w:val="auto"/>
              </w:rPr>
            </w:pP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439,688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309,918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 March 31, 2017</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313,783</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272,071</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585,987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6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20,830</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395,907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292,901</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688,941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Sources of Revenue (1)</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Technical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230,218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230,218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Field and Emergency Response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61,019</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Industrial Services</w:t>
            </w:r>
          </w:p>
        </w:tc>
        <w:tc>
          <w:tcPr>
            <w:tcW w:w="140" w:type="dxa"/>
            <w:vAlign w:val="bottom"/>
          </w:tcPr>
          <w:p>
            <w:pPr>
              <w:spacing w:after="0"/>
              <w:rPr>
                <w:sz w:val="21"/>
                <w:szCs w:val="21"/>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75,068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Oil, Gas and Lodging Services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29,735</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191,727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191,727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Kleen Performance Products</w:t>
            </w:r>
          </w:p>
        </w:tc>
        <w:tc>
          <w:tcPr>
            <w:tcW w:w="1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101,174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101,174</w:t>
            </w:r>
          </w:p>
        </w:tc>
        <w:tc>
          <w:tcPr>
            <w:tcW w:w="0" w:type="dxa"/>
            <w:vAlign w:val="bottom"/>
          </w:tcPr>
          <w:p>
            <w:pPr>
              <w:spacing w:after="0"/>
              <w:rPr>
                <w:sz w:val="1"/>
                <w:szCs w:val="1"/>
                <w:color w:val="auto"/>
              </w:rPr>
            </w:pP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395,907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292,901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688,941</w:t>
            </w:r>
          </w:p>
        </w:tc>
        <w:tc>
          <w:tcPr>
            <w:tcW w:w="0" w:type="dxa"/>
            <w:vAlign w:val="bottom"/>
          </w:tcPr>
          <w:p>
            <w:pPr>
              <w:spacing w:after="0"/>
              <w:rPr>
                <w:sz w:val="1"/>
                <w:szCs w:val="1"/>
                <w:color w:val="auto"/>
              </w:rPr>
            </w:pPr>
          </w:p>
        </w:tc>
      </w:tr>
      <w:tr>
        <w:trPr>
          <w:trHeight w:val="27"/>
        </w:trPr>
        <w:tc>
          <w:tcPr>
            <w:tcW w:w="24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w:t>
            </w:r>
          </w:p>
        </w:tc>
        <w:tc>
          <w:tcPr>
            <w:tcW w:w="17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60" w:type="dxa"/>
            <w:vAlign w:val="bottom"/>
            <w:gridSpan w:val="3"/>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60" w:right="8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revenue except Kleen Performance Products and product sales within Safety-Kleen Environmental Services, including allied products and direct blended oil sales, are recognized over time. Kleen Performance Products and Safety-Kleen Environmental Services product revenues are recognized at a point in time.</w:t>
      </w:r>
    </w:p>
    <w:p>
      <w:pPr>
        <w:spacing w:after="0" w:line="19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Technical Services. </w:t>
      </w:r>
      <w:r>
        <w:rPr>
          <w:rFonts w:ascii="Arial" w:cs="Arial" w:eastAsia="Arial" w:hAnsi="Arial"/>
          <w:sz w:val="16"/>
          <w:szCs w:val="16"/>
          <w:color w:val="auto"/>
        </w:rPr>
        <w:t>Technical Services revenues are generated from fees charged for waste material management and disposal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location of the customer, but generally is measured in days.</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Field and Emergency Response Services. </w:t>
      </w:r>
      <w:r>
        <w:rPr>
          <w:rFonts w:ascii="Arial" w:cs="Arial" w:eastAsia="Arial" w:hAnsi="Arial"/>
          <w:sz w:val="17"/>
          <w:szCs w:val="17"/>
          <w:color w:val="auto"/>
        </w:rPr>
        <w:t>Field Services revenues are generated from cleanup services at customer sites, including municipalities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Industrial Services. </w:t>
      </w:r>
      <w:r>
        <w:rPr>
          <w:rFonts w:ascii="Arial" w:cs="Arial" w:eastAsia="Arial" w:hAnsi="Arial"/>
          <w:sz w:val="17"/>
          <w:szCs w:val="17"/>
          <w:color w:val="auto"/>
        </w:rPr>
        <w:t>Industrial Services revenues are generated from industrial and specialty services provided to refineries, mines, upgraders,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directional boring services (previously included in Oil, Gas and Lodging service offerings)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w:t>
      </w:r>
    </w:p>
    <w:p>
      <w:pPr>
        <w:spacing w:after="0" w:line="18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i w:val="1"/>
          <w:iCs w:val="1"/>
          <w:color w:val="auto"/>
        </w:rPr>
        <w:t xml:space="preserve">Safety-Kleen Environmental Services. </w:t>
      </w:r>
      <w:r>
        <w:rPr>
          <w:rFonts w:ascii="Arial" w:cs="Arial" w:eastAsia="Arial" w:hAnsi="Arial"/>
          <w:sz w:val="16"/>
          <w:szCs w:val="16"/>
          <w:color w:val="auto"/>
        </w:rPr>
        <w:t>Safety-Kleen Environmental Services revenues are generated from providing parts washer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containerized waste handling and disposal services, oil collection services, direct sales of blended oil products, and other complementary services and product sales. Containerized waste services consist of profiling, collecting, transporting and recycling or disposing of a wide variety of waste. Other complementary products and services include vacuum services, sale of allied supply products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Product revenue is recognized upon the transfer of control. Control transfers when the products are delivered to the customer.</w:t>
      </w:r>
    </w:p>
    <w:p>
      <w:pPr>
        <w:spacing w:after="0" w:line="169"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Kleen Performance Products. </w:t>
      </w:r>
      <w:r>
        <w:rPr>
          <w:rFonts w:ascii="Arial" w:cs="Arial" w:eastAsia="Arial" w:hAnsi="Arial"/>
          <w:sz w:val="17"/>
          <w:szCs w:val="17"/>
          <w:color w:val="auto"/>
        </w:rPr>
        <w:t>Kleen Performance Products revenues are generated from sales of high quality base and blended lubricating oils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third-party distributors, 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transfers when the products are delivered to the customer.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Oil, Gas and Lodging Services and Other. </w:t>
      </w:r>
      <w:r>
        <w:rPr>
          <w:rFonts w:ascii="Arial" w:cs="Arial" w:eastAsia="Arial" w:hAnsi="Arial"/>
          <w:sz w:val="18"/>
          <w:szCs w:val="18"/>
          <w:color w:val="auto"/>
        </w:rPr>
        <w:t>Oil, Gas and Lodging Services and Other is primarily comprised of revenues generated from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 Revenue for manufacturing services is recognized over time using a cost-to-cost measure of progress or completed units to depict the transfer of assets to the customer.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551,841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496,226</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21"/>
                <w:szCs w:val="21"/>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63,375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35,922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28,106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36,190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68,748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67,822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64,379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64,397</w:t>
            </w: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 advances or deposits from its customers before revenue is recognized, resulting in contract liabilities. These assets and liabilities are reported on the Consolidated Balance Sheet on a contract-by-contract basis at the end of each reporting period. As part of the acquisition of the Veolia Business on February 23, 2018, the Company acquired receivables and contract assets of $22.1 million and $18.7 million, respectively. Changes in the contract asset and liability balances during the three-month period ended March 31, 2018 and March 31, 2017 were not materially impacted by any other factors. The contract liability balances at the beginning of each period presented were fully recognized in the subsequent three-month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4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Remaining performance obligations represent the transaction price of orders for which work has not been performed. As of March 31, 2018, all remaining performance obligations were for contracts with an original expected length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 Variable consideration was not material in any of the periods presented.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 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February 23, 2018, the Company completed the acquisition of the U.S. Industrial Cleaning Business of Veolia Environmental Services North America LLC (the "Veolia Business"). The acquisition will provide significant scale and industrial services capabilities while increasing the size of the Company's existing U.S. Industrial Services business. The Company acquired the Veolia Business for a purchase price of $120.0 million subject to certain post-closing adjustments. The acquisition was financed with cash on hand. The amount of revenue from the Veolia Business included in the Company's results of operations for the period ended March 31, 2018 was $17.6 million. The amount of pre-tax income for the period ended March 31, 2018 was immaterial. During the three months ended March 31, 2018, the Company incurred acquisition-related costs of approximately $0.5 million in connection with the transaction which are included in selling, general and administrative expenses in the consolidated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allocation of the purchase price was based on preliminary estimates of the fair value of assets acquired and liabilities assumed as of February 23, 2018, as the Company is continuing to obtain information to complete its valuation of these accounts and the associated tax accounting. The components and preliminary allocation of the purchase price consist of the following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At Acquisition Date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40,773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1,442</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72,244</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(15,908)</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104,092</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15,908</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purchase price, net of cash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120,000</w:t>
            </w: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this acquisition had been completed on January 1, 2017 are immaterial to the consolidated financial statements of the Company since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October 16, 2017, the Company acquired a division of a privately held company for $4.8 million. This acquisition provides the Company with additional fabrication and refurbishment capabilities for its fleet of trucks. The acquired division is included in the Environmental Services segment. In connection with this acquisition, there was minimal goodwill recognized.</w:t>
      </w:r>
    </w:p>
    <w:p>
      <w:pPr>
        <w:spacing w:after="0" w:line="181" w:lineRule="exact"/>
        <w:rPr>
          <w:sz w:val="20"/>
          <w:szCs w:val="20"/>
          <w:color w:val="auto"/>
        </w:rPr>
      </w:pPr>
    </w:p>
    <w:p>
      <w:pPr>
        <w:jc w:val="both"/>
        <w:ind w:right="780" w:firstLine="648"/>
        <w:spacing w:after="0" w:line="264" w:lineRule="auto"/>
        <w:rPr>
          <w:sz w:val="20"/>
          <w:szCs w:val="20"/>
          <w:color w:val="auto"/>
        </w:rPr>
      </w:pPr>
      <w:r>
        <w:rPr>
          <w:rFonts w:ascii="Arial" w:cs="Arial" w:eastAsia="Arial" w:hAnsi="Arial"/>
          <w:sz w:val="18"/>
          <w:szCs w:val="18"/>
          <w:color w:val="auto"/>
        </w:rPr>
        <w:t>On September 22, 2017, the Company acquired a privately held company which manufactures and sells parts washer machines and related equipment for $2.1 million. The acquired company is included in the Safety-Kleen operating segment. In connection with this acquisition, goodwill totaling $0.7 million was recognized.</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is expected to support the Company's growth in the daylighting and hydro excavation services markets. In addition to increasing the size of the Company's hydro vac fleet, Lonestar's network of locations will provide the Company with direct access to key geographic markets in both the United States and Canada. The acquired company is included in the Environmental Services segment. The primary areas of the preliminary purchase price allocation that are subject to change relate to certain legal matters, income and income based taxes and residual goodwill. Measurement period adjustments are recorded in the reporting period in which the estimates are finalized and adjustment amounts are determined. In connection with this acquisition, a preliminary goodwill amount of $2.9 million was recognized.</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The acquired business produces and distributes oil products and therefore complements the Company's closed loop model as it relates to the sale of its oil products. The acquired company is included in the Safety-Kleen segment. In connection with this acquisition, a goodwill amount of $5.0 million was recognized.</w:t>
      </w:r>
    </w:p>
    <w:p>
      <w:pPr>
        <w:spacing w:after="0" w:line="18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Pro forma financial information on a comparative basis, as if these acquisitions had been completed on January 1, 2017, is not presented as the pro forma results would not be materially different from reported trends and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w:t>
      </w:r>
    </w:p>
    <w:p>
      <w:pPr>
        <w:spacing w:after="0" w:line="1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June 30, 2017, the Company completed the sale of its Transformer Services business, as part of its continuous focus on improving or divesting certain non-core operations. The sale price was $45.5 million. The Transformer Services business was a non-core business previously included within the legacy Technical Services operating segment.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income attributable to the Transformer Services business included in the Company's consolidated results of operations for the three months ended March 31, 2017 (in thousands):</w:t>
      </w:r>
    </w:p>
    <w:p>
      <w:pPr>
        <w:spacing w:after="0" w:line="17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3773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40" w:val="left"/>
          <w:tab w:leader="none" w:pos="11020" w:val="left"/>
        </w:tabs>
        <w:rPr>
          <w:sz w:val="20"/>
          <w:szCs w:val="20"/>
          <w:color w:val="auto"/>
        </w:rPr>
      </w:pPr>
      <w:r>
        <w:rPr>
          <w:rFonts w:ascii="Arial" w:cs="Arial" w:eastAsia="Arial" w:hAnsi="Arial"/>
          <w:sz w:val="18"/>
          <w:szCs w:val="18"/>
          <w:color w:val="auto"/>
        </w:rPr>
        <w:t>Income before 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898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 AND SUPPLIES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products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58,142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94,242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Modular camp accommodations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1,826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181,438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176,012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March 31, 2018 and December 31, 2017, other inventories consisted primarily of parts washer components, cleaning fluids, absorbents and automotive fluids, such as windshield washer fluid and antifreeze. Supplies and drums consist primarily of drums and containers as well as critical spare parts to support the Company's incinerator and re-refinery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14,593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421,749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414,384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Vehicles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676,749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617,959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1,644,102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5,708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57,618</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3,259,929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3,190,573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1,603,208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1,631,648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Interest in the amount of $0.3 million and $0.1 million was capitalized to property, plant and equipment during the three months ended March 31, 2018 and March 31, 2017 respectively. Depreciation expense, inclusive of landfill amortization, was $65.6 million and $63.3 million for the three months ended March 31, 2018 and March 31,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three months ended March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187,490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305,215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492,705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As discussed in Note 18, “Segment Reporting,” during the first quarter of fiscal year 2018 and as a result of operational and managerial changes in several of the Company’s businesses, the identification of operating segments in accordance with ASC 280, </w:t>
      </w:r>
      <w:r>
        <w:rPr>
          <w:rFonts w:ascii="Arial" w:cs="Arial" w:eastAsia="Arial" w:hAnsi="Arial"/>
          <w:sz w:val="17"/>
          <w:szCs w:val="17"/>
          <w:i w:val="1"/>
          <w:iCs w:val="1"/>
          <w:color w:val="auto"/>
        </w:rPr>
        <w:t>Segment Information</w:t>
      </w:r>
      <w:r>
        <w:rPr>
          <w:rFonts w:ascii="Arial" w:cs="Arial" w:eastAsia="Arial" w:hAnsi="Arial"/>
          <w:sz w:val="17"/>
          <w:szCs w:val="17"/>
          <w:color w:val="auto"/>
        </w:rPr>
        <w:t>, was changed. As a result of the Company's conclusions around the identification of operating segments, the Company also concluded that, for purposes of reviewing for potential goodwill impairment, it now has four reporting units, consisting of Environmental Sales and Service, Environmental Facilities, Kleen Performance Products and Safety-Kleen Environmental Services.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March 31, 2018 and December 31, 2017, the Company's total finite-lived and indefinite-lived intangible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174,867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174,721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100,374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400,385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165,056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235,329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399,224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158,972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240,252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38,071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613,323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341,604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610,711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345,800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lived 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123,031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123,031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736,354</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271,719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464,635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734,039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469,128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Amortization expense of permits and other intangible assets was $9.2 million and $9.1 million in the three months ended March 31, 2018 and March 31, 2017, respectively.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amortization of the net carrying amount of finite-lived intangible assets at March 31, 2018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Expected Amortization</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 (nine months)</w:t>
            </w: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26,018</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2019</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29,486</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2021</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27,342</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199,019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341,604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68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at March 31,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12,660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27,330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34,242</w:t>
            </w: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194,160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187,982</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2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2018 through March 31,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34,289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64,080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All of the landfill facilities included in the above were active as of March 31, 2018. There were no significant charges (benefits) in 2018 resulting from changes in estimates for closure and post-closure liabilities.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three months of 2018 were discounted at the credit-adjusted risk-free rate of 5.66%.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for the three months ended March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65,155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55,483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122,447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three months ended March 31, 2018, there were no significant charges (benefits) resulting from changes in estimates for remedial liabilities.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long-term obligations, at carrying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r>
      <w:tr>
        <w:trPr>
          <w:trHeight w:val="271"/>
        </w:trPr>
        <w:tc>
          <w:tcPr>
            <w:tcW w:w="8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393,000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394,000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par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1,639,000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1,625,537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and long-term obligations,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1,629,537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17, 2018, the Company, and substantially all of the Company's domestic subsidiaries as guarantors, entered into the first amendment (“First Amendment”) of the Term Loan Agreement. The First Amendment (i) reduces the applicable interest rate margin for the Company’s initial term loans outstanding (the "Term Loans") under the Term Loan Agreement by 25 basis points for both Eurocurrency borrowings and base rate borrowings, and (ii) resets the six month soft call period for a repricing of the Term Loans. After giving effect to the repricing, the applicable interest rate margin for the Term Loans are 1.75% for Eurocurrency borrowings and 0.75% for base rate borrowings.</w:t>
      </w:r>
    </w:p>
    <w:p>
      <w:pPr>
        <w:spacing w:after="0" w:line="10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March 31, 2018 and December 31, 2017, the fair value of the Term Loans was $398.2 million and $400.5 million, respectively, based on quoted market prices or other available market data. At March 31, 2018 and December 31, 2017, the fair value of the Company's 2020 Notes was $401.6 million and $404.6 million, respectively, based on quoted market prices for the instrument. At March 31, 2018 and December 31, 2017, the fair value of the Company's 2021 Notes was $855.3 million and $855.7 million, respectively, based on quoted market prices for the instrument. The fair values of the Term Loans, 2020 Notes and 2021 Notes are considered Level 2 measures according to the fair value hierarchy.</w:t>
      </w:r>
    </w:p>
    <w:p>
      <w:pPr>
        <w:spacing w:after="0" w:line="9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also maintains a $400.0 million revolving credit facility under which the Company had no outstanding loan balances as of March 31, 2018 and December 31, 2017. At March 31, 2018, approximately $237.0 million was available to borrow and outstanding letters of credit were $132.9 million. At December 31, 2017, $217.8 million was available to borrow and outstanding letters of credit were $134.1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loss per share (in thousands except for per share amounts):</w:t>
      </w:r>
    </w:p>
    <w:p>
      <w:pPr>
        <w:spacing w:after="0" w:line="230"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(21,393)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57,262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57,262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 a result of the net loss reported for the three months ended March 31, 2018 and March 31, 2017, all then outstanding restricted stock awards and performance awards totaling 896,180 and 659,558, respectively, were excluded from the calculation of diluted loss per share as their inclusion would have an antidilutive effect.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three months ended March 31,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Unfunded Pension</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Sale Securities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before tax effects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4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Total stock-based compensation cost charged to selling, general and administrative expenses for the three months ended March 31, 2018 and March 31, 2017 was $3.1 million and $2.3 million, respectively. The total income tax benefit recognized in the consolidated statements of operations from stock-based compensation was $0.9 million and $0.8 million for the three months ended March 31, 2018 and March 31, 2017, respectively.</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following information relates to restricted stock awards that have been granted to employees and directors under the Company's equity incentive plans (the "Plans").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149,200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(6,772)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721,803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March 31, 2018, there was $28.5 million of total unrecognized compensation cost arising from restricted stock awards under the Company's Plans. This cost is expected to be recognized over a weighted average period of 2.7 years. The total fair value of restricted stock vested during the three months ended March 31, 2018 and March 31, 2017 was $1.3 million and $1.5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following information relates to performance stock awards that have been granted to employees under the Company's Plans.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three months ended March 31, 2018:</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190,129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(7,056)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174,377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of March 31, 2018, there was $2.0 million of total unrecognized compensation cost arising from unvested performance stock awards deemed probable of vesting under the Company's Plans. The total fair value of performance awards vested during the three months ended March 31, 2018 and March 31, 2017 was $0.5 million and $1.4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October 31, 2017, the Company's board of directors increased the size of the Company’s current share repurchase program from $300 million to $600 million. During the three months ended March 31, 2018 and March 31, 2017, the Company repurchased and retired a total of 0.3 million shares and 0.1 million shares, respectively, of the Company's common stock for a total cost of $14.3 million and $6.8 million, respectively. Through March 31, 2018, the Company has repurchased and retired a total of 5.1 million shares of the Company's common stock for a total cost of $263.1 million under this program. As of March 31, 2018, an additional $336.9 million remained available for repurchase of shares under the current authorized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 party sites”) to which either the Company or the prior owners of certain of the Company’s facilities shipped wastes.</w:t>
      </w:r>
    </w:p>
    <w:p>
      <w:pPr>
        <w:spacing w:after="0" w:line="8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At March 31, 2018 and December 31, 2017, the Company had recorded reserves of $19.9 million and $19.3 million, respectively, in the Company's financial statements for actual or probable liabilities related to the legal and administrative proceedings in which the Company was then involved, the principal of which are described below. At March 31, 2018 and December 31, 2017, the Company also believed that it was reasonably possible that the amount of these potential liabilities could be as much as $1.7 million and $1.8 million more, respectively. The Company periodically adjusts the aggregate amount of these reserves when actual or probable liabilities are paid or otherwise discharged, new claims arise, or additional relevant information about existing or probable claims becomes available. As of March 31, 2018 and December 31, 2017, the $19.9 million and $19.3 million, respectively, of reserves consisted of (i) $17.8 million and $17.9 million, respectively, related to pending legal or administrative proceedings, including Superfund liabilities, which were included in remedial liabilities on the consolidated balance sheets, and (ii) $2.1 million and $1.4 million, respectively, primarily related to federal, state and provincial enforcement actions, which were included in accrued expenses on the consolidated balance sheets.</w:t>
      </w:r>
    </w:p>
    <w:p>
      <w:pPr>
        <w:spacing w:after="0" w:line="2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2018, the principal legal and administrative proceedings in which the Company was involved, or which had been terminated during 2018, were as follows:</w:t>
      </w:r>
    </w:p>
    <w:p>
      <w:pPr>
        <w:spacing w:after="0" w:line="2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Ville Mercier. </w:t>
      </w:r>
      <w:r>
        <w:rPr>
          <w:rFonts w:ascii="Arial" w:cs="Arial" w:eastAsia="Arial" w:hAnsi="Arial"/>
          <w:sz w:val="18"/>
          <w:szCs w:val="18"/>
          <w:color w:val="auto"/>
        </w:rPr>
        <w:t>In September 2002, the Company acquired the stock of a subsidiary (the "Mercier Subsidiary") which owns a hazardous waste</w:t>
      </w:r>
      <w:r>
        <w:rPr>
          <w:rFonts w:ascii="Arial" w:cs="Arial" w:eastAsia="Arial" w:hAnsi="Arial"/>
          <w:sz w:val="18"/>
          <w:szCs w:val="18"/>
          <w:i w:val="1"/>
          <w:iCs w:val="1"/>
          <w:color w:val="auto"/>
        </w:rPr>
        <w:t xml:space="preserve"> </w:t>
      </w:r>
      <w:r>
        <w:rPr>
          <w:rFonts w:ascii="Arial" w:cs="Arial" w:eastAsia="Arial" w:hAnsi="Arial"/>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currently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10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March 31, 2018 were as follows:</w:t>
      </w:r>
    </w:p>
    <w:p>
      <w:pPr>
        <w:spacing w:after="0" w:line="1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59 proceedings (excluding cases which have been settled but not formally dismissed) as of March 31, 2018,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2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March 31, 2018. From January 1, 2018 to March 31, 2018, three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127 sites which are subject to or are proposed to become subject to proceedings under federal or state Superfund laws. Of the 127 sites, three (including the BR Facility described below) involve facilities that are now owned or leased by the Company and 124 involve third party sites to which either the Company or the prior owners of certain of the Company’s facilities shipped wastes. Of the 124 third party sites, 33 are now settled, 16 are currently requiring expenditures on remediation and 75 are not currently requiring expenditures on remediation.</w:t>
      </w:r>
    </w:p>
    <w:p>
      <w:pPr>
        <w:spacing w:after="0" w:line="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11 of the 124 third party sites.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Environmental Protection Agency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The Company is currently performing corrective actions at the BR Facility under an order issued by the Louisiana Department of Environmental Quality, and has begun conducting the remedial investigation and feasibility study under an order issued by the EPA. The Company cannot presently estimate the potential additional liability for the Devil's Swamp cleanup until a final remedy is selected by the EPA.</w:t>
      </w:r>
    </w:p>
    <w:p>
      <w:pPr>
        <w:spacing w:after="0" w:line="23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Third Party Sites. </w:t>
      </w:r>
      <w:r>
        <w:rPr>
          <w:rFonts w:ascii="Arial" w:cs="Arial" w:eastAsia="Arial" w:hAnsi="Arial"/>
          <w:sz w:val="16"/>
          <w:szCs w:val="16"/>
          <w:color w:val="auto"/>
        </w:rPr>
        <w:t>Of the 124 third 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 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124 third 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Enforcement Actions</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From time to time, the Company pays fines or penalties in regulatory proceedings relating primarily to waste treatment, storage or disposal facilities. As of March 31, 2018 and December 31, 2017, there were five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97" w:lineRule="exact"/>
        <w:rPr>
          <w:sz w:val="20"/>
          <w:szCs w:val="20"/>
          <w:color w:val="auto"/>
        </w:rPr>
      </w:pPr>
    </w:p>
    <w:p>
      <w:pPr>
        <w:ind w:right="40" w:firstLine="648"/>
        <w:spacing w:after="0" w:line="292"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effective tax rate for the three months ended March 31, 2018 was (31.9)% compared to (14.5)% for the same period in 2017. The variations in the effective income tax rates for the three months ended March 31, 2018 as compared to more customary relationships between pre-tax income and the provision for income taxes were primarily due to the Company not recognizing income tax benefits from current operating losses related to certain Canadian entities in those periods.</w:t>
      </w:r>
    </w:p>
    <w:p>
      <w:pPr>
        <w:spacing w:after="0" w:line="10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December 22, 2017, the “Tax Cuts and Jobs Act” (the “Tax Act”) was signed into law, making significant changes to the federal tax law. Changes include, but are not limited to, a corporate tax rate decrease from 35% to 21% effective for tax years beginning after December 31, 2017, the transition of U.S. international taxation from a worldwide tax system to a territorial tax system, and a one-time transition tax on the mandatory deemed repatriation of cumulative foreign earnings as of December 31, 2017. The Company recognized its best estimate of the income tax effects of the 2017 Tax Act in the financial statements included in its 2017 Annual Report on Form 10-K in accordance with Staff Accounting Bulletin No. 118, which provides SEC staff guidance for the application of ASC Topic 740, Income Taxes, in the reporting period in which the 2017 Tax Act was signed into law. During the three months ended March 31, 2018, the Company did not recognize any changes to the provisional amounts recorded in its 2017 Annual Report on Form 10-K in connection with the 2017 Tax Act. The Company is continuing to evaluate the impact of the Tax Act on its business and the consolidated financial statements and will make any adjustments to its provisional amounts in subsequent reporting periods upon obtaining, preparing or analyzing additional information affecting the income tax effects initially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reported as a provisional amount. Any subsequent adjustment to these amounts will be recorded to tax expense in the quarter of 2018 when the analysis is complete.</w:t>
      </w:r>
    </w:p>
    <w:p>
      <w:pPr>
        <w:spacing w:after="0" w:line="2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March 31, 2018 and December 31, 2017, the Company had recorded $5.6 million and $5.1 million, respectively, of liabilities for unrecognized tax benefits and $0.4 million and $0.5 million of interest, respectively.</w:t>
      </w:r>
    </w:p>
    <w:p>
      <w:pPr>
        <w:spacing w:after="0" w:line="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$1.4 million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4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Segment reporting is prepared on the same basis that the Company's chief executive officer, who is the Company's chief operating decision maker, manages the business, makes operating decisions and assesses performance. 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 the Environmental Services segment which consists of the Company’s historical Technical Services, Industrial Services, Field Services and Oil, Gas and Lodging businesses and (ii) the Safety-Kleen segment.</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negative intersegment revenues are due to more transfers out of customer revenues to other segments than transfers in of customer revenues from other segments. The operations not managed through the Company’s operating segments described above are recorded as “Corporate Items.” Corporate Items revenues consist of two different operations for which the revenues are insignificant. Corporate Items cost of revenues represents certain central services that are not allocated to the Company's operating segments for internal reporting purposes. Corporate Items selling, general and administrative expenses include typical corporate items such as legal, accounting and other items of a general corporate nature that are not allocated to the Company’s operating segments.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third party revenues to direct revenues for the three months ended March 31, 2018 and 2017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9"/>
          </w:tcPr>
          <w:p>
            <w:pPr>
              <w:jc w:val="right"/>
              <w:ind w:right="116"/>
              <w:spacing w:after="0"/>
              <w:rPr>
                <w:sz w:val="20"/>
                <w:szCs w:val="20"/>
                <w:color w:val="auto"/>
              </w:rPr>
            </w:pPr>
            <w:r>
              <w:rPr>
                <w:rFonts w:ascii="Arial" w:cs="Arial" w:eastAsia="Arial" w:hAnsi="Arial"/>
                <w:sz w:val="14"/>
                <w:szCs w:val="14"/>
                <w:b w:val="1"/>
                <w:bCs w:val="1"/>
                <w:color w:val="auto"/>
                <w:w w:val="95"/>
              </w:rPr>
              <w:t>For the Three Months Ended March 31, 2018</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jc w:val="right"/>
              <w:ind w:right="96"/>
              <w:spacing w:after="0"/>
              <w:rPr>
                <w:sz w:val="20"/>
                <w:szCs w:val="20"/>
                <w:color w:val="auto"/>
              </w:rPr>
            </w:pPr>
            <w:r>
              <w:rPr>
                <w:rFonts w:ascii="Arial" w:cs="Arial" w:eastAsia="Arial" w:hAnsi="Arial"/>
                <w:sz w:val="14"/>
                <w:szCs w:val="14"/>
                <w:b w:val="1"/>
                <w:bCs w:val="1"/>
                <w:color w:val="auto"/>
                <w:w w:val="94"/>
              </w:rPr>
              <w:t>For the Three Months Ended March 31, 2017</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rPr>
              <w:t>Third party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880" w:type="dxa"/>
            <w:vAlign w:val="bottom"/>
          </w:tcPr>
          <w:p>
            <w:pPr>
              <w:jc w:val="right"/>
              <w:ind w:right="16"/>
              <w:spacing w:after="0" w:line="153" w:lineRule="exact"/>
              <w:rPr>
                <w:sz w:val="20"/>
                <w:szCs w:val="20"/>
                <w:color w:val="auto"/>
              </w:rPr>
            </w:pPr>
            <w:r>
              <w:rPr>
                <w:rFonts w:ascii="Arial" w:cs="Arial" w:eastAsia="Arial" w:hAnsi="Arial"/>
                <w:sz w:val="14"/>
                <w:szCs w:val="14"/>
                <w:b w:val="1"/>
                <w:bCs w:val="1"/>
                <w:color w:val="auto"/>
              </w:rPr>
              <w:t>Third party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439,688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31,965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472,447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428,896</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277,964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292,901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260,835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749,778</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749,778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688,941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688,941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primary financial measure by which the Company evaluates the performance of its segments is "Adjusted EBITDA" which consists of net loss plus accretion of environmental liabilities, depreciation and amortization, interest expense, net, provision for income taxes and excludes other expense, net. Transactions between the segments are accounted for at the Company’s best estimate based on similar transactions with outside customers.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13"/>
          </w:tcPr>
          <w:p>
            <w:pPr>
              <w:jc w:val="center"/>
              <w:ind w:right="56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276"/>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11"/>
          </w:tcPr>
          <w:p>
            <w:pPr>
              <w:jc w:val="center"/>
              <w:ind w:left="335"/>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Environmental Services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61,417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Corporate Items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(35,036)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74,844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(9,578)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800" w:type="dxa"/>
            <w:vAlign w:val="bottom"/>
            <w:gridSpan w:val="12"/>
          </w:tcPr>
          <w:p>
            <w:pPr>
              <w:ind w:left="660"/>
              <w:spacing w:after="0"/>
              <w:rPr>
                <w:sz w:val="20"/>
                <w:szCs w:val="20"/>
                <w:color w:val="auto"/>
              </w:rPr>
            </w:pPr>
            <w:r>
              <w:rPr>
                <w:rFonts w:ascii="Arial" w:cs="Arial" w:eastAsia="Arial" w:hAnsi="Arial"/>
                <w:sz w:val="18"/>
                <w:szCs w:val="18"/>
                <w:color w:val="auto"/>
                <w:w w:val="99"/>
              </w:rPr>
              <w:t>The following table presents certain assets by reportable segment and in the aggregate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9"/>
              </w:rPr>
              <w:t>Safety-Kleen</w:t>
            </w:r>
          </w:p>
        </w:tc>
        <w:tc>
          <w:tcPr>
            <w:tcW w:w="10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6"/>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w w:val="92"/>
              </w:rPr>
              <w:t>Items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553,308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80,000</w:t>
            </w:r>
          </w:p>
        </w:tc>
        <w:tc>
          <w:tcPr>
            <w:tcW w:w="4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1,631,648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187,490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8"/>
                <w:szCs w:val="18"/>
                <w:color w:val="auto"/>
              </w:rPr>
              <w:t>305,215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492,705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365,234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1,685,168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9"/>
              <w:spacing w:after="0"/>
              <w:rPr>
                <w:sz w:val="20"/>
                <w:szCs w:val="20"/>
                <w:color w:val="auto"/>
              </w:rPr>
            </w:pPr>
            <w:r>
              <w:rPr>
                <w:rFonts w:ascii="Arial" w:cs="Arial" w:eastAsia="Arial" w:hAnsi="Arial"/>
                <w:sz w:val="18"/>
                <w:szCs w:val="18"/>
                <w:color w:val="auto"/>
              </w:rPr>
              <w:t>1,437,026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6"/>
          </w:tcPr>
          <w:p>
            <w:pPr>
              <w:jc w:val="right"/>
              <w:ind w:right="20"/>
              <w:spacing w:after="0"/>
              <w:rPr>
                <w:sz w:val="20"/>
                <w:szCs w:val="20"/>
                <w:color w:val="auto"/>
              </w:rPr>
            </w:pPr>
            <w:r>
              <w:rPr>
                <w:rFonts w:ascii="Arial" w:cs="Arial" w:eastAsia="Arial" w:hAnsi="Arial"/>
                <w:sz w:val="18"/>
                <w:szCs w:val="18"/>
                <w:color w:val="auto"/>
              </w:rPr>
              <w:t>562,622</w:t>
            </w:r>
          </w:p>
        </w:tc>
        <w:tc>
          <w:tcPr>
            <w:tcW w:w="46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3,684,816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08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w w:val="99"/>
              </w:rPr>
              <w:t>Safety-Kleen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left="35"/>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55"/>
              <w:spacing w:after="0"/>
              <w:rPr>
                <w:sz w:val="20"/>
                <w:szCs w:val="20"/>
                <w:color w:val="auto"/>
              </w:rPr>
            </w:pPr>
            <w:r>
              <w:rPr>
                <w:rFonts w:ascii="Arial" w:cs="Arial" w:eastAsia="Arial" w:hAnsi="Arial"/>
                <w:sz w:val="14"/>
                <w:szCs w:val="14"/>
                <w:b w:val="1"/>
                <w:bCs w:val="1"/>
                <w:color w:val="auto"/>
                <w:w w:val="92"/>
              </w:rPr>
              <w:t>Items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927,139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582,162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78,064</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1,587,365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172,386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8"/>
                <w:szCs w:val="18"/>
                <w:color w:val="auto"/>
              </w:rPr>
              <w:t>306,137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478,523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371,609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469,128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1,541,241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9"/>
              <w:spacing w:after="0"/>
              <w:rPr>
                <w:sz w:val="20"/>
                <w:szCs w:val="20"/>
                <w:color w:val="auto"/>
              </w:rPr>
            </w:pPr>
            <w:r>
              <w:rPr>
                <w:rFonts w:ascii="Arial" w:cs="Arial" w:eastAsia="Arial" w:hAnsi="Arial"/>
                <w:sz w:val="18"/>
                <w:szCs w:val="18"/>
                <w:color w:val="auto"/>
              </w:rPr>
              <w:t>1,471,291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694,038</w:t>
            </w:r>
          </w:p>
        </w:tc>
        <w:tc>
          <w:tcPr>
            <w:tcW w:w="20" w:type="dxa"/>
            <w:vAlign w:val="bottom"/>
          </w:tcPr>
          <w:p>
            <w:pPr>
              <w:spacing w:after="0"/>
              <w:rPr>
                <w:sz w:val="21"/>
                <w:szCs w:val="21"/>
                <w:color w:val="auto"/>
              </w:rPr>
            </w:pPr>
          </w:p>
        </w:tc>
        <w:tc>
          <w:tcPr>
            <w:tcW w:w="46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3,706,570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220" w:type="dxa"/>
            <w:vAlign w:val="bottom"/>
            <w:gridSpan w:val="3"/>
          </w:tcPr>
          <w:p>
            <w:pPr>
              <w:ind w:left="660"/>
              <w:spacing w:after="0"/>
              <w:rPr>
                <w:sz w:val="20"/>
                <w:szCs w:val="20"/>
                <w:color w:val="auto"/>
              </w:rPr>
            </w:pPr>
            <w:r>
              <w:rPr>
                <w:rFonts w:ascii="Arial" w:cs="Arial" w:eastAsia="Arial" w:hAnsi="Arial"/>
                <w:sz w:val="18"/>
                <w:szCs w:val="18"/>
                <w:color w:val="auto"/>
                <w:w w:val="89"/>
              </w:rPr>
              <w:t>The following table presents total assets by geographical area (in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235"/>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99"/>
              </w:rPr>
              <w:t>3,002,779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2,985,394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681,901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foreign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8"/>
                <w:szCs w:val="18"/>
                <w:color w:val="auto"/>
                <w:w w:val="99"/>
              </w:rPr>
              <w:t>3,684,816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3,706,570</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FINANCIAL INFORMATION</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2020 Notes and the 2021 Notes (collectively, the "Senior Unsecured Notes") and the Company's obligations under its Term Loan Agreement are guaranteed by substantially all of the Company’s subsidiaries organized in the United States. Each guarantor is a 100% owned subsidiary of Clean Harbors, Inc. and its guarantee is both full and unconditional and joint and several. The guarantees are, however, subject to customary release provisions under which, in particular, the guarantee of any domestic restricted subsidiary will be released if the Company sells such subsidiary to an unrelated third party in accordance with the terms of the indentures which govern the Senior Unsecured Notes and of the Term Loan Agreement. The Senior Unsecured Notes and the Company's obligations under its Term Loan Agreement are not guaranteed by the Company’s subsidiaries organized outside the United States. The following supplemental condensed consolidating financial information for the parent company, the guarantor</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subsidiaries and the non-guarantor subsidiaries, respectively, is presented in conformity with the requirements of Rule 3-10 of SEC Regulation S-X (“Rule 3-10”).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March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99,662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34,909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186,352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244,228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600,975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551,841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265,477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303,837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1,631,648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3,095,335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535,503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(3,630,838)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431,574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492,705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464,635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3,393,282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4,150,058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806,041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3,684,816</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524,684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600,287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306,401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166,704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1,625,259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1,625,259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21,602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222,643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2,247,756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(1,033,727)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2,539,290</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1,145,526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3,089,351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541,487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(3,630,838)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1,145,526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3,393,282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4,150,058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806,041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3,684,816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59,984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238,339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590,100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528,924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233,602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267,554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1,587,365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3,112,547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569,568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415,641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574,812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289,531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1,625,537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1,625,537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2,217,303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2,518,368</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1,188,202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3,106,330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575,785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March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481,483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152,401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619,719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130,059</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603,065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163,851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749,778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328,180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447,649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98,776</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140,345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546,425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48,301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757"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March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443,305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131,071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560,214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128,727</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559,955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146,402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688,941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294,145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391,087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105,498</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390,650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496,585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72,412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2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271"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three months ended March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51,903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(164,428)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99,662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186,352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three months ended March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57,119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business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from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(51,868)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155,943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51,726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139,160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106,480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297,366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to historical information, this Quarterly Report on Form 10-Q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28, 2018,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84"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 xml:space="preserve">During the first quarter of fiscal year 2018, certain of our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our operations through the sharing of resources, namely labor and equipment which will reduce third party spend and promote the cross selling of such business offerings. In connection with this reorganization, our chief operating decision maker also requested changes in the information that he regularly reviews for purposes of allocating resources and assessing performance. These changes required a reconsideration of our operating segments in the first quarter of 2018 and resulted in a change in our assessment of our operating segments. We concluded that there are now two operating segments for disclosure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 the Environmental Services segment which consists of our historical Technical Services, Industrial Services, Field Services and Oil, Gas and Lodging businesses, and (ii) the Safety-Kleen segment.</w:t>
      </w:r>
    </w:p>
    <w:p>
      <w:pPr>
        <w:spacing w:after="0" w:line="182"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right="20" w:hanging="32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of waste handled and disposed of through our owned incinerators and landfills as well as the utilization of such incinerators. Levels of activity and ultimate performance associated with this segment can be impacted by seasonality and weather conditions, market conditions and overall U.S. GDP and U.S. industrial production,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the requirement for environmental cleanup services on a scheduled or emergency basis, including response to national events such as major oil spills, natural disasters or other events where immediate and specialized services are required.</w:t>
      </w:r>
    </w:p>
    <w:p>
      <w:pPr>
        <w:spacing w:after="0" w:line="159" w:lineRule="exact"/>
        <w:rPr>
          <w:rFonts w:ascii="Arial" w:cs="Arial" w:eastAsia="Arial" w:hAnsi="Arial"/>
          <w:sz w:val="16"/>
          <w:szCs w:val="16"/>
          <w:color w:val="auto"/>
        </w:rPr>
      </w:pPr>
    </w:p>
    <w:p>
      <w:pPr>
        <w:ind w:left="980" w:hanging="324"/>
        <w:spacing w:after="0" w:line="24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Safety-Kleen - </w:t>
      </w:r>
      <w:r>
        <w:rPr>
          <w:rFonts w:ascii="Arial" w:cs="Arial" w:eastAsia="Arial" w:hAnsi="Arial"/>
          <w:sz w:val="18"/>
          <w:szCs w:val="18"/>
          <w:color w:val="auto"/>
        </w:rPr>
        <w:t>Safety-Kleen segment results are significantly impacted by the overall market pricing and product mix associated with base and</w:t>
      </w:r>
      <w:r>
        <w:rPr>
          <w:rFonts w:ascii="Arial" w:cs="Arial" w:eastAsia="Arial" w:hAnsi="Arial"/>
          <w:sz w:val="18"/>
          <w:szCs w:val="18"/>
          <w:b w:val="1"/>
          <w:bCs w:val="1"/>
          <w:color w:val="auto"/>
        </w:rPr>
        <w:t xml:space="preserve"> </w:t>
      </w:r>
      <w:r>
        <w:rPr>
          <w:rFonts w:ascii="Arial" w:cs="Arial" w:eastAsia="Arial" w:hAnsi="Arial"/>
          <w:sz w:val="18"/>
          <w:szCs w:val="18"/>
          <w:color w:val="auto"/>
        </w:rPr>
        <w:t>blended oil products and, more specifically, the market prices of Group II base oils, which historically have correlated with overall crude oil prices. Costs incurred in connection with the collection of used oils, which are raw materials associated with the segment’s products, can also be volatile. Starting in 2015, we began charging for collection of used oils, which has allowed us to more effectively manage the profit spreads inherent in the business. The implementation of our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resulting in the sale of our renewable oil products directly to our end customers will also impact future operating results. In addition, this segment's results are also impacted by the number of parts washers serviced by the business and the ability to attract small quantity waste producers as customers and integrate them into the Clean Harbors waste network.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Total revenues for the three months ended March 31, 2018 were $749.8 million compared with $688.9 million for the three months ended March 31, 2017. In the three months ended March 31, 2018, our Environmental Services segment increased direct revenues 10.2% from the comparable period in 2017 primarily related to increased revenues associated with higher waste volumes disposed of in our network and emergency response work as well as $17.6 million resulting from the acquisition of the Veolia Business in the first quarter of 2018 and incremental revenues from acquisitions made in 2017 subsequent to the first quarter. In the three months ended March 31, 2018, our Safety-Kleen segment increased direct revenues 6.6% from the comparable period in 2017, as a result of improved pricing conditions related to our renewable oil products, incremental revenues generated from acquisitions,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40"/>
        <w:spacing w:after="0" w:line="226" w:lineRule="auto"/>
        <w:rPr>
          <w:sz w:val="20"/>
          <w:szCs w:val="20"/>
          <w:color w:val="auto"/>
        </w:rPr>
      </w:pPr>
      <w:r>
        <w:rPr>
          <w:rFonts w:ascii="Arial" w:cs="Arial" w:eastAsia="Arial" w:hAnsi="Arial"/>
          <w:sz w:val="18"/>
          <w:szCs w:val="18"/>
          <w:color w:val="auto"/>
        </w:rPr>
        <w:t>continued growth related to our Safety-Kleen Environmental services business and our OilPlus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closed loop initiative. The strengthening of the Canadian dollar during the first quarter of 2018 from the comparable period in 2017 also positively impacted our consolidated revenues by $6.1 million for the three months ended March 31, 2018.</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We reported income from operations for the three months ended March 31, 2018 of $11.0 million compared with $5.4 million in the three months ended March 31, 2017. We reported net losses for the three months ended March 31, 2018 and 2017 of $12.6 million and $21.4 million, respectively. Adjusted EBITDA, which is the primary financial measure by which our segments are evaluated, increased 10.1% to $88.3 million in the three months ended March 31, 2018 from $80.1 million in the three months ended March 31, 2017. Adjusted EBITDA results in the first quarter of 2018 were positively impacted by higher revenues as described above. Additional information, including a reconciliation of Adjusted EBITDA to net loss, appears below under the heading </w:t>
      </w:r>
      <w:r>
        <w:rPr>
          <w:rFonts w:ascii="Arial" w:cs="Arial" w:eastAsia="Arial" w:hAnsi="Arial"/>
          <w:sz w:val="18"/>
          <w:szCs w:val="18"/>
          <w:i w:val="1"/>
          <w:iCs w:val="1"/>
          <w:color w:val="auto"/>
        </w:rPr>
        <w:t>"Adjusted EBITDA."</w:t>
      </w:r>
    </w:p>
    <w:p>
      <w:pPr>
        <w:spacing w:after="0" w:line="13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Net cash from operating activities for the three months ended March 31, 2018 was $51.9 million, a decrease of $5.2 million from the comparable period in 2017. Adjusted free cash flow, which management uses to measure our financial strength and ability to generate cash, was $8.5 million in the three months ended March 31, 2018, which represents a $7.2 million decrease over the comparable period of 2017. The decrease in cash flows as compared to the comparable period of 2017 was most directly attributable to higher incentive cash bonus amounts paid in the first quarter of 2018 and an increase in working capital amounts excluding cash balances, offset by lower interest payments and greater levels of operating income. Additional information, including a reconciliation of adjusted free cash flow to net cash from operating activities, appears below under the heading </w:t>
      </w:r>
      <w:r>
        <w:rPr>
          <w:rFonts w:ascii="Arial" w:cs="Arial" w:eastAsia="Arial" w:hAnsi="Arial"/>
          <w:sz w:val="16"/>
          <w:szCs w:val="16"/>
          <w:i w:val="1"/>
          <w:iCs w:val="1"/>
          <w:color w:val="auto"/>
        </w:rPr>
        <w:t>"Adjusted Free Cash 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primary financial measure by which we evaluate the performance of our segments is Adjusted EBITDA. The following table sets forth certain financial information associated with our results of operations for the three months ended March 31, 2018 and 2017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Summary of Operations (in thousands)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3"/>
              </w:rPr>
              <w:t>For the Three Months Ended</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2018</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3"/>
                <w:szCs w:val="13"/>
                <w:color w:val="auto"/>
              </w:rPr>
            </w:pPr>
          </w:p>
        </w:tc>
        <w:tc>
          <w:tcPr>
            <w:tcW w:w="900" w:type="dxa"/>
            <w:vAlign w:val="bottom"/>
          </w:tcPr>
          <w:p>
            <w:pPr>
              <w:jc w:val="right"/>
              <w:ind w:right="440"/>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4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6"/>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472,447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428,896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43,551</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277,964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17,129</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749,778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60,837</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370,560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42,699</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13.0</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177,737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171,748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5,989</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6860" w:type="dxa"/>
            <w:vAlign w:val="bottom"/>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546,425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496,585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49,840</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40,470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40,845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1"/>
              </w:rPr>
              <w:t>(0.9)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1,624</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36,275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34,657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1,618</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2,867</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3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61,884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52,368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9,516</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18.2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9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1"/>
              </w:rPr>
              <w:t>(8.1)</w:t>
            </w:r>
          </w:p>
        </w:tc>
        <w:tc>
          <w:tcPr>
            <w:tcW w:w="0" w:type="dxa"/>
            <w:vAlign w:val="bottom"/>
          </w:tcPr>
          <w:p>
            <w:pPr>
              <w:spacing w:after="0"/>
              <w:rPr>
                <w:sz w:val="1"/>
                <w:szCs w:val="1"/>
                <w:color w:val="auto"/>
              </w:rPr>
            </w:pPr>
          </w:p>
        </w:tc>
      </w:tr>
      <w:tr>
        <w:trPr>
          <w:trHeight w:val="244"/>
        </w:trPr>
        <w:tc>
          <w:tcPr>
            <w:tcW w:w="6860" w:type="dxa"/>
            <w:vAlign w:val="bottom"/>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88,265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80,135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8,130</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There are many factors which have impacted and continue to impact our revenues. These factors include, but are not limited to: overall industrial activity and growth in North America, existence of large scale environmental waste and remediation projects, general conditions of the energy related industries, competitive industry pricing, the effects of fuel prices on our fuel recovery fees, acquisitions and divestitures, the level of emergency response projects and foreign currency translation. In addition, customer efforts to minimalize hazardous waste and changes in regulation can also impact our revenues.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472,447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43,551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right="40" w:firstLine="648"/>
        <w:spacing w:after="0" w:line="282" w:lineRule="auto"/>
        <w:rPr>
          <w:sz w:val="20"/>
          <w:szCs w:val="20"/>
          <w:color w:val="auto"/>
        </w:rPr>
      </w:pPr>
      <w:r>
        <w:rPr>
          <w:rFonts w:ascii="Arial" w:cs="Arial" w:eastAsia="Arial" w:hAnsi="Arial"/>
          <w:sz w:val="17"/>
          <w:szCs w:val="17"/>
          <w:color w:val="auto"/>
        </w:rPr>
        <w:t xml:space="preserve">Environmental Services direct revenues for the three months ended March 31, 2018 increased $43.6 million from the comparable period in 2017. Included in the three months ended March 31, 2017 was $9.9 million of direct revenues from our Transformer Services business, which we sold on June 30, 2017. </w:t>
      </w:r>
      <w:r>
        <w:rPr>
          <w:rFonts w:ascii="Arial" w:cs="Arial" w:eastAsia="Arial" w:hAnsi="Arial"/>
          <w:sz w:val="18"/>
          <w:szCs w:val="18"/>
          <w:color w:val="auto"/>
        </w:rPr>
        <w:t>I</w:t>
      </w:r>
      <w:r>
        <w:rPr>
          <w:rFonts w:ascii="Arial" w:cs="Arial" w:eastAsia="Arial" w:hAnsi="Arial"/>
          <w:sz w:val="17"/>
          <w:szCs w:val="17"/>
          <w:color w:val="auto"/>
        </w:rPr>
        <w:t>ncluded in the three months ended March 31, 2018 was $17.6 million of direct revenues from the Veolia Business, which we acquired on February 23, 2018, and $8.7 million from our 2017 acquisitions</w:t>
      </w:r>
      <w:r>
        <w:rPr>
          <w:rFonts w:ascii="Arial" w:cs="Arial" w:eastAsia="Arial" w:hAnsi="Arial"/>
          <w:sz w:val="18"/>
          <w:szCs w:val="18"/>
          <w:color w:val="auto"/>
        </w:rPr>
        <w:t>.</w:t>
      </w:r>
      <w:r>
        <w:rPr>
          <w:rFonts w:ascii="Arial" w:cs="Arial" w:eastAsia="Arial" w:hAnsi="Arial"/>
          <w:sz w:val="17"/>
          <w:szCs w:val="17"/>
          <w:color w:val="auto"/>
        </w:rPr>
        <w:t xml:space="preserve"> Excluding those direct revenues, Environmental Services direct revenue increased $27.2 million primarily due to higher levels of revenue from emergency response services and revenues associated with waste projects and higher waste volumes disposed of in our incinerators and landfills. The utilization rate at our incinerators on a practical capacity of 561,721 tons was 87.3% for the three months ended March 31, 2018, compared with 79.2% in the comparable period of 2017. The increase in practical capacity resulted from the opening of the El Dorado, Arkansas site in February 2017. Also, the greater level of project work at our branches accounted for increases to direct revenue of $8.9 million from the comparable period in 2017. Inclusive in the change within this segment was also the positive impact of foreign currency translation on our Canadian operations of $4.4 million for the three months ended March 31, 2018 from the comparable period in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277,964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260,835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17,129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Safety-Kleen direct revenues for the three months ended March 31, 2018 increased $17.1 million from the comparable period in 2017 primarily due to more favorable pricing on oil products and growth in the business. Increased base and blended oil pricing accounted for $15.0 million of incremental direct revenue from the comparable period in 2017. Revenues generated through direct sales of blended oil and other services such as parts washer services, handling of containerized waste, vac services and sales of allied products accounted for $9.5 million of incremental revenues which more than offset a decrease in used oil collection revenues of $5.3 million. Inclusive in the change within this segment was also the positive impact of foreign currency translation on our Canadian operations of $1.6 million for the three months ended March 31, 2018 from the comparable period in 2017.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in an effort to optimize our operating margins.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3"/>
          </w:tcPr>
          <w:p>
            <w:pPr>
              <w:ind w:left="620"/>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370,560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327,861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42,699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Environmental Services cost of revenues for the three months ended March 31, 2018 increased $42.7 million from the comparable period in 2017 primarily due to increases in labor related costs of $23.8 million and equipment and supply costs of $17.5 million. The incremental operating costs were driven by higher volumes of waste handled in our facilities, increased cost of certain commodity supplies such as fuel and solvents, as well as incremental costs related to repairs which needed to be made at our incinerators and our solvent recycling facility. The acquired Veolia Business also added costs in the quarter. These incremental costs negatively impacted gross margins as reflected in the cost of revenues as a percentage of revenues increasing by 200 basis points from the same period in 2017.</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177,737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Safety-Kleen cost of revenues for the three months ended March 31, 2018 increased $6.0 million from the comparable period in 2017 primarily due to increased transportation, disposal and fuel costs of $3.2 million and increased labor related costs of $2.3 million. These increases were the result of overall growth of the business. As a percentage of direct revenues, these costs decreased 1.9% primarily as a result of greater direct revenue levels being achieved and continued margin improvement as the business drove margin expansion by successfully managing spreads between the price of base and blended oils and their input costs.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44" w:lineRule="exact"/>
        <w:rPr>
          <w:sz w:val="20"/>
          <w:szCs w:val="20"/>
          <w:color w:val="auto"/>
        </w:rPr>
      </w:pPr>
    </w:p>
    <w:p>
      <w:pPr>
        <w:ind w:right="860" w:firstLine="648"/>
        <w:spacing w:after="0" w:line="286" w:lineRule="auto"/>
        <w:rPr>
          <w:sz w:val="20"/>
          <w:szCs w:val="20"/>
          <w:color w:val="auto"/>
        </w:rPr>
      </w:pPr>
      <w:r>
        <w:rPr>
          <w:rFonts w:ascii="Arial" w:cs="Arial" w:eastAsia="Arial" w:hAnsi="Arial"/>
          <w:sz w:val="17"/>
          <w:szCs w:val="17"/>
          <w:color w:val="auto"/>
        </w:rPr>
        <w:t>We strive to manage our selling, general and administrative expenses commensurate with the overall performance of our segments and corresponding revenue levels. We believe that our ability to properly align these costs with overall business performance is reflective of our strong management of the businesses and further promotes our ability to remain competitive in the marketplace.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40,470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40,845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r>
    </w:tbl>
    <w:p>
      <w:pPr>
        <w:spacing w:after="0" w:line="2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Environmental Services selling, general and administrative expenses for the three months ended March 31, 2018 decreased $0.4 million from the comparable period in 2017 due to a decrease across various other expenses categories of $2.4 million offset by increases in salary and benefit related costs of $2.0 million. As a percentage of direct revenue Environmental Services costs decreased slightly for the three months ended March 31, 2018 as compared to the same period in prior year, thereby leveraging increased revenues.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38,343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Safety-Kleen selling, general and administrative expenses for the three months ended March 31, 2018 increased $1.6 million from the comparable period in 2017 primarily due to an increase in variable compensation, including commissions of $1.4 million, consistent with the increase in revenues of the business. As a percentage of direct revenue Safety-Kleen costs remained consistent for the three months ended March 31, 2018 with the comparable period in 2017.</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Corporate Items selling, general and administrative expenses for the three months ended March 31, 2018 increased $1.6 million from the comparable period in 2017 primarily due to 401(k) match costs of $1.1 million and salaries and benefits of $1.6 million due to acquisitions and our commitment to investing in our employees. These increases were partially offset by a decrease of $0.9 million in professional fees.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 (“Adjusted EBITDA”)</w:t>
      </w:r>
    </w:p>
    <w:p>
      <w:pPr>
        <w:spacing w:after="0" w:line="14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(loss)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80" w:type="dxa"/>
            <w:vAlign w:val="bottom"/>
            <w:gridSpan w:val="6"/>
          </w:tcPr>
          <w:p>
            <w:pPr>
              <w:jc w:val="right"/>
              <w:ind w:right="214"/>
              <w:spacing w:after="0"/>
              <w:rPr>
                <w:sz w:val="20"/>
                <w:szCs w:val="20"/>
                <w:color w:val="auto"/>
              </w:rPr>
            </w:pPr>
            <w:r>
              <w:rPr>
                <w:rFonts w:ascii="Arial" w:cs="Arial" w:eastAsia="Arial" w:hAnsi="Arial"/>
                <w:sz w:val="16"/>
                <w:szCs w:val="16"/>
                <w:b w:val="1"/>
                <w:bCs w:val="1"/>
                <w:color w:val="auto"/>
                <w:w w:val="94"/>
              </w:rPr>
              <w:t>For the 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6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61,417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60,190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9,516</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18.2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(2,613)</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(8.1)</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88,265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80,135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8,130</w:t>
            </w:r>
          </w:p>
        </w:tc>
        <w:tc>
          <w:tcPr>
            <w:tcW w:w="9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3"/>
              </w:rPr>
              <w:t>10.1%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evaluate the efficacy of the methodology and information used by management to evaluate and measure such performance on a standalone and a comparative basis.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loss to Adjusted EBITDA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For the Three Months Ended</w:t>
            </w:r>
          </w:p>
        </w:tc>
      </w:tr>
      <w:tr>
        <w:trPr>
          <w:trHeight w:val="257"/>
        </w:trPr>
        <w:tc>
          <w:tcPr>
            <w:tcW w:w="8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Accretion of environmental liabilities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2,290</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72,412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1,549</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3,053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2,701</w:t>
            </w:r>
          </w:p>
        </w:tc>
      </w:tr>
      <w:tr>
        <w:trPr>
          <w:trHeight w:val="33"/>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80,135</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of fixed assets and landfill amortization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w w:val="93"/>
              </w:rPr>
              <w:t>3.6%</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Permits and other intangibles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840" w:type="dxa"/>
            <w:vAlign w:val="bottom"/>
          </w:tcPr>
          <w:p>
            <w:pPr>
              <w:ind w:left="480"/>
              <w:spacing w:after="0"/>
              <w:rPr>
                <w:sz w:val="20"/>
                <w:szCs w:val="20"/>
                <w:color w:val="auto"/>
              </w:rPr>
            </w:pPr>
            <w:r>
              <w:rPr>
                <w:rFonts w:ascii="Arial" w:cs="Arial" w:eastAsia="Arial" w:hAnsi="Arial"/>
                <w:sz w:val="16"/>
                <w:szCs w:val="16"/>
                <w:color w:val="auto"/>
              </w:rPr>
              <w:t>1.8</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depreciation and amortization</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93"/>
              </w:rPr>
              <w:t>3.4%</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Depreciation and amortization for the three months ended March 31, 2018 increased $2.4 million from the comparable period in 2017, primarily due to increased volumes at our landfills which drove increased landfill amortization and incremental depreciation from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income tax provision for the three months ended March 31, 2018 increased $0.4 million as compared to the comparable period in 2017. The increase in the three months ended March 31, 2018 was primarily due to increased taxable income in the United States in fiscal year 2018 offset by the lower federal statutory rate in place in 2018 which was enacted as part of the Tax Cuts and Jobs Act signed into law in December of 2017. Our effective tax rate for the three months ended March 31, 2018 was (31.9)% compared to (14.5)% for the same period in 2017. The variations in the effective income tax rates for the three months ended March 31, 2018 as compared to more customary relationships between pre-tax income and the provision for income taxes were primarily due to not recognizing income tax benefits from current operating losses related to certain Canadian entities.</w:t>
      </w:r>
    </w:p>
    <w:p>
      <w:pPr>
        <w:spacing w:after="0" w:line="2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During the first quarter of 2018, we did not record $6.1 million of income tax benefits generated from losses at certain of our Canadian entities. This compares to $10.5 million of losses generated in the comparable period of 2017 which also were not recorded in that period’s income tax provision.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3"/>
                <w:szCs w:val="23"/>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23"/>
                <w:szCs w:val="23"/>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2017</w:t>
            </w: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cash from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51,903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57,119</w:t>
            </w: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(51,868)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(15,436)</w:t>
            </w:r>
          </w:p>
        </w:tc>
      </w:tr>
    </w:tbl>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Net cash from operating activities for the three months ended March 31, 2018 was $51.9 million, a decrease of $5.2 million from the comparable period in 2017. The decrease in cash flows as compared to the comparable period of 2017 was most directly attributable to higher incentive cash bonus amounts paid in the first quarter of 2018 and an increase in working capital amounts excluding cash balances, offset by lower interest payments and greater levels of operating income. Operating cash flows for the remainder of 2018 are expected to be greater than prior year levels.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jc w:val="both"/>
        <w:ind w:right="700" w:firstLine="648"/>
        <w:spacing w:after="0" w:line="342" w:lineRule="auto"/>
        <w:rPr>
          <w:sz w:val="20"/>
          <w:szCs w:val="20"/>
          <w:color w:val="auto"/>
        </w:rPr>
      </w:pPr>
      <w:r>
        <w:rPr>
          <w:rFonts w:ascii="Arial" w:cs="Arial" w:eastAsia="Arial" w:hAnsi="Arial"/>
          <w:sz w:val="16"/>
          <w:szCs w:val="16"/>
          <w:color w:val="auto"/>
        </w:rPr>
        <w:t>Net cash used in investing activities for the three months ended March 31, 2018 was $164.4 million, an increase of $112.6 million from the comparable period in 2017. The change was primarily driven by the use of cash to fund the acquisition of the Veolia Business on February 23,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Net cash used in financing activities for the three months ended March 31, 2018 was $19.7 million, an increase of $4.2 million from the comparable period in 2017. The change was primarily due to an increase in repurchases of common stock and a quarterly principal payment on our Term Loans, which were partially offset by a change in uncashed checks which resulted from the timing of payments made.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and investors about our financial strength and our ability to generate cash. Additionally, adjusted free cash flow is a metric on which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 and disposal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is a reconciliation from net cash from operating activities to adjusted free cash flow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2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(42,462)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8,459</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At March 31, 2018, cash and cash equivalents totaled $186.4 million, compared to $319.4 million at December 31, 2017. At March 31, 2018, cash and cash equivalents held by our foreign subsidiaries totaled $26.8 million and were readily convertible into other foreign currencies including U.S. dollars. At March 31, 2018, the cash and cash equivalent balance for our U.S. operations was $159.6 million, and our U.S. operations had net operating cash flow of $64.8 million for the three months ended March 31, 2018. Additionally, we have a $400.0 million revolving credit facility of which approximately $237.0 million was available to borrow at March 31, 2018. Based on the above and on our current plans, we believe that our U.S. operations have and will continue to have adequate financial resources to satisfy their liquidity needs without being required to repatriate earnings from foreign subsidiaries. We also believe that cash held by our foreign subsidiaries will be required to fund those foreign operations. Accordingly, although</w:t>
      </w:r>
    </w:p>
    <w:p>
      <w:pPr>
        <w:sectPr>
          <w:pgSz w:w="11900" w:h="16838" w:orient="portrait"/>
          <w:cols w:equalWidth="0" w:num="1">
            <w:col w:w="11400"/>
          </w:cols>
          <w:pgMar w:left="240" w:top="125" w:right="25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5"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repatriation to the U.S. of foreign earnings would generally be subject to taxation, we have not recorded any deferred tax liability related to such repatriation since we intend to permanently reinvest foreign earnings outside the U.S.</w:t>
      </w:r>
    </w:p>
    <w:p>
      <w:pPr>
        <w:spacing w:after="0" w:line="22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financing arrangements and principal terms of our $400.0 million principal amount of 5.25% senior unsecured notes due 2020, $845.0 million principal amount of 5.125% senior unsecured notes due 2021, and $397.0 million senior secured notes due 2024 which were outstanding at March 31, 2018, and our $400.0 million revolving credit facility, are discussed further in Note 12, “Financing Arrangements,” to our consolidated financial statements included herein. We continue to monitor our debt instruments and evaluate opportunities where it may be beneficial to refinance or reallocate the portfolio.</w:t>
      </w:r>
    </w:p>
    <w:p>
      <w:pPr>
        <w:spacing w:after="0" w:line="7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2018, we were in compliance with the covenants of all of our debt agreements, and we believe it is reasonably likely that we will continue to meet such covenants.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2018</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8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Closure and post-closure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Remedial liabilities</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122,447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environmental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Total environmental liabilities as of March 31, 2018 were $186.5 million, an increase of $1.0 million, compared to the liabilities as of December 31, 2017 primarily due to accretion of $2.4 million and new asset retirement obligations and liabilities assumed in acquisition of $1.7 million, partially offset by expenditures of $2.4 million and a benefit from changes in environmental liability estimates of 0.6 million.</w:t>
      </w:r>
    </w:p>
    <w:p>
      <w:pPr>
        <w:spacing w:after="0" w:line="23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anticipate that 2018 capital spending, net of disposals, will be in the range of $170.0 million to $190.0 million. However, changes in environmental regulations or unscheduled capital needs could require us to make significant capital expenditures for our facilities and adversely affect our results of operations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Other than described below, there were no material changes in the first three months of 2018 to the information provided under the heading “Critical Accounting Policies and Estimates” included in our Annual Report on Form 10-K for the year ended December 31, 2017.</w:t>
      </w:r>
    </w:p>
    <w:p>
      <w:pPr>
        <w:spacing w:after="0" w:line="2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not amortized but is reviewed for impairment annually as of December 31 or when events or changes in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2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is allocated as of December 31, 2017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as of March 31, 2018, we had four reporting units, consisting of Environmental Sales and Service, Environmental Facilities, Kleen Performance Products and Safety-Kleen Environmental Services.</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of operations for our Environmental Sales and Service and Environmental Facilities reporting units are included in our Environmental Services segment, and the results of operations for our SK Environmental and Kleen Performance Products reporting units are included in our Safety-Kleen segment. We allocated goodwill to our new reporting units using a relative fair value approach. Due to the change in our reporting units, we completed an assessment of any potential goodwill impairment immediately prior to and subsequent to the reorganization, which was effective January 1, 2018, and determined that no impairment existed.</w:t>
      </w:r>
    </w:p>
    <w:p>
      <w:pPr>
        <w:spacing w:after="0" w:line="10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were no material changes in the first three months of 2018 to the information provided under Item 7A. “Quantitative and Qualitative Disclosures about Market Risk” in the Company's Annual Report on Form 10-K for the year ended December 31, 2017.</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21"/>
        <w:spacing w:after="0" w:line="293" w:lineRule="auto"/>
        <w:rPr>
          <w:sz w:val="20"/>
          <w:szCs w:val="20"/>
          <w:color w:val="auto"/>
        </w:rPr>
      </w:pPr>
      <w:r>
        <w:rPr>
          <w:rFonts w:ascii="Arial" w:cs="Arial" w:eastAsia="Arial" w:hAnsi="Arial"/>
          <w:sz w:val="16"/>
          <w:szCs w:val="16"/>
          <w:color w:val="auto"/>
        </w:rPr>
        <w:t>Based on an evaluation under the supervision and with the participation of our Chief Executive Officer and Chief Financial Officer, as of the end of the period covered by this Quarterly Report on 10-Q, our Chief Executive Officer and Chief Financial Officer have concluded that our disclosure controls and procedures (as defined under Rule 13a-15(e) and 15d-15(e) under the Securities Exchange Act of 1934, as amended (the “Exchange Act”)) were effective as of March 31, 2018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2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ending March 31, 2018 that have materially affected, or are reasonably likely to materially affect, the Company’s internal control over financial reporting.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16, “Commitments and Contingencies,” to the financial statements included in Item 1 of this report, which description is incorporated herein by reference.</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2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During the three months ended March 31, 2018, there were no material changes from the risk factors as previously disclosed in Item 1A in the Company's Annual Report on Form 10-K for the year ended December 31, 2017.</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Share (2)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January 1, 2018 through January 31,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1,392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54.20</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351,152,555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February 1, 2018 through February 28, 2018</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351,152,555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March 1, 2018 through March 31,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288,051</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280,000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336,889,042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290,843</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336,889,042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Arial" w:cs="Arial" w:eastAsia="Arial" w:hAnsi="Arial"/>
                <w:sz w:val="18"/>
                <w:szCs w:val="18"/>
                <w:color w:val="auto"/>
                <w:w w:val="8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10,843 shares withheld by us from employees to satisfy employee tax obligations upon vesting of restricted stock units granted to our employees under our long-term equity incentive programs.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right="120" w:hanging="328"/>
        <w:spacing w:after="0" w:line="28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October 31, 2017, the Company's board of directors increased the size of the Company’s current share repurchase program from $300 million to $600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During April 2018, the Company implemented a repurchase plan in accordance with Rule 10b5-1 promulgated under the Securities Exchange Act of 1934, as amended. Going forward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2"/>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92"/>
              </w:rPr>
              <w:t>Rule 13a-14a/15d-14(a) Certification of the CEO Alan S. McKim</w:t>
            </w:r>
          </w:p>
        </w:tc>
        <w:tc>
          <w:tcPr>
            <w:tcW w:w="4020" w:type="dxa"/>
            <w:vAlign w:val="bottom"/>
            <w:gridSpan w:val="3"/>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Rule 13a-14a/15d-14(a) Certification of the CFO Michael L. Battles</w:t>
            </w:r>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Section 1350 Certifications</w:t>
            </w:r>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6"/>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8"/>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6"/>
              </w:rPr>
              <w:t>Form 10-Q of Clean Harbors, Inc. for the quarter ended September 30, 2017, formatted in XBRL: (i) Consolidated</w:t>
            </w:r>
          </w:p>
        </w:tc>
        <w:tc>
          <w:tcPr>
            <w:tcW w:w="1480" w:type="dxa"/>
            <w:vAlign w:val="bottom"/>
          </w:tcPr>
          <w:p>
            <w:pPr>
              <w:spacing w:after="0"/>
              <w:rPr>
                <w:sz w:val="20"/>
                <w:szCs w:val="20"/>
                <w:color w:val="auto"/>
              </w:rPr>
            </w:pPr>
          </w:p>
        </w:tc>
      </w:tr>
    </w:tbl>
    <w:p>
      <w:pPr>
        <w:ind w:left="1180" w:right="1740"/>
        <w:spacing w:after="0" w:line="270" w:lineRule="auto"/>
        <w:rPr>
          <w:sz w:val="20"/>
          <w:szCs w:val="20"/>
          <w:color w:val="auto"/>
        </w:rPr>
      </w:pPr>
      <w:r>
        <w:rPr>
          <w:rFonts w:ascii="Arial" w:cs="Arial" w:eastAsia="Arial" w:hAnsi="Arial"/>
          <w:sz w:val="17"/>
          <w:szCs w:val="17"/>
          <w:color w:val="auto"/>
        </w:rPr>
        <w:t>Balance Sheets, (ii) Unaudited Consolidated Statements of Operations, (iii) Unaudited Consolidated Statements of Comprehensive Loss, (iv) Unaudited Consolidated Statements of Cash Flows, (v) Unaudited Consolidated Statements of Stockholders’ Equity, and (vi) Notes to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0" w:right="400" w:hanging="490"/>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2018</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 2018</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240" w:top="125" w:right="7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March 31, 2018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60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May 2, 2018</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May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2019-12-05T18:04:07Z</dcterms:created>
  <dcterms:modified xsi:type="dcterms:W3CDTF">2019-12-05T18:04:07Z</dcterms:modified>
</cp:coreProperties>
</file>