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 w:lineRule="exact"/>
        <w:rPr>
          <w:sz w:val="24"/>
          <w:szCs w:val="24"/>
          <w:color w:val="auto"/>
        </w:rPr>
      </w:pPr>
    </w:p>
    <w:p>
      <w:pPr>
        <w:ind w:left="28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7" w:lineRule="exact"/>
        <w:rPr>
          <w:sz w:val="24"/>
          <w:szCs w:val="24"/>
          <w:color w:val="auto"/>
        </w:rPr>
      </w:pPr>
    </w:p>
    <w:p>
      <w:pPr>
        <w:jc w:val="center"/>
        <w:ind w:left="4180" w:right="1660" w:hanging="2882"/>
        <w:spacing w:after="0" w:line="339" w:lineRule="auto"/>
        <w:tabs>
          <w:tab w:leader="none" w:pos="184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860" w:hanging="522"/>
        <w:spacing w:after="0"/>
        <w:tabs>
          <w:tab w:leader="none" w:pos="1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1460" w:type="dxa"/>
        <w:tblCellMar>
          <w:top w:w="0" w:type="dxa"/>
          <w:left w:w="0" w:type="dxa"/>
          <w:bottom w:w="0" w:type="dxa"/>
          <w:right w:w="0" w:type="dxa"/>
        </w:tblCellMar>
      </w:tblPr>
      <w:tr>
        <w:trPr>
          <w:trHeight w:val="210"/>
        </w:trPr>
        <w:tc>
          <w:tcPr>
            <w:tcW w:w="4540" w:type="dxa"/>
            <w:vAlign w:val="bottom"/>
          </w:tcPr>
          <w:p>
            <w:pPr>
              <w:ind w:left="1800"/>
              <w:spacing w:after="0"/>
              <w:rPr>
                <w:sz w:val="20"/>
                <w:szCs w:val="20"/>
                <w:color w:val="auto"/>
              </w:rPr>
            </w:pPr>
            <w:r>
              <w:rPr>
                <w:rFonts w:ascii="Arial" w:cs="Arial" w:eastAsia="Arial" w:hAnsi="Arial"/>
                <w:sz w:val="16"/>
                <w:szCs w:val="16"/>
                <w:b w:val="1"/>
                <w:bCs w:val="1"/>
                <w:color w:val="auto"/>
              </w:rPr>
              <w:t>For the transition period from</w:t>
            </w:r>
          </w:p>
        </w:tc>
        <w:tc>
          <w:tcPr>
            <w:tcW w:w="1480" w:type="dxa"/>
            <w:vAlign w:val="bottom"/>
          </w:tcPr>
          <w:p>
            <w:pPr>
              <w:ind w:left="660"/>
              <w:spacing w:after="0"/>
              <w:rPr>
                <w:sz w:val="20"/>
                <w:szCs w:val="20"/>
                <w:color w:val="auto"/>
              </w:rPr>
            </w:pPr>
            <w:r>
              <w:rPr>
                <w:rFonts w:ascii="Arial" w:cs="Arial" w:eastAsia="Arial" w:hAnsi="Arial"/>
                <w:sz w:val="16"/>
                <w:szCs w:val="16"/>
                <w:b w:val="1"/>
                <w:bCs w:val="1"/>
                <w:color w:val="auto"/>
              </w:rPr>
              <w:t>to</w:t>
            </w:r>
          </w:p>
        </w:tc>
        <w:tc>
          <w:tcPr>
            <w:tcW w:w="2320" w:type="dxa"/>
            <w:vAlign w:val="bottom"/>
          </w:tcPr>
          <w:p>
            <w:pPr>
              <w:jc w:val="right"/>
              <w:ind w:right="15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6"/>
        </w:trPr>
        <w:tc>
          <w:tcPr>
            <w:tcW w:w="6020" w:type="dxa"/>
            <w:vAlign w:val="bottom"/>
            <w:gridSpan w:val="2"/>
          </w:tcPr>
          <w:p>
            <w:pPr>
              <w:jc w:val="center"/>
              <w:ind w:left="2401"/>
              <w:spacing w:after="0"/>
              <w:rPr>
                <w:sz w:val="20"/>
                <w:szCs w:val="20"/>
                <w:color w:val="auto"/>
              </w:rPr>
            </w:pPr>
            <w:r>
              <w:rPr>
                <w:rFonts w:ascii="Arial" w:cs="Arial" w:eastAsia="Arial" w:hAnsi="Arial"/>
                <w:sz w:val="16"/>
                <w:szCs w:val="16"/>
                <w:b w:val="1"/>
                <w:bCs w:val="1"/>
                <w:color w:val="auto"/>
              </w:rPr>
              <w:t>COMMISSION FILE NO. 001-34223</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8340" w:type="dxa"/>
            <w:vAlign w:val="bottom"/>
            <w:gridSpan w:val="3"/>
          </w:tcPr>
          <w:p>
            <w:pPr>
              <w:jc w:val="center"/>
              <w:ind w:left="81"/>
              <w:spacing w:after="0" w:line="117" w:lineRule="exact"/>
              <w:rPr>
                <w:sz w:val="20"/>
                <w:szCs w:val="20"/>
                <w:color w:val="auto"/>
              </w:rPr>
            </w:pPr>
            <w:r>
              <w:rPr>
                <w:rFonts w:ascii="Arial" w:cs="Arial" w:eastAsia="Arial" w:hAnsi="Arial"/>
                <w:sz w:val="11"/>
                <w:szCs w:val="11"/>
                <w:color w:val="auto"/>
                <w:w w:val="88"/>
              </w:rPr>
              <w:t>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261"/>
        </w:trPr>
        <w:tc>
          <w:tcPr>
            <w:tcW w:w="6020" w:type="dxa"/>
            <w:vAlign w:val="bottom"/>
            <w:gridSpan w:val="2"/>
          </w:tcPr>
          <w:p>
            <w:pPr>
              <w:jc w:val="center"/>
              <w:ind w:left="2421"/>
              <w:spacing w:after="0"/>
              <w:rPr>
                <w:sz w:val="20"/>
                <w:szCs w:val="20"/>
                <w:color w:val="auto"/>
              </w:rPr>
            </w:pPr>
            <w:r>
              <w:rPr>
                <w:rFonts w:ascii="Arial" w:cs="Arial" w:eastAsia="Arial" w:hAnsi="Arial"/>
                <w:sz w:val="22"/>
                <w:szCs w:val="22"/>
                <w:b w:val="1"/>
                <w:bCs w:val="1"/>
                <w:color w:val="auto"/>
                <w:w w:val="97"/>
              </w:rPr>
              <w:t>CLEAN HARBORS, INC.</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jc w:val="center"/>
              <w:ind w:left="2401"/>
              <w:spacing w:after="0"/>
              <w:rPr>
                <w:sz w:val="20"/>
                <w:szCs w:val="20"/>
                <w:color w:val="auto"/>
              </w:rPr>
            </w:pPr>
            <w:r>
              <w:rPr>
                <w:rFonts w:ascii="Arial" w:cs="Arial" w:eastAsia="Arial" w:hAnsi="Arial"/>
                <w:sz w:val="16"/>
                <w:szCs w:val="16"/>
                <w:color w:val="auto"/>
                <w:w w:val="91"/>
              </w:rPr>
              <w:t>(Exact name of registrant as specified in its charter)</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340" w:type="dxa"/>
            <w:vAlign w:val="bottom"/>
            <w:gridSpan w:val="3"/>
          </w:tcPr>
          <w:p>
            <w:pPr>
              <w:jc w:val="center"/>
              <w:ind w:left="81"/>
              <w:spacing w:after="0"/>
              <w:rPr>
                <w:sz w:val="20"/>
                <w:szCs w:val="20"/>
                <w:color w:val="auto"/>
              </w:rPr>
            </w:pPr>
            <w:r>
              <w:rPr>
                <w:rFonts w:ascii="Arial" w:cs="Arial" w:eastAsia="Arial" w:hAnsi="Arial"/>
                <w:sz w:val="11"/>
                <w:szCs w:val="11"/>
                <w:color w:val="auto"/>
                <w:w w:val="88"/>
              </w:rPr>
              <w:t>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350"/>
        </w:trPr>
        <w:tc>
          <w:tcPr>
            <w:tcW w:w="4540" w:type="dxa"/>
            <w:vAlign w:val="bottom"/>
          </w:tcPr>
          <w:p>
            <w:pPr>
              <w:jc w:val="center"/>
              <w:ind w:right="1881"/>
              <w:spacing w:after="0"/>
              <w:rPr>
                <w:sz w:val="20"/>
                <w:szCs w:val="20"/>
                <w:color w:val="auto"/>
              </w:rPr>
            </w:pPr>
            <w:r>
              <w:rPr>
                <w:rFonts w:ascii="Arial" w:cs="Arial" w:eastAsia="Arial" w:hAnsi="Arial"/>
                <w:sz w:val="16"/>
                <w:szCs w:val="16"/>
                <w:b w:val="1"/>
                <w:bCs w:val="1"/>
                <w:color w:val="auto"/>
                <w:w w:val="85"/>
              </w:rPr>
              <w:t>Massachusetts</w:t>
            </w:r>
          </w:p>
        </w:tc>
        <w:tc>
          <w:tcPr>
            <w:tcW w:w="1480" w:type="dxa"/>
            <w:vAlign w:val="bottom"/>
          </w:tcPr>
          <w:p>
            <w:pPr>
              <w:spacing w:after="0"/>
              <w:rPr>
                <w:sz w:val="24"/>
                <w:szCs w:val="24"/>
                <w:color w:val="auto"/>
              </w:rPr>
            </w:pPr>
          </w:p>
        </w:tc>
        <w:tc>
          <w:tcPr>
            <w:tcW w:w="232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1"/>
              </w:rPr>
              <w:t>04-2997780</w:t>
            </w:r>
          </w:p>
        </w:tc>
        <w:tc>
          <w:tcPr>
            <w:tcW w:w="0" w:type="dxa"/>
            <w:vAlign w:val="bottom"/>
          </w:tcPr>
          <w:p>
            <w:pPr>
              <w:spacing w:after="0"/>
              <w:rPr>
                <w:sz w:val="1"/>
                <w:szCs w:val="1"/>
                <w:color w:val="auto"/>
              </w:rPr>
            </w:pPr>
          </w:p>
        </w:tc>
      </w:tr>
      <w:tr>
        <w:trPr>
          <w:trHeight w:val="203"/>
        </w:trPr>
        <w:tc>
          <w:tcPr>
            <w:tcW w:w="4540" w:type="dxa"/>
            <w:vAlign w:val="bottom"/>
          </w:tcPr>
          <w:p>
            <w:pPr>
              <w:jc w:val="center"/>
              <w:ind w:right="1881"/>
              <w:spacing w:after="0"/>
              <w:rPr>
                <w:sz w:val="20"/>
                <w:szCs w:val="20"/>
                <w:color w:val="auto"/>
              </w:rPr>
            </w:pPr>
            <w:r>
              <w:rPr>
                <w:rFonts w:ascii="Arial" w:cs="Arial" w:eastAsia="Arial" w:hAnsi="Arial"/>
                <w:sz w:val="16"/>
                <w:szCs w:val="16"/>
                <w:color w:val="auto"/>
                <w:w w:val="93"/>
              </w:rPr>
              <w:t>(State or other jurisdiction</w:t>
            </w:r>
          </w:p>
        </w:tc>
        <w:tc>
          <w:tcPr>
            <w:tcW w:w="148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jc w:val="center"/>
              <w:ind w:right="1881"/>
              <w:spacing w:after="0"/>
              <w:rPr>
                <w:sz w:val="20"/>
                <w:szCs w:val="20"/>
                <w:color w:val="auto"/>
              </w:rPr>
            </w:pPr>
            <w:r>
              <w:rPr>
                <w:rFonts w:ascii="Arial" w:cs="Arial" w:eastAsia="Arial" w:hAnsi="Arial"/>
                <w:sz w:val="16"/>
                <w:szCs w:val="16"/>
                <w:color w:val="auto"/>
                <w:w w:val="94"/>
              </w:rPr>
              <w:t>of incorporation or organization)</w:t>
            </w:r>
          </w:p>
        </w:tc>
        <w:tc>
          <w:tcPr>
            <w:tcW w:w="14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6"/>
              </w:rPr>
              <w:t>(IRS Employer Identification No.)</w:t>
            </w:r>
          </w:p>
        </w:tc>
        <w:tc>
          <w:tcPr>
            <w:tcW w:w="0" w:type="dxa"/>
            <w:vAlign w:val="bottom"/>
          </w:tcPr>
          <w:p>
            <w:pPr>
              <w:spacing w:after="0"/>
              <w:rPr>
                <w:sz w:val="1"/>
                <w:szCs w:val="1"/>
                <w:color w:val="auto"/>
              </w:rPr>
            </w:pPr>
          </w:p>
        </w:tc>
      </w:tr>
      <w:tr>
        <w:trPr>
          <w:trHeight w:val="253"/>
        </w:trPr>
        <w:tc>
          <w:tcPr>
            <w:tcW w:w="4540" w:type="dxa"/>
            <w:vAlign w:val="bottom"/>
          </w:tcPr>
          <w:p>
            <w:pPr>
              <w:jc w:val="center"/>
              <w:ind w:right="1881"/>
              <w:spacing w:after="0"/>
              <w:rPr>
                <w:sz w:val="20"/>
                <w:szCs w:val="20"/>
                <w:color w:val="auto"/>
              </w:rPr>
            </w:pPr>
            <w:r>
              <w:rPr>
                <w:rFonts w:ascii="Arial" w:cs="Arial" w:eastAsia="Arial" w:hAnsi="Arial"/>
                <w:sz w:val="16"/>
                <w:szCs w:val="16"/>
                <w:b w:val="1"/>
                <w:bCs w:val="1"/>
                <w:color w:val="auto"/>
                <w:w w:val="95"/>
              </w:rPr>
              <w:t>42 Longwater Drive, Norwell, MA</w:t>
            </w:r>
          </w:p>
        </w:tc>
        <w:tc>
          <w:tcPr>
            <w:tcW w:w="1480" w:type="dxa"/>
            <w:vAlign w:val="bottom"/>
          </w:tcPr>
          <w:p>
            <w:pPr>
              <w:spacing w:after="0"/>
              <w:rPr>
                <w:sz w:val="21"/>
                <w:szCs w:val="21"/>
                <w:color w:val="auto"/>
              </w:rPr>
            </w:pPr>
          </w:p>
        </w:tc>
        <w:tc>
          <w:tcPr>
            <w:tcW w:w="23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02061-9149</w:t>
            </w:r>
          </w:p>
        </w:tc>
        <w:tc>
          <w:tcPr>
            <w:tcW w:w="0" w:type="dxa"/>
            <w:vAlign w:val="bottom"/>
          </w:tcPr>
          <w:p>
            <w:pPr>
              <w:spacing w:after="0"/>
              <w:rPr>
                <w:sz w:val="1"/>
                <w:szCs w:val="1"/>
                <w:color w:val="auto"/>
              </w:rPr>
            </w:pPr>
          </w:p>
        </w:tc>
      </w:tr>
      <w:tr>
        <w:trPr>
          <w:trHeight w:val="206"/>
        </w:trPr>
        <w:tc>
          <w:tcPr>
            <w:tcW w:w="4540" w:type="dxa"/>
            <w:vAlign w:val="bottom"/>
          </w:tcPr>
          <w:p>
            <w:pPr>
              <w:jc w:val="center"/>
              <w:ind w:right="1881"/>
              <w:spacing w:after="0"/>
              <w:rPr>
                <w:sz w:val="20"/>
                <w:szCs w:val="20"/>
                <w:color w:val="auto"/>
              </w:rPr>
            </w:pPr>
            <w:r>
              <w:rPr>
                <w:rFonts w:ascii="Arial" w:cs="Arial" w:eastAsia="Arial" w:hAnsi="Arial"/>
                <w:sz w:val="16"/>
                <w:szCs w:val="16"/>
                <w:color w:val="auto"/>
                <w:w w:val="94"/>
              </w:rPr>
              <w:t>(Address of principal executive offices)</w:t>
            </w:r>
          </w:p>
        </w:tc>
        <w:tc>
          <w:tcPr>
            <w:tcW w:w="14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(781) 792-5000</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 of each class:</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3"/>
        </w:trPr>
        <w:tc>
          <w:tcPr>
            <w:tcW w:w="59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Common Stock, $.01 par value</w:t>
            </w:r>
          </w:p>
        </w:tc>
        <w:tc>
          <w:tcPr>
            <w:tcW w:w="54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33" w:lineRule="exact"/>
        <w:rPr>
          <w:sz w:val="24"/>
          <w:szCs w:val="24"/>
          <w:color w:val="auto"/>
        </w:rPr>
      </w:pPr>
    </w:p>
    <w:p>
      <w:pPr>
        <w:ind w:left="340" w:right="2540" w:firstLine="2223"/>
        <w:spacing w:after="0" w:line="253" w:lineRule="exact"/>
        <w:rPr>
          <w:sz w:val="20"/>
          <w:szCs w:val="20"/>
          <w:color w:val="auto"/>
        </w:rPr>
      </w:pPr>
      <w:r>
        <w:rPr>
          <w:rFonts w:ascii="Arial" w:cs="Arial" w:eastAsia="Arial" w:hAnsi="Arial"/>
          <w:sz w:val="14"/>
          <w:szCs w:val="14"/>
          <w:b w:val="1"/>
          <w:bCs w:val="1"/>
          <w:color w:val="auto"/>
        </w:rPr>
        <w:t xml:space="preserve">Securities registered pursuant to Section 12(g) of the Securities Exchange Act of 1934: </w:t>
      </w:r>
      <w:r>
        <w:rPr>
          <w:rFonts w:ascii="Arial" w:cs="Arial" w:eastAsia="Arial" w:hAnsi="Arial"/>
          <w:sz w:val="14"/>
          <w:szCs w:val="14"/>
          <w:color w:val="auto"/>
        </w:rPr>
        <w:t>None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42" w:lineRule="exact"/>
        <w:rPr>
          <w:sz w:val="24"/>
          <w:szCs w:val="24"/>
          <w:color w:val="auto"/>
        </w:rPr>
      </w:pPr>
    </w:p>
    <w:p>
      <w:pPr>
        <w:ind w:left="340"/>
        <w:spacing w:after="0" w:line="207"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ind w:right="520" w:firstLine="324"/>
        <w:spacing w:after="0" w:line="22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93" w:lineRule="exact"/>
        <w:rPr>
          <w:sz w:val="24"/>
          <w:szCs w:val="24"/>
          <w:color w:val="auto"/>
        </w:rPr>
      </w:pPr>
    </w:p>
    <w:p>
      <w:pPr>
        <w:ind w:right="260" w:firstLine="324"/>
        <w:spacing w:after="0" w:line="22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92" w:lineRule="exact"/>
        <w:rPr>
          <w:sz w:val="24"/>
          <w:szCs w:val="24"/>
          <w:color w:val="auto"/>
        </w:rPr>
      </w:pPr>
    </w:p>
    <w:p>
      <w:pPr>
        <w:ind w:right="460" w:firstLine="324"/>
        <w:spacing w:after="0" w:line="348"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6"/>
          <w:szCs w:val="16"/>
          <w:color w:val="auto"/>
        </w:rPr>
        <w:t>o</w:t>
      </w:r>
    </w:p>
    <w:p>
      <w:pPr>
        <w:spacing w:after="0" w:line="26" w:lineRule="exact"/>
        <w:rPr>
          <w:sz w:val="24"/>
          <w:szCs w:val="24"/>
          <w:color w:val="auto"/>
        </w:rPr>
      </w:pPr>
    </w:p>
    <w:p>
      <w:pPr>
        <w:ind w:right="22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5" w:right="239" w:bottom="1440" w:gutter="0" w:footer="0" w:header="0"/>
        </w:sectPr>
      </w:pPr>
    </w:p>
    <w:p>
      <w:pPr>
        <w:spacing w:after="0" w:line="143" w:lineRule="exact"/>
        <w:rPr>
          <w:sz w:val="24"/>
          <w:szCs w:val="24"/>
          <w:color w:val="auto"/>
        </w:rPr>
      </w:pPr>
    </w:p>
    <w:p>
      <w:pPr>
        <w:ind w:left="202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109" w:lineRule="exact"/>
        <w:rPr>
          <w:sz w:val="24"/>
          <w:szCs w:val="24"/>
          <w:color w:val="auto"/>
        </w:rPr>
      </w:pPr>
    </w:p>
    <w:p>
      <w:pPr>
        <w:sectPr>
          <w:pgSz w:w="11900" w:h="16838" w:orient="portrait"/>
          <w:cols w:equalWidth="0" w:num="2">
            <w:col w:w="7300" w:space="720"/>
            <w:col w:w="3400"/>
          </w:cols>
          <w:pgMar w:left="240" w:top="225" w:right="239" w:bottom="1440" w:gutter="0" w:footer="0" w:header="0"/>
          <w:type w:val="continuous"/>
        </w:sectPr>
      </w:pPr>
    </w:p>
    <w:p>
      <w:pPr>
        <w:ind w:left="206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6960" w:space="720"/>
            <w:col w:w="3740"/>
          </w:cols>
          <w:pgMar w:left="240" w:top="225" w:right="239" w:bottom="1440" w:gutter="0" w:footer="0" w:header="0"/>
          <w:type w:val="continuous"/>
        </w:sectPr>
      </w:pPr>
    </w:p>
    <w:p>
      <w:pPr>
        <w:ind w:left="76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123" w:lineRule="exact"/>
        <w:rPr>
          <w:sz w:val="24"/>
          <w:szCs w:val="24"/>
          <w:color w:val="auto"/>
        </w:rPr>
      </w:pPr>
    </w:p>
    <w:p>
      <w:pPr>
        <w:ind w:right="44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7" w:lineRule="exact"/>
        <w:rPr>
          <w:sz w:val="24"/>
          <w:szCs w:val="24"/>
          <w:color w:val="auto"/>
        </w:rPr>
      </w:pPr>
    </w:p>
    <w:p>
      <w:pPr>
        <w:ind w:left="340"/>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00" w:lineRule="exact"/>
        <w:rPr>
          <w:sz w:val="24"/>
          <w:szCs w:val="24"/>
          <w:color w:val="auto"/>
        </w:rPr>
      </w:pPr>
    </w:p>
    <w:p>
      <w:pPr>
        <w:ind w:right="200" w:firstLine="324"/>
        <w:spacing w:after="0" w:line="261" w:lineRule="auto"/>
        <w:rPr>
          <w:sz w:val="20"/>
          <w:szCs w:val="20"/>
          <w:color w:val="auto"/>
        </w:rPr>
      </w:pPr>
      <w:r>
        <w:rPr>
          <w:rFonts w:ascii="Arial" w:cs="Arial" w:eastAsia="Arial" w:hAnsi="Arial"/>
          <w:sz w:val="16"/>
          <w:szCs w:val="16"/>
          <w:color w:val="auto"/>
        </w:rPr>
        <w:t>On June 29, 2018 (the last business day of the registrant's most recently completed second fiscal quarter), the aggregate market value of the voting and non-voting common stock of the registrant held by non-affiliates of the registrant was approximately $2.9 billion, based on the closing price of such common stock as of that date on the New York Stock Exchange. Reference is made to Part III of this report for the assumptions on which this calculation is based.</w:t>
      </w:r>
    </w:p>
    <w:p>
      <w:pPr>
        <w:spacing w:after="0" w:line="7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On February 15, 2019, there were outstanding 55,855,142 shares of Common Stock, $.01 par value.</w:t>
      </w:r>
    </w:p>
    <w:p>
      <w:pPr>
        <w:spacing w:after="0" w:line="13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ind w:right="20" w:firstLine="324"/>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2019 annual meeting of stockholders (which will be filed with the Commission not later than April 30, 2019) are incorporated by reference into Part III of this report.</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20" w:type="dxa"/>
            <w:vAlign w:val="bottom"/>
            <w:gridSpan w:val="10"/>
          </w:tcPr>
          <w:p>
            <w:pPr>
              <w:jc w:val="center"/>
              <w:ind w:right="3700"/>
              <w:spacing w:after="0"/>
              <w:rPr>
                <w:sz w:val="20"/>
                <w:szCs w:val="20"/>
                <w:color w:val="auto"/>
              </w:rPr>
            </w:pPr>
            <w:r>
              <w:rPr>
                <w:rFonts w:ascii="Arial" w:cs="Arial" w:eastAsia="Arial" w:hAnsi="Arial"/>
                <w:sz w:val="18"/>
                <w:szCs w:val="18"/>
                <w:b w:val="1"/>
                <w:bCs w:val="1"/>
                <w:color w:val="auto"/>
                <w:w w:val="98"/>
              </w:rPr>
              <w:t>CLEAN HARBORS, INC.</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99"/>
              </w:rPr>
              <w:t>ANNUAL REPORT ON FORM 10-K</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97"/>
              </w:rPr>
              <w:t>YEAR ENDED DECEMBER 31, 2018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20" w:type="dxa"/>
            <w:vAlign w:val="bottom"/>
            <w:gridSpan w:val="10"/>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No</w:t>
            </w:r>
          </w:p>
        </w:tc>
      </w:tr>
      <w:tr>
        <w:trPr>
          <w:trHeight w:val="189"/>
        </w:trPr>
        <w:tc>
          <w:tcPr>
            <w:tcW w:w="1600" w:type="dxa"/>
            <w:vAlign w:val="bottom"/>
            <w:gridSpan w:val="6"/>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60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9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1A.</w:t>
              </w:r>
            </w:hyperlink>
          </w:p>
        </w:tc>
        <w:tc>
          <w:tcPr>
            <w:tcW w:w="100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1B.</w:t>
              </w:r>
            </w:hyperlink>
          </w:p>
        </w:tc>
        <w:tc>
          <w:tcPr>
            <w:tcW w:w="100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1000" w:type="dxa"/>
            <w:vAlign w:val="bottom"/>
            <w:gridSpan w:val="2"/>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6940" w:type="dxa"/>
            <w:vAlign w:val="bottom"/>
            <w:gridSpan w:val="11"/>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9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9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Part II</w:t>
              </w:r>
            </w:hyperlink>
          </w:p>
        </w:tc>
        <w:tc>
          <w:tcPr>
            <w:tcW w:w="108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8980" w:type="dxa"/>
            <w:vAlign w:val="bottom"/>
            <w:gridSpan w:val="19"/>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Market for the Registrant's Common Equity, Related Stockholder Matters and Issuer Purchases of Equity Securities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898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89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Item 7A.</w:t>
              </w:r>
            </w:hyperlink>
          </w:p>
        </w:tc>
        <w:tc>
          <w:tcPr>
            <w:tcW w:w="100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8.</w:t>
              </w:r>
            </w:hyperlink>
          </w:p>
        </w:tc>
        <w:tc>
          <w:tcPr>
            <w:tcW w:w="1000" w:type="dxa"/>
            <w:vAlign w:val="bottom"/>
            <w:gridSpan w:val="2"/>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4620" w:type="dxa"/>
            <w:vAlign w:val="bottom"/>
            <w:gridSpan w:val="6"/>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9.</w:t>
              </w:r>
            </w:hyperlink>
          </w:p>
        </w:tc>
        <w:tc>
          <w:tcPr>
            <w:tcW w:w="8980" w:type="dxa"/>
            <w:vAlign w:val="bottom"/>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101">
              <w:r>
                <w:rPr>
                  <w:rFonts w:ascii="Arial" w:cs="Arial" w:eastAsia="Arial" w:hAnsi="Arial"/>
                  <w:sz w:val="18"/>
                  <w:szCs w:val="18"/>
                  <w:color w:val="0000EE"/>
                  <w:w w:val="83"/>
                </w:rPr>
                <w:t>Item 9A.</w:t>
              </w:r>
            </w:hyperlink>
          </w:p>
        </w:tc>
        <w:tc>
          <w:tcPr>
            <w:tcW w:w="1000" w:type="dxa"/>
            <w:vAlign w:val="bottom"/>
            <w:gridSpan w:val="2"/>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84"/>
              </w:rPr>
            </w:pPr>
            <w:hyperlink w:anchor="page101">
              <w:r>
                <w:rPr>
                  <w:rFonts w:ascii="Arial" w:cs="Arial" w:eastAsia="Arial" w:hAnsi="Arial"/>
                  <w:sz w:val="18"/>
                  <w:szCs w:val="18"/>
                  <w:color w:val="0000EE"/>
                  <w:w w:val="84"/>
                </w:rPr>
                <w:t>Controls and Procedures</w:t>
              </w:r>
            </w:hyperlink>
          </w:p>
        </w:tc>
        <w:tc>
          <w:tcPr>
            <w:tcW w:w="7260" w:type="dxa"/>
            <w:vAlign w:val="bottom"/>
            <w:gridSpan w:val="13"/>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103">
              <w:r>
                <w:rPr>
                  <w:rFonts w:ascii="Arial" w:cs="Arial" w:eastAsia="Arial" w:hAnsi="Arial"/>
                  <w:sz w:val="18"/>
                  <w:szCs w:val="18"/>
                  <w:color w:val="0000EE"/>
                  <w:w w:val="83"/>
                </w:rPr>
                <w:t>Item 9B.</w:t>
              </w:r>
            </w:hyperlink>
          </w:p>
        </w:tc>
        <w:tc>
          <w:tcPr>
            <w:tcW w:w="1000" w:type="dxa"/>
            <w:vAlign w:val="bottom"/>
            <w:gridSpan w:val="2"/>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Other Information</w:t>
              </w:r>
            </w:hyperlink>
          </w:p>
        </w:tc>
        <w:tc>
          <w:tcPr>
            <w:tcW w:w="380" w:type="dxa"/>
            <w:vAlign w:val="bottom"/>
            <w:gridSpan w:val="2"/>
          </w:tcPr>
          <w:p>
            <w:pPr>
              <w:spacing w:after="0"/>
              <w:rPr>
                <w:sz w:val="21"/>
                <w:szCs w:val="21"/>
                <w:color w:val="auto"/>
              </w:rPr>
            </w:pPr>
          </w:p>
        </w:tc>
        <w:tc>
          <w:tcPr>
            <w:tcW w:w="7260" w:type="dxa"/>
            <w:vAlign w:val="bottom"/>
            <w:gridSpan w:val="13"/>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r>
      <w:tr>
        <w:trPr>
          <w:trHeight w:val="250"/>
        </w:trPr>
        <w:tc>
          <w:tcPr>
            <w:tcW w:w="60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100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Item 10.</w:t>
              </w:r>
            </w:hyperlink>
          </w:p>
        </w:tc>
        <w:tc>
          <w:tcPr>
            <w:tcW w:w="1000" w:type="dxa"/>
            <w:vAlign w:val="bottom"/>
            <w:gridSpan w:val="2"/>
          </w:tcPr>
          <w:p>
            <w:pPr>
              <w:spacing w:after="0"/>
              <w:rPr>
                <w:sz w:val="21"/>
                <w:szCs w:val="21"/>
                <w:color w:val="auto"/>
              </w:rPr>
            </w:pPr>
          </w:p>
        </w:tc>
        <w:tc>
          <w:tcPr>
            <w:tcW w:w="4100" w:type="dxa"/>
            <w:vAlign w:val="bottom"/>
            <w:gridSpan w:val="12"/>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Directors, Executive Officers and Corporate Governance</w:t>
              </w:r>
            </w:hyperlink>
          </w:p>
        </w:tc>
        <w:tc>
          <w:tcPr>
            <w:tcW w:w="4880" w:type="dxa"/>
            <w:vAlign w:val="bottom"/>
            <w:gridSpan w:val="7"/>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Item 11.</w:t>
              </w:r>
            </w:hyperlink>
          </w:p>
        </w:tc>
        <w:tc>
          <w:tcPr>
            <w:tcW w:w="1000" w:type="dxa"/>
            <w:vAlign w:val="bottom"/>
            <w:gridSpan w:val="2"/>
          </w:tcPr>
          <w:p>
            <w:pPr>
              <w:spacing w:after="0"/>
              <w:rPr>
                <w:sz w:val="21"/>
                <w:szCs w:val="21"/>
                <w:color w:val="auto"/>
              </w:rPr>
            </w:pPr>
          </w:p>
        </w:tc>
        <w:tc>
          <w:tcPr>
            <w:tcW w:w="4100" w:type="dxa"/>
            <w:vAlign w:val="bottom"/>
            <w:gridSpan w:val="12"/>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4880" w:type="dxa"/>
            <w:vAlign w:val="bottom"/>
            <w:gridSpan w:val="7"/>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Item 12.</w:t>
              </w:r>
            </w:hyperlink>
          </w:p>
        </w:tc>
        <w:tc>
          <w:tcPr>
            <w:tcW w:w="1000" w:type="dxa"/>
            <w:vAlign w:val="bottom"/>
            <w:gridSpan w:val="2"/>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Security Ownership of Certain Beneficial Owners and Management and Related Stockholder Matters</w:t>
              </w:r>
            </w:hyperlink>
          </w:p>
        </w:tc>
        <w:tc>
          <w:tcPr>
            <w:tcW w:w="1680" w:type="dxa"/>
            <w:vAlign w:val="bottom"/>
            <w:gridSpan w:val="2"/>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Item 13.</w:t>
              </w:r>
            </w:hyperlink>
          </w:p>
        </w:tc>
        <w:tc>
          <w:tcPr>
            <w:tcW w:w="1000" w:type="dxa"/>
            <w:vAlign w:val="bottom"/>
            <w:gridSpan w:val="2"/>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680" w:type="dxa"/>
            <w:vAlign w:val="bottom"/>
            <w:gridSpan w:val="2"/>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Item 14.</w:t>
              </w:r>
            </w:hyperlink>
          </w:p>
        </w:tc>
        <w:tc>
          <w:tcPr>
            <w:tcW w:w="1000" w:type="dxa"/>
            <w:vAlign w:val="bottom"/>
            <w:gridSpan w:val="2"/>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Principal Accountant Fees and Services</w:t>
              </w:r>
            </w:hyperlink>
          </w:p>
        </w:tc>
        <w:tc>
          <w:tcPr>
            <w:tcW w:w="3520" w:type="dxa"/>
            <w:vAlign w:val="bottom"/>
            <w:gridSpan w:val="5"/>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r>
      <w:tr>
        <w:trPr>
          <w:trHeight w:val="250"/>
        </w:trPr>
        <w:tc>
          <w:tcPr>
            <w:tcW w:w="60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8"/>
              </w:rPr>
            </w:pPr>
            <w:hyperlink w:anchor="page104">
              <w:r>
                <w:rPr>
                  <w:rFonts w:ascii="Arial" w:cs="Arial" w:eastAsia="Arial" w:hAnsi="Arial"/>
                  <w:sz w:val="18"/>
                  <w:szCs w:val="18"/>
                  <w:b w:val="1"/>
                  <w:bCs w:val="1"/>
                  <w:color w:val="0000EE"/>
                  <w:w w:val="98"/>
                </w:rPr>
                <w:t>Part IV</w:t>
              </w:r>
            </w:hyperlink>
          </w:p>
        </w:tc>
        <w:tc>
          <w:tcPr>
            <w:tcW w:w="100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Item 15.</w:t>
              </w:r>
            </w:hyperlink>
          </w:p>
        </w:tc>
        <w:tc>
          <w:tcPr>
            <w:tcW w:w="100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Exhibits and Financial Statement Schedules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r>
      <w:tr>
        <w:trPr>
          <w:trHeight w:val="250"/>
        </w:trPr>
        <w:tc>
          <w:tcPr>
            <w:tcW w:w="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Item 16.</w:t>
              </w:r>
            </w:hyperlink>
          </w:p>
        </w:tc>
        <w:tc>
          <w:tcPr>
            <w:tcW w:w="1000" w:type="dxa"/>
            <w:vAlign w:val="bottom"/>
            <w:gridSpan w:val="2"/>
          </w:tcPr>
          <w:p>
            <w:pPr>
              <w:spacing w:after="0"/>
              <w:rPr>
                <w:sz w:val="21"/>
                <w:szCs w:val="21"/>
                <w:color w:val="auto"/>
              </w:rPr>
            </w:pP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5"/>
          </w:tcPr>
          <w:p>
            <w:pPr>
              <w:spacing w:after="0"/>
              <w:rPr>
                <w:sz w:val="21"/>
                <w:szCs w:val="21"/>
                <w:color w:val="auto"/>
              </w:rPr>
            </w:pPr>
          </w:p>
        </w:tc>
        <w:tc>
          <w:tcPr>
            <w:tcW w:w="5820" w:type="dxa"/>
            <w:vAlign w:val="bottom"/>
            <w:gridSpan w:val="9"/>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100</w:t>
              </w:r>
            </w:hyperlink>
          </w:p>
        </w:tc>
        <w:tc>
          <w:tcPr>
            <w:tcW w:w="20" w:type="dxa"/>
            <w:vAlign w:val="bottom"/>
          </w:tcPr>
          <w:p>
            <w:pPr>
              <w:spacing w:after="0"/>
              <w:rPr>
                <w:sz w:val="21"/>
                <w:szCs w:val="21"/>
                <w:color w:val="auto"/>
              </w:rPr>
            </w:pPr>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SIGNATURES</w:t>
              </w:r>
            </w:hyperlink>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101</w:t>
              </w:r>
            </w:hyperlink>
          </w:p>
        </w:tc>
        <w:tc>
          <w:tcPr>
            <w:tcW w:w="20" w:type="dxa"/>
            <w:vAlign w:val="bottom"/>
          </w:tcPr>
          <w:p>
            <w:pPr>
              <w:spacing w:after="0"/>
              <w:rPr>
                <w:sz w:val="21"/>
                <w:szCs w:val="2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In addition to historical information, this annual report contains forward-looking statements, which are generally identifiable by use of the words "believes," "expects," "intends," "anticipates," "plans to," "estimates," "projects,"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in this report under Item 1A, "Risk Factors," and Item 7, "Management's Discussion and Analysis on Financial Condition and Results of Operations." Readers are cautioned not to place undue reliance on these forward-looking statements, which reflect management's opinions only as of the date hereof. We undertake no obligation to revise or publicly release the results of any revision to these forward-looking statements. Readers should also carefully review the risk factors described in other documents which we file from time to time with the Securities and Exchange Commission (the "SEC"), including the quarterly reports on Form 10-Q to be filed by us during 2019.</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Clean Harbors, Inc. and its subsidiaries (collectively, "we," "Clean Harbors" or the "Company") is a leading provider of environmental, energy and industrial services throughout North America. We are also the largest re-refiner and recycler of used oil in the world and the largest provider of parts cleaning and related environmental services to commercial, industrial and automotive customers in North America.</w:t>
      </w:r>
    </w:p>
    <w:p>
      <w:pPr>
        <w:spacing w:after="0" w:line="10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During the first quarter of fiscal year 2018, certain of our businesses undertook a reorganization which included changes to the underlying business and management structures. The reorganization resulted in combining the Environmental Services businesses from an operational and management perspective, deepening customer relationships and allowing for efficiencies across our operations through the sharing of resources, namely labor and equipment, which will reduce third party spending and promote cross selling of our business offerings. In connection with this reorganization, our chief operating decision maker requested changes in the information that he regularly reviews for purposes of allocating resources and assessing performance. These changes required a reconsideration of our operating segments in the first quarter of 2018 and resulted in a change in our assessment of our operating segments. We concluded that we now have two operating segments for disclosure purposes</w:t>
      </w:r>
      <w:r>
        <w:rPr>
          <w:rFonts w:ascii="Arial" w:cs="Arial" w:eastAsia="Arial" w:hAnsi="Arial"/>
          <w:sz w:val="16"/>
          <w:szCs w:val="16"/>
          <w:i w:val="1"/>
          <w:iCs w:val="1"/>
          <w:color w:val="auto"/>
        </w:rPr>
        <w:t>;</w:t>
      </w:r>
      <w:r>
        <w:rPr>
          <w:rFonts w:ascii="Arial" w:cs="Arial" w:eastAsia="Arial" w:hAnsi="Arial"/>
          <w:sz w:val="16"/>
          <w:szCs w:val="16"/>
          <w:color w:val="auto"/>
        </w:rPr>
        <w:t xml:space="preserve"> (i) the Environmental Services segment which consists of our historical Technical Services, Industrial Services, Field Services and Oil, Gas and Lodging businesses, and (ii) the Safety-Kleen segment.</w:t>
      </w:r>
    </w:p>
    <w:p>
      <w:pPr>
        <w:spacing w:after="0" w:line="81" w:lineRule="exact"/>
        <w:rPr>
          <w:sz w:val="20"/>
          <w:szCs w:val="20"/>
          <w:color w:val="auto"/>
        </w:rPr>
      </w:pPr>
    </w:p>
    <w:p>
      <w:pPr>
        <w:ind w:left="980" w:hanging="324"/>
        <w:spacing w:after="0" w:line="290"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waste volumes generated by them and project work for which waste handling and/or disposal is required. In managing the business and evaluating performance, management tracks the volumes and mix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competition and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oil spills, natural disasters or other events where immediate and specialized services are required.</w:t>
      </w:r>
    </w:p>
    <w:p>
      <w:pPr>
        <w:spacing w:after="0" w:line="159" w:lineRule="exact"/>
        <w:rPr>
          <w:rFonts w:ascii="Arial" w:cs="Arial" w:eastAsia="Arial" w:hAnsi="Arial"/>
          <w:sz w:val="16"/>
          <w:szCs w:val="16"/>
          <w:color w:val="auto"/>
        </w:rPr>
      </w:pPr>
    </w:p>
    <w:p>
      <w:pPr>
        <w:ind w:left="980" w:right="60" w:hanging="324"/>
        <w:spacing w:after="0" w:line="270"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Safety-Kleen - </w:t>
      </w:r>
      <w:r>
        <w:rPr>
          <w:rFonts w:ascii="Arial" w:cs="Arial" w:eastAsia="Arial" w:hAnsi="Arial"/>
          <w:sz w:val="17"/>
          <w:szCs w:val="17"/>
          <w:color w:val="auto"/>
        </w:rPr>
        <w:t>Safety-Kleen segment results are impacted by an array of core service offerings that serve to attract small quantity waste</w:t>
      </w:r>
      <w:r>
        <w:rPr>
          <w:rFonts w:ascii="Arial" w:cs="Arial" w:eastAsia="Arial" w:hAnsi="Arial"/>
          <w:sz w:val="17"/>
          <w:szCs w:val="17"/>
          <w:b w:val="1"/>
          <w:bCs w:val="1"/>
          <w:color w:val="auto"/>
        </w:rPr>
        <w:t xml:space="preserve"> </w:t>
      </w:r>
      <w:r>
        <w:rPr>
          <w:rFonts w:ascii="Arial" w:cs="Arial" w:eastAsia="Arial" w:hAnsi="Arial"/>
          <w:sz w:val="17"/>
          <w:szCs w:val="17"/>
          <w:color w:val="auto"/>
        </w:rPr>
        <w:t>producers as customers and integrate them into the Clean Harbors waste network. Core service offerings include parts washer services, containerized waste services, vac services, used motor oil collection and sale of base and blended oil products as well as complementary products including automotive related fluids and shop supplies. Key performance indicators tracked by the Company relative to these services include the number of parts washer services performed and used motor oil and waste volumes collected. Results from these services are primarily driven by the overall number of parts washers placed at customer sites and volumes of waste collected. These factors can be impacted by overall economic conditions in the marketplace especially in the automotive related area. Safety-Kleen offers high quality base and blended oil products to end users including fleet customers, distributors, and manufacturers of oil products. Relative to these oil related products, management tracks the Company's volumes and relative percentages of base and blended oil sales along with various pricing metrics associated with the commodity driven marketplace. The segment’s results are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ind w:left="980" w:right="20"/>
        <w:spacing w:after="0" w:line="280" w:lineRule="auto"/>
        <w:rPr>
          <w:sz w:val="20"/>
          <w:szCs w:val="20"/>
          <w:color w:val="auto"/>
        </w:rPr>
      </w:pPr>
      <w:r>
        <w:rPr>
          <w:rFonts w:ascii="Arial" w:cs="Arial" w:eastAsia="Arial" w:hAnsi="Arial"/>
          <w:sz w:val="18"/>
          <w:szCs w:val="18"/>
          <w:color w:val="auto"/>
        </w:rPr>
        <w:t>significantly impacted by overall market pricing and product mix associated with base and blended oil products and, more specifically, the market prices of Group II base oils, which historically have correlated with overall crude oil prices. Costs incurred in connection with the collection of used oils and other raw materials associated with the segment’s oil related products can also be volatile. The implementation of our OilPlus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loop initiative resulting in the sale of our renewable oil products directly to our end customers will also impact future operating results.</w:t>
      </w:r>
    </w:p>
    <w:p>
      <w:pPr>
        <w:spacing w:after="0" w:line="9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Clean Harbors, Inc. was incorporated in Massachusetts in 1980 and our principal office is located in Norwell, Massachusetts. We maintain a website at the following Internet address: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soon as reasonably practicable after electronic filing with the SEC. Our guidelines on corporate governance, the charters for our board committees, and our code of ethics for members of the board of directors, our chief executive officer and our other senior officers are also available on our website, and we will post on our website any waivers of, or amendments to, such code of ethics. Our website and the information contained therein or connected thereto are not incorporated by reference into this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w:t>
      </w:r>
    </w:p>
    <w:p>
      <w:pPr>
        <w:spacing w:after="0" w:line="28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Health and Safety is our #1 priority. Employees at all levels of our Company share this philosophy and are committed to ensuring our safety goals are met. Our commitment to health and safety benefits everyone—our employees, our customers, the community, and the environment. In 2018, our successful </w:t>
      </w:r>
      <w:r>
        <w:rPr>
          <w:rFonts w:ascii="Arial" w:cs="Arial" w:eastAsia="Arial" w:hAnsi="Arial"/>
          <w:sz w:val="17"/>
          <w:szCs w:val="17"/>
          <w:i w:val="1"/>
          <w:iCs w:val="1"/>
          <w:color w:val="auto"/>
        </w:rPr>
        <w:t xml:space="preserve">Safety Starts With Me: Live It 3-6-5 </w:t>
      </w:r>
      <w:r>
        <w:rPr>
          <w:rFonts w:ascii="Arial" w:cs="Arial" w:eastAsia="Arial" w:hAnsi="Arial"/>
          <w:sz w:val="17"/>
          <w:szCs w:val="17"/>
          <w:color w:val="auto"/>
        </w:rPr>
        <w:t>program, which is a key component in our overall safety approach along with our many other programs, enabled us to</w:t>
      </w:r>
      <w:r>
        <w:rPr>
          <w:rFonts w:ascii="Arial" w:cs="Arial" w:eastAsia="Arial" w:hAnsi="Arial"/>
          <w:sz w:val="17"/>
          <w:szCs w:val="17"/>
          <w:i w:val="1"/>
          <w:iCs w:val="1"/>
          <w:color w:val="auto"/>
        </w:rPr>
        <w:t xml:space="preserve"> </w:t>
      </w:r>
      <w:r>
        <w:rPr>
          <w:rFonts w:ascii="Arial" w:cs="Arial" w:eastAsia="Arial" w:hAnsi="Arial"/>
          <w:sz w:val="17"/>
          <w:szCs w:val="17"/>
          <w:color w:val="auto"/>
        </w:rPr>
        <w:t>achieve a low Total Recordable Incident Rate, or "TRIR;" Days Away, Restricted Activity and Transfer Rate, or "DART;" and Experience Modification Rate, or "EMR." For the year ended December 31, 2018, our Company wide TRIR, DART and EMR were 1.08, 0.63 and 0.58, respectively. For the year ended December 31, 2017, our Company wide TRIR, DART and EMR were 1.34, 0.80 and 0.58, respectively.</w:t>
      </w:r>
    </w:p>
    <w:p>
      <w:pPr>
        <w:spacing w:after="0" w:line="9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 xml:space="preserve">In order to protect our employees, continue to lower our incident rates, and satisfy our customers' demands to retain the best service providers with the lowest TRIR, DART and EMR rates, we are fully committed to continuously improving our health and safety performance. All employees recognize the importance of protecting themselves, their fellow employees, their customers, and all those around them from harm. This commitment is supported by the philosophies and Golden Rules of Safety that is the cornerstone of the </w:t>
      </w:r>
      <w:r>
        <w:rPr>
          <w:rFonts w:ascii="Arial" w:cs="Arial" w:eastAsia="Arial" w:hAnsi="Arial"/>
          <w:sz w:val="17"/>
          <w:szCs w:val="17"/>
          <w:i w:val="1"/>
          <w:iCs w:val="1"/>
          <w:color w:val="auto"/>
        </w:rPr>
        <w:t>Safety Starts with Me: Live It 3-6-5</w:t>
      </w:r>
      <w:r>
        <w:rPr>
          <w:rFonts w:ascii="Arial" w:cs="Arial" w:eastAsia="Arial" w:hAnsi="Arial"/>
          <w:sz w:val="17"/>
          <w:szCs w:val="17"/>
          <w:color w:val="auto"/>
        </w:rPr>
        <w:t xml:space="preserve"> program. </w:t>
      </w:r>
      <w:r>
        <w:rPr>
          <w:rFonts w:ascii="Arial" w:cs="Arial" w:eastAsia="Arial" w:hAnsi="Arial"/>
          <w:sz w:val="17"/>
          <w:szCs w:val="17"/>
          <w:i w:val="1"/>
          <w:iCs w:val="1"/>
          <w:color w:val="auto"/>
        </w:rPr>
        <w:t>Live It 3-6-5</w:t>
      </w:r>
      <w:r>
        <w:rPr>
          <w:rFonts w:ascii="Arial" w:cs="Arial" w:eastAsia="Arial" w:hAnsi="Arial"/>
          <w:sz w:val="17"/>
          <w:szCs w:val="17"/>
          <w:color w:val="auto"/>
        </w:rPr>
        <w:t xml:space="preserve"> is our dedication to the safety of our workers through each and every employee’s commitment to our three Safety philosophies, our six Golden Rules of Safety and each employee’s five personal reasons why they choose to be safe at work, on the road and at home.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28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regard compliance with applicable environmental regulations as a critical component of our overall operations. We strive to maintain the highest professional standards in our compliance activities. Our compliance program has been developed for each of our waste management facilities and service centers under the direction of our compliance staff. The compliance staff is responsible for facilities permitting and regulatory compliance, compliance training, transportation compliance, and related record keeping. To ensure the effectiveness of our regulatory compliance program, our compliance staff monitors daily operational activities. We also have an Environmental Health and Safety Compliance Internal Audit Program designed to identify any weaknesses or opportunities for improvement in our ongoing compliance programs. We also perform periodic audits and inspections of the disposal facilities owned by other companies which we utilize.</w:t>
      </w:r>
    </w:p>
    <w:p>
      <w:pPr>
        <w:spacing w:after="0" w:line="24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Our facilities are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8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strategy is to develop and maintain ongoing relationships with a diversified group of customers that have recurring needs for environmental, energy or industrial services. We strive to be recognized as the premier supplier of a broad range of value-added services based upon quality, responsiveness, customer service, information technologies, breadth of service offerings and cost effectiveness.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elements of our business strategy in no particular order are:</w:t>
      </w:r>
    </w:p>
    <w:p>
      <w:pPr>
        <w:spacing w:after="0" w:line="140" w:lineRule="exact"/>
        <w:rPr>
          <w:sz w:val="20"/>
          <w:szCs w:val="20"/>
          <w:color w:val="auto"/>
        </w:rPr>
      </w:pPr>
    </w:p>
    <w:p>
      <w:pPr>
        <w:ind w:left="660" w:right="4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Cross-Sell Across Businesses</w:t>
      </w:r>
      <w:r>
        <w:rPr>
          <w:rFonts w:ascii="Arial" w:cs="Arial" w:eastAsia="Arial" w:hAnsi="Arial"/>
          <w:sz w:val="18"/>
          <w:szCs w:val="18"/>
          <w:color w:val="auto"/>
        </w:rPr>
        <w:t>—We believe the breadth of our service offerings allows us to provide additional services to existing customers and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the reorganization that took place during the first quarter of 2018 resulted</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ind w:left="660"/>
        <w:spacing w:after="0" w:line="303" w:lineRule="auto"/>
        <w:rPr>
          <w:sz w:val="20"/>
          <w:szCs w:val="20"/>
          <w:color w:val="auto"/>
        </w:rPr>
      </w:pPr>
      <w:r>
        <w:rPr>
          <w:rFonts w:ascii="Arial" w:cs="Arial" w:eastAsia="Arial" w:hAnsi="Arial"/>
          <w:sz w:val="17"/>
          <w:szCs w:val="17"/>
          <w:color w:val="auto"/>
        </w:rPr>
        <w:t>in deepening of our customer relationships and promoting the cross selling of such service offerings. We believe we can provide industrial and field services to customers that traditionally have only used our technical services and technical services to customers that use our industrial services or oil and gas field services. At the same time, we see a variety of cross-selling opportunities between our Environmental Services and Safety-Kleen segments. Reflecting this strategy, we have been successfully cross-selling the services of Safety-Kleen, such as parts washers, various cleaning products, recycling services and our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closed loop initiative, to legacy Clean Harbors customers. We believe leveraging our ability to cross-sell across our segments will drive additional revenue for our Company.</w:t>
      </w:r>
    </w:p>
    <w:p>
      <w:pPr>
        <w:spacing w:after="0" w:line="34" w:lineRule="exact"/>
        <w:rPr>
          <w:sz w:val="20"/>
          <w:szCs w:val="20"/>
          <w:color w:val="auto"/>
        </w:rPr>
      </w:pPr>
    </w:p>
    <w:p>
      <w:pPr>
        <w:ind w:left="660" w:right="560" w:hanging="328"/>
        <w:spacing w:after="0" w:line="28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Capture Large-Scale Projects</w:t>
      </w:r>
      <w:r>
        <w:rPr>
          <w:rFonts w:ascii="Arial" w:cs="Arial" w:eastAsia="Arial" w:hAnsi="Arial"/>
          <w:sz w:val="17"/>
          <w:szCs w:val="17"/>
          <w:color w:val="auto"/>
        </w:rPr>
        <w:t>—We provide turnkey offsite transportation and landfill or incineration disposal services for soil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contaminated media generated from remediation activities. We also assist remediation contractors and project managers with support services including groundwater disposal, waste disposal, roll-off container management, and many other related services. We believe this will drive incremental waste volume to our existing facilities, thereby increasing utilization and enhancing overall profitability.</w:t>
      </w:r>
    </w:p>
    <w:p>
      <w:pPr>
        <w:spacing w:after="0" w:line="56" w:lineRule="exact"/>
        <w:rPr>
          <w:rFonts w:ascii="Arial" w:cs="Arial" w:eastAsia="Arial" w:hAnsi="Arial"/>
          <w:sz w:val="17"/>
          <w:szCs w:val="17"/>
          <w:color w:val="auto"/>
        </w:rPr>
      </w:pPr>
    </w:p>
    <w:p>
      <w:pPr>
        <w:ind w:left="660" w:right="20" w:hanging="328"/>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Expand Throughput Capacity of Existing Facilities</w:t>
      </w:r>
      <w:r>
        <w:rPr>
          <w:rFonts w:ascii="Arial" w:cs="Arial" w:eastAsia="Arial" w:hAnsi="Arial"/>
          <w:sz w:val="16"/>
          <w:szCs w:val="16"/>
          <w:color w:val="auto"/>
        </w:rPr>
        <w:t>—We operate an extensive network of hazardous waste management facilities and oil re-refineries and have made substantial investments in these facilities, which provide us with significant operating leverage as volumes increase. In addition, there are opportunities to expand waste handling capacity or waste oil processing at these facilities by modifying the terms of the existing permits and by adding equipment and new technology. Through selected permit modifications, we can expand the range of treatment services offered to our customers without the large capital investment necessary to acquire or build new waste management facilities.</w:t>
      </w:r>
    </w:p>
    <w:p>
      <w:pPr>
        <w:spacing w:after="0" w:line="46" w:lineRule="exact"/>
        <w:rPr>
          <w:rFonts w:ascii="Arial" w:cs="Arial" w:eastAsia="Arial" w:hAnsi="Arial"/>
          <w:sz w:val="16"/>
          <w:szCs w:val="16"/>
          <w:color w:val="auto"/>
        </w:rPr>
      </w:pPr>
    </w:p>
    <w:p>
      <w:pPr>
        <w:ind w:left="660" w:hanging="328"/>
        <w:spacing w:after="0" w:line="30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Pursue Strategic Acquisitions</w:t>
      </w:r>
      <w:r>
        <w:rPr>
          <w:rFonts w:ascii="Arial" w:cs="Arial" w:eastAsia="Arial" w:hAnsi="Arial"/>
          <w:sz w:val="16"/>
          <w:szCs w:val="16"/>
          <w:color w:val="auto"/>
        </w:rPr>
        <w:t>—We actively pursue selective acquisitions in certain services or market sectors where we believe the acquisitions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can enhance and expand our business. We believe that we can expand existing services through strategic acquisitions in order to generate incremental revenues from existing and new customers and to obtain greater market share. In order to maximize synergies, we rapidly integrate our acquisitions into our existing processes. For additional information on our acquisitions, see "Acquisitions and Divestitures" below.</w:t>
      </w:r>
    </w:p>
    <w:p>
      <w:pPr>
        <w:spacing w:after="0" w:line="43" w:lineRule="exact"/>
        <w:rPr>
          <w:rFonts w:ascii="Arial" w:cs="Arial" w:eastAsia="Arial" w:hAnsi="Arial"/>
          <w:sz w:val="16"/>
          <w:szCs w:val="16"/>
          <w:color w:val="auto"/>
        </w:rPr>
      </w:pPr>
    </w:p>
    <w:p>
      <w:pPr>
        <w:ind w:left="660" w:right="1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Execute Strategic Divestitures</w:t>
      </w:r>
      <w:r>
        <w:rPr>
          <w:rFonts w:ascii="Arial" w:cs="Arial" w:eastAsia="Arial" w:hAnsi="Arial"/>
          <w:sz w:val="18"/>
          <w:szCs w:val="18"/>
          <w:color w:val="auto"/>
        </w:rPr>
        <w:t>—To complement our acquisition strategy and focus on internal growth, we regularly review and evaluate our</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operations to determine whether our business model should change through the divestiture of certain businesses. Accordingly, from time to time, we divest certain non-core businesses and reallocate our resources to businesses that we believe better align with our long-term strategic direction.</w:t>
      </w:r>
    </w:p>
    <w:p>
      <w:pPr>
        <w:spacing w:after="0" w:line="71" w:lineRule="exact"/>
        <w:rPr>
          <w:rFonts w:ascii="Arial" w:cs="Arial" w:eastAsia="Arial" w:hAnsi="Arial"/>
          <w:sz w:val="18"/>
          <w:szCs w:val="18"/>
          <w:color w:val="auto"/>
        </w:rPr>
      </w:pPr>
    </w:p>
    <w:p>
      <w:pPr>
        <w:ind w:left="660" w:right="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Focus on Cost, Pricing and Productivity Initiatives</w:t>
      </w:r>
      <w:r>
        <w:rPr>
          <w:rFonts w:ascii="Arial" w:cs="Arial" w:eastAsia="Arial" w:hAnsi="Arial"/>
          <w:sz w:val="18"/>
          <w:szCs w:val="18"/>
          <w:color w:val="auto"/>
        </w:rPr>
        <w:t>—We continually seek to increase efficiency and to reduce costs through enhanced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efficiencies and stringent expense management. For instance, in 2018, we successfully undertook, in response to current and expected business conditions, branch consolidations, greater internalization of maintenance costs, procurement and supply chain improvements. Additionally, we seek areas in our business where strategic investment in processes, tools and employees can serve to increase productivity, efficiency and safety compliance.</w:t>
      </w:r>
    </w:p>
    <w:p>
      <w:pPr>
        <w:spacing w:after="0" w:line="75" w:lineRule="exact"/>
        <w:rPr>
          <w:rFonts w:ascii="Arial" w:cs="Arial" w:eastAsia="Arial" w:hAnsi="Arial"/>
          <w:sz w:val="18"/>
          <w:szCs w:val="18"/>
          <w:color w:val="auto"/>
        </w:rPr>
      </w:pPr>
    </w:p>
    <w:p>
      <w:pPr>
        <w:ind w:left="660" w:right="120" w:hanging="328"/>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Expand Service Offerings and Geographic Coverage</w:t>
      </w:r>
      <w:r>
        <w:rPr>
          <w:rFonts w:ascii="Arial" w:cs="Arial" w:eastAsia="Arial" w:hAnsi="Arial"/>
          <w:sz w:val="16"/>
          <w:szCs w:val="16"/>
          <w:color w:val="auto"/>
        </w:rPr>
        <w:t>—We believe our Environmental Services and Safety-Kleen segments have a competitive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due to their vast network of locations across North America, particularly in areas where we maintain service locations at or near a treatment, storage and disposal facility, or "TSDF." By opening additional service locations we believe that we can increase our market share within these segments. We believe this will drive additional waste into our existing facilities, thereby increasing utilization and enhancing overall profitability. In addition, our management team continues to assess the competitive landscape in order to identify new business opportunities.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4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Acquisitions are an element of our business strategy that involves expansion through the purchase of businesses that complement our existing company and create multiple opportunities for profitable growth.</w:t>
      </w:r>
    </w:p>
    <w:p>
      <w:pPr>
        <w:spacing w:after="0" w:line="89"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2018, we acquired the U.S. Industrial Cleaning Business of Veolia Environmental Services North America LLC (the "Veolia Business") as well as a privately-owned company for a combined preliminary purchase price of $151.3 million. The acquisitions provide significant scale and industrial services capabilities, while increasing the size of our existing U.S. Industrial Services business. The acquisitions were financed with cash on hand. The Veolia Business is included in our Environmental Services segment while the privately-owned company has components included in both the Environmental Services and Safety-Kleen segments.</w:t>
      </w:r>
    </w:p>
    <w:p>
      <w:pPr>
        <w:spacing w:after="0" w:line="107"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color w:val="auto"/>
        </w:rPr>
        <w:t>In 2017, we acquired Lonestar West Inc. ("Lonestar"), a public company headquartered in Alberta, Canada, for approximately CAD $41.8 million ($33.1 million USD), net of cash acquired. The acquisition price included the assumption of approximately CAD $21.3 million ($16.8 million USD) in outstanding debt, which we subsequently repaid. The acquisition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supports our growth in the daylighting and hydro excavation services markets. In addition to increasing the size of our hydro vac fleet, Lonestar's network of locations provides us with direct access to key geographic markets in both the United States and Canada. The acquired company is included in our Environmental Services segment.</w:t>
      </w:r>
    </w:p>
    <w:p>
      <w:pPr>
        <w:spacing w:after="0" w:line="23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2016, we acquired seven businesses for a combined purchase price of $204.8 million, paid in cash and subject to customary post-closing adjustments, which complement our strategy to create a closed loop model as it relates to the sale and distribution of our oil products. These acquisitions also provided us three additional oil re-refineries while also expanding our used motor oil collection network and providing greater blending and packaging capabilities. These acquisitions also provided us with greater access to customers in the West Coast region of the United States and additional locations with Part B permits. Operations of these acquisitions are primarily being integrated across our Safety-Kleen segment, with certain operations also being integrated into our Environmental Services segment.</w:t>
      </w:r>
    </w:p>
    <w:p>
      <w:pPr>
        <w:spacing w:after="0" w:line="11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For additional information relating to our acquisition activities during 2018, 2017 and 2016, see Note 4, "Business Combinations," to our consolidated financial statements included in Item 8 of this report.</w:t>
      </w:r>
    </w:p>
    <w:p>
      <w:pPr>
        <w:spacing w:after="0" w:line="62" w:lineRule="exact"/>
        <w:rPr>
          <w:sz w:val="20"/>
          <w:szCs w:val="20"/>
          <w:color w:val="auto"/>
        </w:rPr>
      </w:pPr>
    </w:p>
    <w:p>
      <w:pPr>
        <w:ind w:right="800" w:firstLine="392"/>
        <w:spacing w:after="0" w:line="277" w:lineRule="auto"/>
        <w:rPr>
          <w:sz w:val="20"/>
          <w:szCs w:val="20"/>
          <w:color w:val="auto"/>
        </w:rPr>
      </w:pPr>
      <w:r>
        <w:rPr>
          <w:rFonts w:ascii="Arial" w:cs="Arial" w:eastAsia="Arial" w:hAnsi="Arial"/>
          <w:sz w:val="18"/>
          <w:szCs w:val="18"/>
          <w:color w:val="auto"/>
        </w:rPr>
        <w:t>Other business transactions also include divestitures based on our ongoing review of portfolio assets to determine the extent to which they are contributing to our objectives and growth strategy.</w:t>
      </w:r>
    </w:p>
    <w:p>
      <w:pPr>
        <w:spacing w:after="0" w:line="116"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In 2017 we completed the sale of our Transformer Services business, which was a non-core business previously included within the legacy Technical Services segment, for $45.5 million ($43.4 million net of $2.1 million in transactional related costs) subject to customary post-closing adjustments. In 2016 we completed the sale of our Catalyst Services business, which was a non-core business previously included within the legacy Industrial Services operating segment, for approximately $50.6 million ($49.2 million net of cash retained by the catalyst services business) subject to customary post-closing adjustments. For additional information relating to these divestitures, see Note 5, "Disposition of Businesses," to our consolidated financial statements included in Item 8 of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Protecting the Environment and Corporate Sustainability</w:t>
      </w:r>
    </w:p>
    <w:p>
      <w:pPr>
        <w:spacing w:after="0" w:line="28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core business is to provide industry, government and the public a wide range of environmental, energy and industrial services that protect and restore North America's natural environment.</w:t>
      </w:r>
    </w:p>
    <w:p>
      <w:pPr>
        <w:spacing w:after="0" w:line="224"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As a leading provider of environmental, energy and industrial services throughout North America, our first goal is to help our customers prevent the release of chemicals and hazardous waste streams into the environment. We also are the leading service provider in the recovery and decontamination of pollutants that have been released. This includes the safe destruction or disposal of hazardous materials in a manner that ensures these materials are no longer a danger to the environment. When providing these services, we are committed to the recycling, reuse and reclamation of these wastes whenever possible using a variety of methods more fully explained below in the sections describing our general operations. Many of our branded services exemplify our commitment to sustainability and providing environmental solutions to the marketplace. Where possible, liquids such as solvents, chemicals and used oil are continuously recycled to our high-quality standards and made into useful products. Tolling programs provide a closed process in which the customer’s spent solvents are recycled to their precise specifications and returned directly to them.</w:t>
      </w:r>
    </w:p>
    <w:p>
      <w:pPr>
        <w:spacing w:after="0" w:line="2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2018 we gathered nearly 225 million gallons of used oil in North America through our Safety-Kleen business. Since their opening, our plants have re-refined more than 3.3 billion gallons of used oil, avoiding more than 27 million metric tons of greenhouse gases.</w:t>
      </w:r>
    </w:p>
    <w:p>
      <w:pPr>
        <w:spacing w:after="0" w:line="22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have also become the leading North American provider of services to protect the ozone layer from the destructive effects of chlorofluorocarbons, or "CFCs," which are ozone layer depleting substances and global warming compounds that have global warming potentials up to 10,000 times more powerful than carbon dioxide. Global-warming potential is a relative measure of how much heat a greenhouse gas traps in the atmosphere.</w:t>
      </w:r>
    </w:p>
    <w:p>
      <w:pPr>
        <w:spacing w:after="0" w:line="66"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Since 2013, more than 7.9 million metric tons of carbon dioxide emissions were avoided by destroying CFCs at our Arkansas incinerator. That is equivalent to removing approximately 1.6 million passenger vehicles from the road for one year.</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fleet of transportation vehicles represents one of our largest opportunities to apply sustainable business practices. Our Asset Refurbishment Program is a comprehensive effort to rebuild assets to "like new" quality. With four facilities now operational, we are able to rebuild approximately two vehicles every week. Our goal is 100% reuse or recycling of all materials.</w:t>
      </w:r>
    </w:p>
    <w:p>
      <w:pPr>
        <w:spacing w:after="0" w:line="18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One of our most highly visible public programs for various governmental and community entities involves the removal of thousands of tons of hazardous wastes, from households throughout the United States and Canada, that might otherwise be improperly disposed of or become dangerous to the communities where they are stored.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400"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As we provide these wide-ranging services throughout North America, we are committed to ensuring that our own operations are environmentally responsible. Our sustainability efforts are guided by a formal policy, strategy and plan and we continue to build on our past efforts, such as implementing numerous energy efficiency improvements and various transportation initiatives within our fleet, including using our own recycled oil. We developed initiatives that focus on improving the Company's and our customers' impact on the environment. Our technologies and increased operational efficiencies have allowed us to deliver innovative customer solutions, like our Safety-Kleen Oil 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19"/>
          <w:szCs w:val="19"/>
          <w:color w:val="auto"/>
        </w:rPr>
        <w:t>Program,</w:t>
      </w:r>
      <w:r>
        <w:rPr>
          <w:rFonts w:ascii="Arial" w:cs="Arial" w:eastAsia="Arial" w:hAnsi="Arial"/>
          <w:sz w:val="18"/>
          <w:szCs w:val="18"/>
          <w:color w:val="auto"/>
        </w:rPr>
        <w:t xml:space="preserve"> that show our commitment to sustainable methodologies and transform the way we do business</w:t>
      </w:r>
      <w:r>
        <w:rPr>
          <w:rFonts w:ascii="Arial" w:cs="Arial" w:eastAsia="Arial" w:hAnsi="Arial"/>
          <w:sz w:val="19"/>
          <w:szCs w:val="19"/>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79" w:lineRule="exact"/>
        <w:rPr>
          <w:sz w:val="20"/>
          <w:szCs w:val="20"/>
          <w:color w:val="auto"/>
        </w:rPr>
      </w:pPr>
    </w:p>
    <w:p>
      <w:pPr>
        <w:ind w:left="660" w:right="20" w:hanging="328"/>
        <w:spacing w:after="0" w:line="298"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Leading Provider of Environmental, Energy and Industrial Services</w:t>
      </w:r>
      <w:r>
        <w:rPr>
          <w:rFonts w:ascii="Arial" w:cs="Arial" w:eastAsia="Arial" w:hAnsi="Arial"/>
          <w:sz w:val="16"/>
          <w:szCs w:val="16"/>
          <w:color w:val="auto"/>
        </w:rPr>
        <w:t>—We are a leading provider of environmental, energy and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own nine of the 13 commercial hazardous waste incinerators, making us the largest operator of such facilities in North America. We are also one of the few industrial services companies with national footprints in both the U.S. and Canada. We provide multi-faceted, high-quality services to a broad mix of customers. We attract and better serve our customers because of our vast capabilities and breadth of services as well as our overall size, scale and geographic location of our large network along with valuable and unique assets used in providing our services.</w:t>
      </w:r>
    </w:p>
    <w:p>
      <w:pPr>
        <w:spacing w:after="0" w:line="208" w:lineRule="exact"/>
        <w:rPr>
          <w:rFonts w:ascii="Arial" w:cs="Arial" w:eastAsia="Arial" w:hAnsi="Arial"/>
          <w:sz w:val="16"/>
          <w:szCs w:val="16"/>
          <w:b w:val="1"/>
          <w:bCs w:val="1"/>
          <w:color w:val="auto"/>
        </w:rPr>
      </w:pPr>
    </w:p>
    <w:p>
      <w:pPr>
        <w:ind w:left="660" w:right="20" w:hanging="328"/>
        <w:spacing w:after="0" w:line="29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Integrated Network of Assets</w:t>
      </w:r>
      <w:r>
        <w:rPr>
          <w:rFonts w:ascii="Arial" w:cs="Arial" w:eastAsia="Arial" w:hAnsi="Arial"/>
          <w:sz w:val="16"/>
          <w:szCs w:val="16"/>
          <w:color w:val="auto"/>
        </w:rPr>
        <w:t>—We believe we operate, in the aggregate, the largest number of commercial hazardous waste incinerators, landfills,</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facilities and TSDFs in North America. Our broad service network enables us to effectively handle a waste stream from its origin through disposal and to efficiently direct and internalize our waste streams to reduce costs. As our processing of wastes increases, our size allows us to leverage our network and increase our profit margins as we can internalize a greater volume of waste in our incinerators, landfills and other disposal facilities. Furthermore, these assets are very difficult to duplicate because significant permitting and regulatory approvals would need to take place in order for new waste disposal sites to come on line. High barriers of entry for such assets provide increased value to our network.</w:t>
      </w:r>
    </w:p>
    <w:p>
      <w:pPr>
        <w:spacing w:after="0" w:line="209" w:lineRule="exact"/>
        <w:rPr>
          <w:rFonts w:ascii="Arial" w:cs="Arial" w:eastAsia="Arial" w:hAnsi="Arial"/>
          <w:sz w:val="16"/>
          <w:szCs w:val="16"/>
          <w:color w:val="auto"/>
        </w:rPr>
      </w:pPr>
    </w:p>
    <w:p>
      <w:pPr>
        <w:ind w:left="660" w:right="2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Comprehensive Service Capabilities</w:t>
      </w:r>
      <w:r>
        <w:rPr>
          <w:rFonts w:ascii="Arial" w:cs="Arial" w:eastAsia="Arial" w:hAnsi="Arial"/>
          <w:sz w:val="18"/>
          <w:szCs w:val="18"/>
          <w:color w:val="auto"/>
        </w:rPr>
        <w:t>—Our comprehensive service offerings allow us to act as a full-service provider to our customers. Our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of service offerings creates incremental revenue growth as customers seek to minimize the number of outside vendors and demand "one-stop-shop" service providers.</w:t>
      </w:r>
    </w:p>
    <w:p>
      <w:pPr>
        <w:spacing w:after="0" w:line="230"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Largest Collector and Recycler of Used Motor Oil</w:t>
      </w:r>
      <w:r>
        <w:rPr>
          <w:rFonts w:ascii="Arial" w:cs="Arial" w:eastAsia="Arial" w:hAnsi="Arial"/>
          <w:sz w:val="18"/>
          <w:szCs w:val="18"/>
          <w:color w:val="auto"/>
        </w:rPr>
        <w:t>— As the largest re-refiner and recycler of used oil in the world, we returned during 2018</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192 million gallons of new re-refined oil, lubricants and byproducts back into the marketplace. In 2018, our re-refining process eliminated more than two million metric tons of greenhouse gas ("GHG"), which is the equivalent of growing more than 54 million trees for 10 years in an urban environment or taking over 395,000 passenger cars off the road for one year.</w:t>
      </w:r>
    </w:p>
    <w:p>
      <w:pPr>
        <w:spacing w:after="0" w:line="99" w:lineRule="exact"/>
        <w:rPr>
          <w:rFonts w:ascii="Arial" w:cs="Arial" w:eastAsia="Arial" w:hAnsi="Arial"/>
          <w:sz w:val="18"/>
          <w:szCs w:val="18"/>
          <w:color w:val="auto"/>
        </w:rPr>
      </w:pPr>
    </w:p>
    <w:p>
      <w:pPr>
        <w:ind w:left="660" w:right="10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Large and Diversified Customer Base</w:t>
      </w:r>
      <w:r>
        <w:rPr>
          <w:rFonts w:ascii="Arial" w:cs="Arial" w:eastAsia="Arial" w:hAnsi="Arial"/>
          <w:sz w:val="18"/>
          <w:szCs w:val="18"/>
          <w:color w:val="auto"/>
        </w:rPr>
        <w:t>—Our customers range from Fortune 500 companies to midsize and small public and private entities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span multiple industries and business types, including governmental entities. This diversification limits our credit exposure to any one customer and potential cyclicality to any one industry. As a percentage of our 2018 revenues, the top ten industries we service totaled approximately 76% and included general manufacturing (17%), chemical (14%), refineries (8%), base and blended oils (8%), automotive (7%), government (6%), utilities (5%), transportation (4%), oil and gas (4%) and construction (3%).</w:t>
      </w:r>
    </w:p>
    <w:p>
      <w:pPr>
        <w:spacing w:after="0" w:line="75"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Stable and Recurring Revenue Base</w:t>
      </w:r>
      <w:r>
        <w:rPr>
          <w:rFonts w:ascii="Arial" w:cs="Arial" w:eastAsia="Arial" w:hAnsi="Arial"/>
          <w:sz w:val="18"/>
          <w:szCs w:val="18"/>
          <w:color w:val="auto"/>
        </w:rPr>
        <w:t>—We have long-standing relationships with our large customers, many of whom have worked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decades. Our diversified customer base provides stable and recurring revenues, as a significant portion of our revenues are derived from previously served customers with recurring needs for our services. In addition, switching costs for many of our hazardous waste customers are high. This is due to many customers' desire to audit disposal facilities prior to their qualification as approved sites and to limit the number of facilities to which their hazardous wastes are shipped in order to reduce their potential liability under United States and Canadian environmental laws and regulations. We have been selected as an approved vendor by large and small generators of waste because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w:t>
      </w:r>
    </w:p>
    <w:p>
      <w:pPr>
        <w:spacing w:after="0" w:line="81" w:lineRule="exact"/>
        <w:rPr>
          <w:rFonts w:ascii="Arial" w:cs="Arial" w:eastAsia="Arial" w:hAnsi="Arial"/>
          <w:sz w:val="18"/>
          <w:szCs w:val="18"/>
          <w:color w:val="auto"/>
        </w:rPr>
      </w:pPr>
    </w:p>
    <w:p>
      <w:pPr>
        <w:jc w:val="both"/>
        <w:ind w:left="660" w:right="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Regulatory Compliance</w:t>
      </w:r>
      <w:r>
        <w:rPr>
          <w:rFonts w:ascii="Arial" w:cs="Arial" w:eastAsia="Arial" w:hAnsi="Arial"/>
          <w:sz w:val="18"/>
          <w:szCs w:val="18"/>
          <w:color w:val="auto"/>
        </w:rPr>
        <w:t>—We continue to make capital investments in our facilities to ensure that they are in compliance with current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provincial and local regulations. Companies that rely on in-house disposal may find the current regulatory requirements to be too capital intensive or complicated, and may choose to outsource many of their hazardous waste disposal needs.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660" w:hanging="328"/>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Effective Cost Management</w:t>
      </w:r>
      <w:r>
        <w:rPr>
          <w:rFonts w:ascii="Arial" w:cs="Arial" w:eastAsia="Arial" w:hAnsi="Arial"/>
          <w:sz w:val="17"/>
          <w:szCs w:val="17"/>
          <w:color w:val="auto"/>
        </w:rPr>
        <w:t>—Our significant scale allows us to maintain low costs through standardized compliance procedures,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purchasing power, leveraging our investment in technology and our ability to efficiently utilize logistics and transportation to economically direct waste streams to the most efficient facility. We also have the ability to transport and process with internal resources the substantial majority of all hazardous waste that we manage for our customers. In addition, our Safety-Kleen results are significantly impacted by the overall market pricing and product mix associated with base and blended oil products and, more specifically, the market prices of Group II base oils. We charge fees related to our used oil collection services which allow us to effectively manage the profit spreads inherent in our business.</w:t>
      </w:r>
    </w:p>
    <w:p>
      <w:pPr>
        <w:spacing w:after="0" w:line="65" w:lineRule="exact"/>
        <w:rPr>
          <w:rFonts w:ascii="Arial" w:cs="Arial" w:eastAsia="Arial" w:hAnsi="Arial"/>
          <w:sz w:val="17"/>
          <w:szCs w:val="17"/>
          <w:color w:val="auto"/>
        </w:rPr>
      </w:pPr>
    </w:p>
    <w:p>
      <w:pPr>
        <w:ind w:left="660" w:right="380" w:hanging="328"/>
        <w:spacing w:after="0" w:line="31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Proven and Experienced Management Team</w:t>
      </w:r>
      <w:r>
        <w:rPr>
          <w:rFonts w:ascii="Arial" w:cs="Arial" w:eastAsia="Arial" w:hAnsi="Arial"/>
          <w:sz w:val="16"/>
          <w:szCs w:val="16"/>
          <w:color w:val="auto"/>
        </w:rPr>
        <w:t>—Our executive management team provides depth and continuity. Our 12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have over 200 years of experience and expertise in the environmental, energy and industrial services industries. Our chief executive officer founded our Company in 1980, and since its formation has served as both the Chief Executive Officer and Chairman of the Board.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 xml:space="preserve">Seasonality and Cyclical Nature of Business. </w:t>
      </w:r>
      <w:r>
        <w:rPr>
          <w:rFonts w:ascii="Arial" w:cs="Arial" w:eastAsia="Arial" w:hAnsi="Arial"/>
          <w:sz w:val="18"/>
          <w:szCs w:val="18"/>
          <w:color w:val="auto"/>
        </w:rPr>
        <w:t>Our operations may be affected by seasonal fluctuations due to weather and budgetary cycles influencing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timing of customers' spending for products and services. Typically during the first quarter of each year there is less demand for our products, oil collection, recycling and environmental services due to the lower levels of activities by our customers as a result of the cold weather, particularly in the Northern and Midwestern regions of the United States and Canada. As a result, reduced volumes of waste are received at our facilities, higher operating costs are realized due to sub-freezing weather and high levels of snowfall, factory closings for year-end holidays reduce waste volume, and lower volumes of used oil are generated for our collection.</w:t>
      </w:r>
    </w:p>
    <w:p>
      <w:pPr>
        <w:spacing w:after="0" w:line="247"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i w:val="1"/>
          <w:iCs w:val="1"/>
          <w:color w:val="auto"/>
        </w:rPr>
        <w:t xml:space="preserve">Geographical Information. </w:t>
      </w:r>
      <w:r>
        <w:rPr>
          <w:rFonts w:ascii="Arial" w:cs="Arial" w:eastAsia="Arial" w:hAnsi="Arial"/>
          <w:sz w:val="18"/>
          <w:szCs w:val="18"/>
          <w:color w:val="auto"/>
        </w:rPr>
        <w:t>For the year ended December 31, 2018, we generated $2,721.8 million or 82.5% of our direct revenues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and $578.5 million or 17.5% of revenues in Canada. For the year ended December 31, 2017, we generated $2,392.0 million or 81.2% of our direct revenues in the United States and $553.0 million or 18.8% of revenues in Canada. For additional information about the geographical areas from which our revenues are derived and in which our assets are located, see Note 19, "Segment Reporting," to our consolidated financial statements included in Item 8 of this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Services</w:t>
      </w:r>
    </w:p>
    <w:p>
      <w:pPr>
        <w:spacing w:after="0" w:line="279" w:lineRule="exact"/>
        <w:rPr>
          <w:sz w:val="20"/>
          <w:szCs w:val="20"/>
          <w:color w:val="auto"/>
        </w:rPr>
      </w:pPr>
    </w:p>
    <w:p>
      <w:pPr>
        <w:ind w:right="20" w:firstLine="432"/>
        <w:spacing w:after="0" w:line="227" w:lineRule="auto"/>
        <w:rPr>
          <w:sz w:val="20"/>
          <w:szCs w:val="20"/>
          <w:color w:val="auto"/>
        </w:rPr>
      </w:pPr>
      <w:r>
        <w:rPr>
          <w:rFonts w:ascii="Arial" w:cs="Arial" w:eastAsia="Arial" w:hAnsi="Arial"/>
          <w:sz w:val="18"/>
          <w:szCs w:val="18"/>
          <w:color w:val="auto"/>
        </w:rPr>
        <w:t>We collect, transport, treat and dispose of hazardous and non-hazardous waste, including resource recovery, physical treatment, fuel blending, incineration, landfill disposal, wastewater treatment, lab chemical disposal, explosives management and CleanPack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services. Our CleanPack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services include the collection, identification and categorization, specialized packaging, transportation and disposal of laboratory chemicals and household hazardous waste. We also perform a wide range of industrial maintenance and specialty industrial services and utilize specialty equipment and resources to perform field services at any chosen location on a planned or emergency response basis.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260"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i w:val="1"/>
          <w:iCs w:val="1"/>
          <w:color w:val="auto"/>
        </w:rPr>
        <w:t xml:space="preserve">Technical Services. </w:t>
      </w:r>
      <w:r>
        <w:rPr>
          <w:rFonts w:ascii="Arial" w:cs="Arial" w:eastAsia="Arial" w:hAnsi="Arial"/>
          <w:sz w:val="16"/>
          <w:szCs w:val="16"/>
          <w:color w:val="auto"/>
        </w:rPr>
        <w:t>We provide technical services through a network of service centers from which a fleet of vehicles are dispatched to pick up</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waste either on a predetermined schedule or on demand, and to deliver the waste to permitted facilities, which are usually Company-owned. Our service centers also can dispatch chemists to a customer location for collection of chemical and laboratory waste for disposal. InSite Service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25 years. By leveraging Clean Harbors' expertise and capabilities, our on-site staffs are dedicated to developing the safest, most cost-effective solutions to service customers’ needs.</w:t>
      </w:r>
    </w:p>
    <w:p>
      <w:pPr>
        <w:spacing w:after="0" w:line="21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Collection, Transportation and Logistics Management. </w:t>
      </w:r>
      <w:r>
        <w:rPr>
          <w:rFonts w:ascii="Arial" w:cs="Arial" w:eastAsia="Arial" w:hAnsi="Arial"/>
          <w:sz w:val="18"/>
          <w:szCs w:val="18"/>
          <w:color w:val="auto"/>
        </w:rPr>
        <w:t>As an integral part of our services, we collect industrial waste from customers and transport</w:t>
      </w:r>
      <w:r>
        <w:rPr>
          <w:rFonts w:ascii="Arial" w:cs="Arial" w:eastAsia="Arial" w:hAnsi="Arial"/>
          <w:sz w:val="18"/>
          <w:szCs w:val="18"/>
          <w:i w:val="1"/>
          <w:iCs w:val="1"/>
          <w:color w:val="auto"/>
        </w:rPr>
        <w:t xml:space="preserve"> </w:t>
      </w:r>
      <w:r>
        <w:rPr>
          <w:rFonts w:ascii="Arial" w:cs="Arial" w:eastAsia="Arial" w:hAnsi="Arial"/>
          <w:sz w:val="18"/>
          <w:szCs w:val="18"/>
          <w:color w:val="auto"/>
        </w:rPr>
        <w:t>such waste to and between our facilities for treatment or bulking for shipment to final disposal locations. Customers typically accumulate waste in containers, such as 55-gallon drums, bulk storage tanks or 20-cubic-yard roll-off containers. In providing this service, we utilize a variety of specially designed and constructed tank trucks and semi-trailers as well as third-party transporters, including railroads.</w:t>
      </w:r>
    </w:p>
    <w:p>
      <w:pPr>
        <w:spacing w:after="0" w:line="24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 xml:space="preserve">Treatment and Disposal. </w:t>
      </w:r>
      <w:r>
        <w:rPr>
          <w:rFonts w:ascii="Arial" w:cs="Arial" w:eastAsia="Arial" w:hAnsi="Arial"/>
          <w:sz w:val="18"/>
          <w:szCs w:val="18"/>
          <w:color w:val="auto"/>
        </w:rPr>
        <w:t>We recycle, treat and dispose of hazardous and non-hazardous industrial waste. The waste handled includes substances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classified as "hazardous" because of their corrosive, ignitable, infectious, reactive or toxic properties, and other substances subject to federal, state and provincial environmental regulation. We provide final</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treatment and disposal services designed to manage waste which cannot be otherwise economically recycled or reused. The waste that we handle comes in solid, sludge, liquid and gas form.</w:t>
      </w:r>
    </w:p>
    <w:p>
      <w:pPr>
        <w:spacing w:after="0" w:line="22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operate a network of TSDFs that collect, temporarily store and/or consolidate compatible waste streams for more efficient transportation to final recycling, treatment or disposal destinations. These facilities hold special permits, such as Part B permits under the Resource Conservation and Recovery Act, or "RCRA," in the United States, which allow them to process, transfer and dispose of waste through various technologies including recycling, incineration, and landfill and wastewater treatment depending on each location's permitted and constructed capabilities.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 xml:space="preserve">Resource Recovery and Fuel Blending. </w:t>
      </w:r>
      <w:r>
        <w:rPr>
          <w:rFonts w:ascii="Arial" w:cs="Arial" w:eastAsia="Arial" w:hAnsi="Arial"/>
          <w:sz w:val="18"/>
          <w:szCs w:val="18"/>
          <w:color w:val="auto"/>
        </w:rPr>
        <w:t>We operate recycling systems for the reclamation and reuse of certain waste, particularly solvent-based waste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industrial cleaning operations, metal finishing and other manufacturing processes. Resource recovery involves the treatment of wastes using various methods, which effectively remove contaminants from the original material to restore its fitness for its intended purpose and to reduce the volume of waste requiring disposal.</w:t>
      </w:r>
    </w:p>
    <w:p>
      <w:pPr>
        <w:spacing w:after="0" w:line="24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also operate a recycling facility that recycles refinery waste and spent catalyst. The recycled oil and catalysts, depending on market conditions, are sold to third parties.</w:t>
      </w:r>
    </w:p>
    <w:p>
      <w:pPr>
        <w:spacing w:after="0" w:line="8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Incineration. </w:t>
      </w:r>
      <w:r>
        <w:rPr>
          <w:rFonts w:ascii="Arial" w:cs="Arial" w:eastAsia="Arial" w:hAnsi="Arial"/>
          <w:sz w:val="18"/>
          <w:szCs w:val="18"/>
          <w:color w:val="auto"/>
        </w:rPr>
        <w:t>Incineration is the preferred method for the treatment of organic hazardous waste because it effectively destroys the contaminants at high</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temperatures. High temperature incineration effectively eliminates organic waste such as herbicides, halogenated solvents, pesticides, pharmaceutical and refinery waste, regardless of whether gases, liquids, sludge or solids. Federal and state incineration regulations require a destruction and removal efficiency of 99.99% for most organic waste.</w:t>
      </w:r>
    </w:p>
    <w:p>
      <w:pPr>
        <w:spacing w:after="0" w:line="241"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As of December 31, 2018, we had nine active incinerators operating in five incinerator facilities that offer a wide range of technological capabilities to customers. In the United States, we operate a fluidized bed thermal oxidation unit for maximum destruction efficiency of hazardous waste with an estimated annual practical capacity of 58,808 tons and three solids and liquids capable incinerator facilities with a combined estimated annual practical capacity of 377,387 tons. We also operate one hazardous waste liquid injection incinerator in Canada with total annual practical capacity of 125,526 tons.</w:t>
      </w:r>
    </w:p>
    <w:p>
      <w:pPr>
        <w:spacing w:after="0" w:line="20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incinerator facilities in Kimball, Nebraska; Deer Park, Texas; El Dorado, Arkansas; and Aragonite, Utah, are designed to process liquid organic waste, sludge, solids, soil and debris. Our Deer Park facility has two kilns and a rotary reactor. Our El Dorado facility specializes in the treatment of bulk and containerized hazardous liquids, solids and sludge. In 2017, we opened a new hazardous waste incinerator at our El Dorado, Arkansas facility, which specializes in high-temperature incineration of regulated waste such as industrial and laboratory chemicals, manufacturing byproducts, fertilizers and other solid and liquid materials that would otherwise be hazardous to the environment and public health if not properly managed. Our facilities in Kimball and Deer Park also have on-site landfills for the disposal of ash produced as a result of the incineration process.</w:t>
      </w:r>
    </w:p>
    <w:p>
      <w:pPr>
        <w:spacing w:after="0" w:line="23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incinerator facility in Lambton, Ontario, is a liquid injection incinerator, designed primarily for the destruction of liquid organic waste. Typical waste streams include wastewater with low levels of organics and other higher concentration organic liquid waste not amenable to conventional physical or chemical waste treatment.</w:t>
      </w:r>
    </w:p>
    <w:p>
      <w:pPr>
        <w:spacing w:after="0" w:line="23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Landfills are primarily used for disposal of inorganic waste. In the United States and Canada, we operate nine commercial landfills. Seven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commercial landfills are designed and permitted for disposal of hazardous waste and two of our landfills are operated for non-hazardous industrial waste disposal and, to a lesser extent, municipal solid waste. In addition to our commercial landfills, we also own and operate, as described above, two non-commercial landfills that only accept waste from our on-site incinerators.</w:t>
      </w:r>
    </w:p>
    <w:p>
      <w:pPr>
        <w:spacing w:after="0" w:line="24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Of our seven commercial landfills used for disposal of hazardous waste, five are located in the United States and two are located in Canada. As of December 31, 2018, the useful economic lives of these landfills included approximately 25.6 million cubic yards of remaining capacity. This estimate of the useful economic lives of these landfills includes permitted airspace and unpermitted airspace that our management believes to be probable of being permitted based on our analysis of various factors. In addition to the capacity included in the useful economic lives of these landfills, there are approximately 31.9 million cubic yards of additional unpermitted airspace capacity included in the footprints of these landfills that may ultimately be permitted, although there can be no assurance that this additional capacity will be permitted. In addition to the hazardous waste landfills, we operate two non-hazardous industrial landfills with 3.8 million cubic yards of remaining permitted capacity. These two facilities are located in the United States and have been issued operating permits under Subtitle D of RCRA. Our non-hazardous landfill facilities are permitted to accept commercial industrial waste, including waste from foundries, demolition and construction, machine shops, automobile manufacturing, printing, metal fabrications and recycling.</w:t>
      </w:r>
    </w:p>
    <w:p>
      <w:pPr>
        <w:spacing w:after="0" w:line="22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Wastewater Treatment. </w:t>
      </w:r>
      <w:r>
        <w:rPr>
          <w:rFonts w:ascii="Arial" w:cs="Arial" w:eastAsia="Arial" w:hAnsi="Arial"/>
          <w:sz w:val="18"/>
          <w:szCs w:val="18"/>
          <w:color w:val="auto"/>
        </w:rPr>
        <w:t>We operate nine wastewater treatment facilities that offer a range of wastewater treatment technologies. These wastewater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operations involve processing hazardous and non-hazardous waste through use 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physical and chemical treatment methods. These facilities treat a broad range of industrial liquid and semi-liquid waste containing heavy metals, organics and suspended solids.</w:t>
      </w:r>
    </w:p>
    <w:p>
      <w:pPr>
        <w:spacing w:after="0" w:line="224" w:lineRule="exact"/>
        <w:rPr>
          <w:sz w:val="20"/>
          <w:szCs w:val="20"/>
          <w:color w:val="auto"/>
        </w:rPr>
      </w:pPr>
    </w:p>
    <w:p>
      <w:pPr>
        <w:jc w:val="both"/>
        <w:ind w:right="820" w:firstLine="392"/>
        <w:spacing w:after="0" w:line="264" w:lineRule="auto"/>
        <w:rPr>
          <w:sz w:val="20"/>
          <w:szCs w:val="20"/>
          <w:color w:val="auto"/>
        </w:rPr>
      </w:pPr>
      <w:r>
        <w:rPr>
          <w:rFonts w:ascii="Arial" w:cs="Arial" w:eastAsia="Arial" w:hAnsi="Arial"/>
          <w:sz w:val="18"/>
          <w:szCs w:val="18"/>
          <w:i w:val="1"/>
          <w:iCs w:val="1"/>
          <w:color w:val="auto"/>
        </w:rPr>
        <w:t xml:space="preserve">Total Project Management. </w:t>
      </w:r>
      <w:r>
        <w:rPr>
          <w:rFonts w:ascii="Arial" w:cs="Arial" w:eastAsia="Arial" w:hAnsi="Arial"/>
          <w:sz w:val="18"/>
          <w:szCs w:val="18"/>
          <w:color w:val="auto"/>
        </w:rPr>
        <w:t>We also provide total project management services in areas such as chemical packing, on-site waste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remediation, compliance training and emergency spill response, while leveraging the Clean Harbors network of service centers and environmental capabilities.</w:t>
      </w:r>
    </w:p>
    <w:p>
      <w:pPr>
        <w:spacing w:after="0" w:line="23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i w:val="1"/>
          <w:iCs w:val="1"/>
          <w:color w:val="auto"/>
        </w:rPr>
        <w:t xml:space="preserve">Industrial Services. </w:t>
      </w:r>
      <w:r>
        <w:rPr>
          <w:rFonts w:ascii="Arial" w:cs="Arial" w:eastAsia="Arial" w:hAnsi="Arial"/>
          <w:sz w:val="18"/>
          <w:szCs w:val="18"/>
          <w:color w:val="auto"/>
        </w:rPr>
        <w:t>We perform industrial maintenance services and specialty industrial services at refineries, mines, upgraders, chemical plants, pulp</w:t>
      </w:r>
      <w:r>
        <w:rPr>
          <w:rFonts w:ascii="Arial" w:cs="Arial" w:eastAsia="Arial" w:hAnsi="Arial"/>
          <w:sz w:val="18"/>
          <w:szCs w:val="18"/>
          <w:i w:val="1"/>
          <w:iCs w:val="1"/>
          <w:color w:val="auto"/>
        </w:rPr>
        <w:t xml:space="preserve"> </w:t>
      </w:r>
      <w:r>
        <w:rPr>
          <w:rFonts w:ascii="Arial" w:cs="Arial" w:eastAsia="Arial" w:hAnsi="Arial"/>
          <w:sz w:val="18"/>
          <w:szCs w:val="18"/>
          <w:color w:val="auto"/>
        </w:rPr>
        <w:t>and paper mills, manufacturing, and power generation facilities. We provide these services throughout North America.</w:t>
      </w:r>
    </w:p>
    <w:p>
      <w:pPr>
        <w:spacing w:after="0" w:line="8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crews handle as-needed in-plant services to support ongoing in-plant cleaning and maintenance services, including liquid/dry vacuum, hydro-blasting, dewatering and materials processing, water and chemical hauling and steam cleaning. We provide a variety of specialized industrial services including plant outage and turnaround services, decoking and pigging, chemical cleaning, high and ultra-high pressure water cleaning, pipeline inspection and coating services, and large tank and surface impoundment cleaning. We also provide daylighting services which, through the use of specialized hydro vac equipment, deliver safer, cleaner and more precise hydro excavation services to safely uncover highly sensitive underground targets. Our crews also handle oilfield transport and production services supporting drilling, completions and production programs.</w:t>
      </w:r>
    </w:p>
    <w:p>
      <w:pPr>
        <w:spacing w:after="0" w:line="97"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i w:val="1"/>
          <w:iCs w:val="1"/>
          <w:color w:val="auto"/>
        </w:rPr>
        <w:t xml:space="preserve">Field and Emergency Response Services. </w:t>
      </w:r>
      <w:r>
        <w:rPr>
          <w:rFonts w:ascii="Arial" w:cs="Arial" w:eastAsia="Arial" w:hAnsi="Arial"/>
          <w:sz w:val="16"/>
          <w:szCs w:val="16"/>
          <w:color w:val="auto"/>
        </w:rPr>
        <w:t>Our crews and equipment are dispatched on a planned or emergency basis and perform services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confined space entry for tank cleaning, site decontamination, large remediation projects, demolition, spill cleanup on land and water, railcar cleaning, product recovery and transfer, scarifying and media blasting and vacuum services. Additional services include filtration and water treatment services.</w:t>
      </w:r>
    </w:p>
    <w:p>
      <w:pPr>
        <w:spacing w:after="0" w:line="20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are also a leader in providing response services for environmental emergencies of any scale from man-made disasters such as oil spills and natural disasters such as hurricanes.</w:t>
      </w:r>
    </w:p>
    <w:p>
      <w:pPr>
        <w:spacing w:after="0" w:line="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i w:val="1"/>
          <w:iCs w:val="1"/>
          <w:color w:val="auto"/>
        </w:rPr>
        <w:t xml:space="preserve">Oil and Gas Field Services. </w:t>
      </w:r>
      <w:r>
        <w:rPr>
          <w:rFonts w:ascii="Arial" w:cs="Arial" w:eastAsia="Arial" w:hAnsi="Arial"/>
          <w:sz w:val="17"/>
          <w:szCs w:val="17"/>
          <w:color w:val="auto"/>
        </w:rPr>
        <w:t>We provide integrated seismic and right-of-way services for efficient resource discovery and site preparation. These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include: (i) seismic surveying that minimizes costs, environmental impact, and time in field; (ii) mulching/line clearing that expedites additional geophysical activities and minimizes environmental impact; and (iii) shot-hole drilling that provides safe and efficient operations in every terrain, including hostile and inaccessible regions. We also provide surface rentals services by supporting oil and gas companies' drilling and well completion programs. Key to our services is our ability to provide solids control to support the drilling process. Our technologies help manage liquids, solids and semi-solid material during the drilling operation, and include centrifuges, tanks, and drilling fluid recovery. We also can provide container rentals for safe collection of drill cuttings and other wastes, as well as manage disposal of drilling fluids and solids and can supply surface rental equipment to support drill sites by providing wellsite trailers, wastewater treatment systems and holding tanks, light towers, generators and handling tools.</w:t>
      </w:r>
    </w:p>
    <w:p>
      <w:pPr>
        <w:spacing w:after="0" w:line="9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Lodging Services. </w:t>
      </w:r>
      <w:r>
        <w:rPr>
          <w:rFonts w:ascii="Arial" w:cs="Arial" w:eastAsia="Arial" w:hAnsi="Arial"/>
          <w:sz w:val="17"/>
          <w:szCs w:val="17"/>
          <w:color w:val="auto"/>
        </w:rPr>
        <w:t>Our fixed lodges provide turnkey remote accommodations throughout Western Canada, primarily in the Fort McMurray area, and</w:t>
      </w:r>
      <w:r>
        <w:rPr>
          <w:rFonts w:ascii="Arial" w:cs="Arial" w:eastAsia="Arial" w:hAnsi="Arial"/>
          <w:sz w:val="17"/>
          <w:szCs w:val="17"/>
          <w:i w:val="1"/>
          <w:iCs w:val="1"/>
          <w:color w:val="auto"/>
        </w:rPr>
        <w:t xml:space="preserve"> </w:t>
      </w:r>
      <w:r>
        <w:rPr>
          <w:rFonts w:ascii="Arial" w:cs="Arial" w:eastAsia="Arial" w:hAnsi="Arial"/>
          <w:sz w:val="17"/>
          <w:szCs w:val="17"/>
          <w:color w:val="auto"/>
        </w:rPr>
        <w:t>range in size up to approximately 600 beds. These are open lodges, with amenities that include catering and housekeeping services, fully equipped common areas, fitness rooms and computer rooms, wireless internet and public phones, powered parking stalls, laundry facilities, and daily towel service. We also offer mobile camp operations, which provide services for remote workforce accommodation facilities throughout Western Canada, currently in British Columbia, Saskatchewan and Alberta, with multiple accommodation types. These include client and open camps, operator camps, and drill camps. Furthermore, hospitality services are available as a standalone service to clients which have other accommodation arrangements.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Safety-Kleen</w:t>
      </w:r>
    </w:p>
    <w:p>
      <w:pPr>
        <w:spacing w:after="0" w:line="144"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Our Safety-Kleen business offers an array of environmental services and complementary products to a diverse range of customers including automobile repair shops, car and truck dealers, metal fabricators, machine manufacturers, fleet maintenance shops and other automotive, industrial and retail customers.</w:t>
      </w:r>
    </w:p>
    <w:p>
      <w:pPr>
        <w:spacing w:after="0" w:line="43" w:lineRule="exact"/>
        <w:rPr>
          <w:sz w:val="20"/>
          <w:szCs w:val="20"/>
          <w:color w:val="auto"/>
        </w:rPr>
      </w:pPr>
    </w:p>
    <w:p>
      <w:pPr>
        <w:jc w:val="both"/>
        <w:ind w:right="20" w:firstLine="392"/>
        <w:spacing w:after="0" w:line="259" w:lineRule="auto"/>
        <w:rPr>
          <w:sz w:val="20"/>
          <w:szCs w:val="20"/>
          <w:color w:val="auto"/>
        </w:rPr>
      </w:pPr>
      <w:r>
        <w:rPr>
          <w:rFonts w:ascii="Arial" w:cs="Arial" w:eastAsia="Arial" w:hAnsi="Arial"/>
          <w:sz w:val="18"/>
          <w:szCs w:val="18"/>
          <w:color w:val="auto"/>
        </w:rPr>
        <w:t>As the largest provider of parts cleaning services in North America, Safety-Kleen offers a complete line of specially designed parts washers to customer locations and then delivers recurring service that includes machine cleaning and maintenance and disposal and replacement of clean solvent or aqueous fluids. We also sell automotive and industrial cleaning products which include degreasers, glass and floor cleaners, hand cleaners, absorbents, antifreeze, windshield washer fluid, mats and spill kits.</w:t>
      </w:r>
    </w:p>
    <w:p>
      <w:pPr>
        <w:spacing w:after="0" w:line="106"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Utilizing our collection network, we provide pickup and transportation of hazardous and non-hazardous containerized waste for recycling or disposal, primarily through the Clean Harbors network of recycling and waste treatment and disposal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facilities. We also collect used oil which serves as feedstock for our oil re-refineries discussed below, or process the oil into recycled fuel oil, or “RFO,” which is then sold to customers such as asphalt plants, industrial plants, pulp and paper companies, and vacuum gas oil and marine diesel oil producers.</w:t>
      </w:r>
    </w:p>
    <w:p>
      <w:pPr>
        <w:spacing w:after="0" w:line="43"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Our vacuum services remove solids, residual oily water and 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10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Utilizing used oil collected by Safety-Kleen branches, we manufacture, formulate, package, distribute and market high-quality lubricants. We offer these products and services direct to business end-users and customers that can in turn market to retailers and end-consumers. The used oil collected by Safety-Kleen's branch network is processed or re-refined to convert into a variety of products, mostly base lubricating oils, and much smaller quantities of asphalt-like material, glycols and fuels. As the largest re-refiner of used oil in North America, we can process the used oil collected through our six re-refineries located in East Chicago, Indiana; Newark, California; Wichita, Kansas; Tacoma, Washington; Fallon, Nevada; and Breslau, Ontario.</w:t>
      </w:r>
    </w:p>
    <w:p>
      <w:pPr>
        <w:spacing w:after="0" w:line="105" w:lineRule="exact"/>
        <w:rPr>
          <w:sz w:val="20"/>
          <w:szCs w:val="20"/>
          <w:color w:val="auto"/>
        </w:rPr>
      </w:pPr>
    </w:p>
    <w:p>
      <w:pPr>
        <w:ind w:right="80" w:firstLine="405"/>
        <w:spacing w:after="0" w:line="252" w:lineRule="auto"/>
        <w:rPr>
          <w:sz w:val="20"/>
          <w:szCs w:val="20"/>
          <w:color w:val="auto"/>
        </w:rPr>
      </w:pPr>
      <w:r>
        <w:rPr>
          <w:rFonts w:ascii="Arial" w:cs="Arial" w:eastAsia="Arial" w:hAnsi="Arial"/>
          <w:sz w:val="17"/>
          <w:szCs w:val="17"/>
          <w:color w:val="auto"/>
        </w:rPr>
        <w:t>Our primary goal is to produce and sell high-quality blended oils, which are created by combining our re-refined base and other base oils with performance additives in accordance with our proprietary formulations and American Petroleum Institute licenses. Our Performance 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“green” proprietary brand EcoPower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are sold to on- and off-road corporate fleets, government entities, automotive service shops and industrial plants, which are serviced through our internal distribution network, as well as an extensive United States and Canada-wide independent distributor network. We also sell unbranded blended oils to distributors that resell them under their private label brands. Our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program consists of selling our renewable oil products directly to our end customers. We sell the base oil that we do not blend and sell ourselves to independent blenders/packagers that use it to blend their own branded or private label oils. With more than 200 million gallons of used oil processed annually, we were able to return in 2018 approximately 192 million gallons of new re-refined oil, lubricants and byproducts back into the marketplace. We believe our position as the largest collector and re-refiner of used motor oil, along with our vast service and distributions network, provide a distinct competitive advantage in our ability to provide our customers with collection and oil distribution services through our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hazardous waste management industry is highly competitive. The sources of competition vary by locality and by type of service rendered, with competition coming from national and regional waste services companies and hundreds of privately-owned firms. Veolia North America, Waste Management, Inc., U.S. Ecology, and Stericycle, Inc. are the principal national firms with which we compete. Each of these competitors is able to provide one or more of the environmental services we offer.</w:t>
      </w:r>
    </w:p>
    <w:p>
      <w:pPr>
        <w:spacing w:after="0" w:line="24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Under federal and state environmental laws in the United States, generators of hazardous wastes remain liable for improper disposal of such wastes. Although generators may hire various companies that have the proper permits and licenses, because of the generators' potential liability, they are very interested in the reputation and financial strength of the companies they use for the management of their hazardous wastes. We believe that our technical proficiency, safety record, customer service oriented culture and overall reputation are important considerations to our customers in selecting and continuing to utilize our services. We also believe that the depth of our recycling, treatment and disposal capabilities, our ability to collect and transport waste products efficiently, and pricing are additional significant factors in the market for treatment and disposal services.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Competition within our Environmental Services segment varies by locality and type of service rendered.</w:t>
      </w:r>
    </w:p>
    <w:p>
      <w:pPr>
        <w:spacing w:after="0" w:line="306" w:lineRule="exact"/>
        <w:rPr>
          <w:sz w:val="20"/>
          <w:szCs w:val="20"/>
          <w:color w:val="auto"/>
        </w:rPr>
      </w:pPr>
    </w:p>
    <w:p>
      <w:pPr>
        <w:ind w:left="660" w:right="120" w:hanging="4"/>
        <w:spacing w:after="0" w:line="364" w:lineRule="auto"/>
        <w:tabs>
          <w:tab w:leader="none" w:pos="1047"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our landfill and waste services, competitors include several major national and regional environmental services firms, as well as numerous smaller local firms. We believe the availability of skilled technical professional personnel, quality of performance, diversity of services, safety record, quality of assets and use of current and latest technologies, as well as price, are the key competitive factors in this service industry.</w:t>
      </w:r>
    </w:p>
    <w:p>
      <w:pPr>
        <w:spacing w:after="0" w:line="202" w:lineRule="exact"/>
        <w:rPr>
          <w:rFonts w:ascii="Arial" w:cs="Arial" w:eastAsia="Arial" w:hAnsi="Arial"/>
          <w:sz w:val="16"/>
          <w:szCs w:val="16"/>
          <w:color w:val="auto"/>
        </w:rPr>
      </w:pPr>
    </w:p>
    <w:p>
      <w:pPr>
        <w:ind w:left="660" w:right="40" w:hanging="4"/>
        <w:spacing w:after="0" w:line="302" w:lineRule="auto"/>
        <w:tabs>
          <w:tab w:leader="none" w:pos="1047"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industrial, field and emergency responses services, competitors vary by locality and by type of service rendered, with competition coming from national and regional service providers and hundreds of privately-owned firms that offer energy or industrial services. CEDA International Corporation and Newalta in Canada, and Envirosystems and Hydrochem PSC in the United States, are the principal national firms with which we compete. Each of these competitors is able to provide one or more of the industrial and field services we offer. We believe the availability of specialized equipment and latest technologies, skilled technical professional personnel, quality of performance, diversity of services, safety record and price are the key competitive factors in this industry.</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160" w:hanging="4"/>
        <w:spacing w:after="0" w:line="311" w:lineRule="auto"/>
        <w:tabs>
          <w:tab w:leader="none" w:pos="1047"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our energy related services, competitors vary by locality and type of services provided, with competition coming from national, regional and local service providers. Competition is based on a number of factors, including safety, quality, performance, reliability, service, price, response time and, in some cases, breadth of service offering.</w:t>
      </w:r>
    </w:p>
    <w:p>
      <w:pPr>
        <w:spacing w:after="0" w:line="73"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For our Safety-Kleen segment, competitors vary by locality and by type of service rendered, with competition coming from Heritage-Crystal Clean and Veolia North America, along with several regional and local firms. With our Safety-Kleen Oil 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loop offering, we are competing in certain markets with other North American lubricant distributors.</w:t>
      </w:r>
    </w:p>
    <w:p>
      <w:pPr>
        <w:spacing w:after="0" w:line="12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principal methods of competition for all of our services are quality, price, reliability of service rendered and technical proficiency. We believe that we offer a more comprehensive range of environmental, energy and industrial services than our competitors in major portions of the United States and Canada.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As of December 31, 2018, we employed approximately 14,200 active full-time employees, of which 898 in the United States and 547 in Canada were represented by labor unions. We believe that our relationship with our employees is positive. As part of our commitment to employee safety and quality customer service, we have an extensive compliance program and trained environmental, health and safety staff. We adhere to a risk management program designed to reduce potential liabilities to us and to our customers. We also continually strive to invest in our employees through training programs as well as competitive compensation and benefit programs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have invested significantly in the development of proprietary technology and also to establish and maintain an extensive knowledge of leading technologies and incorporate these technologies into the services we offer and provide to our customers. As of December 31, 2018, we held a total of 32 U.S. and nine foreign issued or granted patents (which will expire between 2019 and 2031), two U.S. and five foreign pending patent applications, 96 U.S. and 63 foreign trademark registrations, and one U.S. and six foreign trademark applications. We also license software and other intellectual property from various third parties. We enter into confidentiality agreements with certain of our employees, consultants and corporate partners, and control access to software documentation and other proprietary information. We believe that we hold adequate rights to all intellectual property used in our business and that we do not infringe upon any intellectual property rights held by other 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Risks</w:t>
      </w:r>
    </w:p>
    <w:p>
      <w:pPr>
        <w:spacing w:after="0" w:line="2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auditing and policy decisions restricting the types of wastes handled. We evaluate all revenue opportunities and decline those that we believe involve unacceptable risks.</w:t>
      </w:r>
    </w:p>
    <w:p>
      <w:pPr>
        <w:spacing w:after="0" w:line="24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dispose of wastes at our incinerator, wastewater treatment and landfill facilities, or at facilities owned and operated by other firms that we have audited and approved. We apply established technologies to treatment, storage and recovery of hazardous wastes. We believe our operations are conducted in a safe and prudent manner and in substantial compliance with applicable laws and regulations.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Financial Assurance</w:t>
      </w:r>
    </w:p>
    <w:p>
      <w:pPr>
        <w:spacing w:after="0" w:line="28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insurance programs cover the potential risks associated with our multifaceted operations from two primary exposures: direct physical damage and third-party liability. We maintain a casualty insurance program providing coverage for vehicles, employer's liability and commercial general liability in the aggregate amount of $105.0 million, $102.0 million and $102.0 million, respectively, per year, subject to retentions of $2.0 million per occurrence for auto and commercial general liability and $1.0 million for employers' liability in the United States and $2.0 million in Canada. We also have workers' compensation insurance whose limits are established by state statutes.</w:t>
      </w:r>
    </w:p>
    <w:p>
      <w:pPr>
        <w:spacing w:after="0" w:line="24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$20.0 million per occurrence and $25.0 million in the aggregate, covering offsite remedial activities and associated liabilities.</w:t>
      </w:r>
    </w:p>
    <w:p>
      <w:pPr>
        <w:spacing w:after="0" w:line="235"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For sudden and accidental in-transit pollution liability, our auto liability policy provides the primary $5.0 million per occurrence of transportation pollution insurance. Our pollution liability policies provide an additional $60.0 million per occurrence and $85.0 million in the aggregate for a total of $65.0 million per occurrence and $90.0 million, respectively. A $2.0 million deductible per occurrence applies to this coverage in the United States and Canada.</w:t>
      </w:r>
    </w:p>
    <w:p>
      <w:pPr>
        <w:sectPr>
          <w:pgSz w:w="11900" w:h="16838" w:orient="portrait"/>
          <w:cols w:equalWidth="0" w:num="1">
            <w:col w:w="11400"/>
          </w:cols>
          <w:pgMar w:left="240" w:top="118" w:right="259" w:bottom="1440"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18" w:right="25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20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224" w:lineRule="exact"/>
        <w:rPr>
          <w:sz w:val="20"/>
          <w:szCs w:val="20"/>
          <w:color w:val="auto"/>
        </w:rPr>
      </w:pPr>
    </w:p>
    <w:p>
      <w:pPr>
        <w:jc w:val="both"/>
        <w:ind w:right="220" w:firstLine="432"/>
        <w:spacing w:after="0" w:line="302" w:lineRule="auto"/>
        <w:rPr>
          <w:sz w:val="20"/>
          <w:szCs w:val="20"/>
          <w:color w:val="auto"/>
        </w:rPr>
      </w:pPr>
      <w:r>
        <w:rPr>
          <w:rFonts w:ascii="Arial" w:cs="Arial" w:eastAsia="Arial" w:hAnsi="Arial"/>
          <w:sz w:val="16"/>
          <w:szCs w:val="16"/>
          <w:color w:val="auto"/>
        </w:rPr>
        <w:t>Under our insurance programs, coverage is obtained for catastrophic exposures, cyber security as well as those risks required to be insured by law or contract. It is our policy to retain a significant portion of certain expected losses related primarily to employee benefit, workers' compensation, commercial general and vehicle liability. Provisions for losses expected under these programs are recorded based upon our estimates of the actuarial calculation of the aggregate liability for claims. We believe that policy cancellation terms are similar to those of companies in other industries.</w:t>
      </w:r>
    </w:p>
    <w:p>
      <w:pPr>
        <w:spacing w:after="0" w:line="20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Operators of hazardous waste handling facilities are also required by federal, state and provincial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As of December 31, 2018, our total estimated closure and post-closure costs requiring financial assurance by regulators were $464.2 million for our U.S. facilities and $42.1 million for our Canadian facilities. We have obtained all of the required financial assurance for our facilities through a combination of surety bonds, funded trusts, letters of credit and insurance from a qualified insurance company. The financial assurance related to closure and post-closure obligations of our U.S. facilities will renew in 2019. Our Canadian facilities utilize surety bonds, which renew at various dates throughout 2019, as well as letters of credit.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4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While our business has benefited substantially from increased governmental regulation of hazardous waste transportation, storage and disposal, the environmental services industry itself is the subject of extensive and evolving regulation by federal, state, provincial and local authorities. We are required to obtain federal, state, provincial and local permits or approvals for each of our hazardous waste facilities. Such permits are difficult to obtain and, in many instances, extensive studies, tests, and public hearings are required before the approvals can be issued. We have acquired all operating permits and approvals now required for the current operation of our business, and have applied for, or are in the process of applying for, all permits and approvals needed in connection with continued operation and planned expansion or modifications of our operations.</w:t>
      </w:r>
    </w:p>
    <w:p>
      <w:pPr>
        <w:spacing w:after="0" w:line="233"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We make a continuing effort to anticipate regulatory, political and legal developments that might affect operations, but are not always able to do so. We cannot predict the extent to which any environmental legislation or regulation that may be enacted or enforced in the future may affect our operations.</w:t>
      </w:r>
    </w:p>
    <w:p>
      <w:pPr>
        <w:spacing w:after="0" w:line="4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A new regulation primarily impacting the shipping business but which we are monitoring closely as it could impact our business is known as </w:t>
      </w:r>
      <w:r>
        <w:rPr>
          <w:rFonts w:ascii="Arial" w:cs="Arial" w:eastAsia="Arial" w:hAnsi="Arial"/>
          <w:sz w:val="16"/>
          <w:szCs w:val="16"/>
          <w:i w:val="1"/>
          <w:iCs w:val="1"/>
          <w:color w:val="auto"/>
        </w:rPr>
        <w:t>“</w:t>
      </w:r>
      <w:r>
        <w:rPr>
          <w:rFonts w:ascii="Arial" w:cs="Arial" w:eastAsia="Arial" w:hAnsi="Arial"/>
          <w:sz w:val="16"/>
          <w:szCs w:val="16"/>
          <w:color w:val="auto"/>
        </w:rPr>
        <w:t>IMO 2020”. On January 1, 2020, the International Maritime Organization (the "IMO") will implement a new regulation for a 0.50% global sulphur cap for marine fuels. Under the new global cap, ships that traverse the oceans will be required to use marine fuels with a sulphur content of no more than 0.50%, versus the current limit of 3.50%, in an effort to reduce the amount of sulphur oxide and decrease pollution and greenhouse gas emissions from the global shipping fleet, which now uses an estimated 3.5 - 4 million barrels per day of fuel oil. The shipping industry is the last major transportation sector to utilize fuel with high levels of sulfur, which is the reason the IMO is pushing the industry to more closely align with other transport sectors for pollution reduction.</w:t>
      </w:r>
    </w:p>
    <w:p>
      <w:pPr>
        <w:spacing w:after="0" w:line="16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There are several variables around this regulatory change that are not yet clear, including anticipated levels of compliance and enforcement. However, it is expected that the implementation of IMO 2020 will result in a significant increase in near-term demand for a broad range of low sulfur distillates including diesel, marine gas oil, marine diesel oil and vacuum gas oil ("VGO") among others. There is uncertainty about the global refinery industry’s ability to meet that spike in demand, which could have substantial consequences for the pricing of those products, particularly VGO. The price of VGO typically has a direct impact on the pricing and/or levels of production of base oil. Changes in the marine fuel market as a result of IMO 2020 is also expected to affect the availability of used motor oil, which today is frequently used in the marine market and some of which may be displaced as a result of this new rule.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18" w:right="2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Hazardous Waste Regulation</w:t>
      </w:r>
    </w:p>
    <w:p>
      <w:pPr>
        <w:spacing w:after="0" w:line="283"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The most significant federal environmental laws affecting us are the RCRA, the Comprehensive Environmental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Liability Act, or "CERCLA," also known as the "Superfund Act," the Clean Air Act, the Clean Water Act, and the Toxic Substances Control Act, or "TSCA."</w:t>
      </w:r>
    </w:p>
    <w:p>
      <w:pPr>
        <w:spacing w:after="0" w:line="235"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i w:val="1"/>
          <w:iCs w:val="1"/>
          <w:color w:val="auto"/>
        </w:rPr>
        <w:t xml:space="preserve">RCRA. </w:t>
      </w:r>
      <w:r>
        <w:rPr>
          <w:rFonts w:ascii="Arial" w:cs="Arial" w:eastAsia="Arial" w:hAnsi="Arial"/>
          <w:sz w:val="17"/>
          <w:szCs w:val="17"/>
          <w:color w:val="auto"/>
        </w:rPr>
        <w:t>RCRA is the principal federal statute governing hazardous waste generation, treatment, transportation, storage and disposal.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Every facility that treats, stores or disposes of hazardous waste must obtain a RCRA permit from the EPA or an authorized state agency unless a specific exemption exists, and must comply with certain operating requirements (the Part B permitting process). RCRA also requires that Part B permits contain provisions for required on-site study and cleanup activities, known as "corrective action," including detailed compliance schedules and provisions for assurance of financial responsibility. See Note 10, "Closure and Post-Closure Liabilities," and Note 11,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12"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i w:val="1"/>
          <w:iCs w:val="1"/>
          <w:color w:val="auto"/>
        </w:rPr>
        <w:t xml:space="preserve">The Superfund Act. </w:t>
      </w:r>
      <w:r>
        <w:rPr>
          <w:rFonts w:ascii="Arial" w:cs="Arial" w:eastAsia="Arial" w:hAnsi="Arial"/>
          <w:sz w:val="18"/>
          <w:szCs w:val="18"/>
          <w:color w:val="auto"/>
        </w:rPr>
        <w:t>The Superfund Act is the primary federal statute regulating the cleanup of inactive hazardous substance sites and imposing</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cleanup on the responsible parties. It also provides for immediate response and removal actions coordinated by the EPA to releases of hazardous substances into the environment, and authorizes the government to respond to the release or threatened release of hazardous substances or to order responsible persons to perform any necessary cleanup. The statute provides for strict and, in certain cases, joint and several liability for these responses and other related costs, and for liability for the cost of damages to natural resources, to the parties involved in the generation, transportation and disposal of hazardous substances. Under the statute, we may be deemed liable as a generator or transporter of a hazardous substance which is released into the environment, or as the owner or operator of a facility from which there is a release of a hazardous substance into the environment. See Note 18, "Commitments and Contingencies," to our consolidated financial statements included in Item 8 of this report for a description of the principal such proceedings in which we are now involved.</w:t>
      </w:r>
    </w:p>
    <w:p>
      <w:pPr>
        <w:spacing w:after="0" w:line="25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 xml:space="preserve">The Clean Air Act. </w:t>
      </w:r>
      <w:r>
        <w:rPr>
          <w:rFonts w:ascii="Arial" w:cs="Arial" w:eastAsia="Arial" w:hAnsi="Arial"/>
          <w:sz w:val="18"/>
          <w:szCs w:val="18"/>
          <w:color w:val="auto"/>
        </w:rPr>
        <w:t>The Clean Air Act was passed by Congress to control the emissions of pollutants into the air and requires permits to be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sources of toxic air pollutants such as vinyl chloride, or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189 hazardous air pollutants; (ii) create uniform operating permits for major industrial facilities similar to RCRA operating permits; (iii) mandate the phase-out of ozone depleting chemicals; and (iv) provide for enhanced enforcement.</w:t>
      </w:r>
    </w:p>
    <w:p>
      <w:pPr>
        <w:spacing w:after="0" w:line="24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The Clean Water Act. </w:t>
      </w:r>
      <w:r>
        <w:rPr>
          <w:rFonts w:ascii="Arial" w:cs="Arial" w:eastAsia="Arial" w:hAnsi="Arial"/>
          <w:sz w:val="18"/>
          <w:szCs w:val="18"/>
          <w:color w:val="auto"/>
        </w:rPr>
        <w:t>This legislation prohibits discharge of pollutants into the waters of the United States without governmental authorization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governmental authorities. We are required to obtain discharge permits and conduct sampling and monitoring programs.</w:t>
      </w:r>
    </w:p>
    <w:p>
      <w:pPr>
        <w:spacing w:after="0" w:line="24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 xml:space="preserve">TSCA. </w:t>
      </w:r>
      <w:r>
        <w:rPr>
          <w:rFonts w:ascii="Arial" w:cs="Arial" w:eastAsia="Arial" w:hAnsi="Arial"/>
          <w:sz w:val="17"/>
          <w:szCs w:val="17"/>
          <w:color w:val="auto"/>
        </w:rPr>
        <w:t>We also operate a network of collection, treatment and field services (remediation) activities throughout North America that are regulated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provisions of TSCA. TSCA established a national program for the management of substances classified as polychlorinated biphenyls, or "PCBs," which include waste PCBs as well as RCRA wastes contaminated with PCBs. The rules set minimum design and operating requirements for storage, treatment and disposal of PCB wastes.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23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i w:val="1"/>
          <w:iCs w:val="1"/>
          <w:color w:val="auto"/>
        </w:rPr>
        <w:t xml:space="preserve">Other Federal Laws. </w:t>
      </w:r>
      <w:r>
        <w:rPr>
          <w:rFonts w:ascii="Arial" w:cs="Arial" w:eastAsia="Arial" w:hAnsi="Arial"/>
          <w:sz w:val="18"/>
          <w:szCs w:val="18"/>
          <w:color w:val="auto"/>
        </w:rPr>
        <w:t>In addition to regulations specifically directed at our transportation, storage, and disposal facilities, there are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that may "pass-through" to the facilities based on the acceptance of regulated waste from affected client facilities. Each facility that accepts affected waste must comply with the regulations for that waste, facility or industry. Examples of this type of regulation are National Emission Standards for Benzene Waste Operations and National</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Emissions Standards for Pharmaceuticals Production. Each of our facilities addresses these regulations on a case-by-case basis determined by its ability to comply with the pass-through regulations.</w:t>
      </w:r>
    </w:p>
    <w:p>
      <w:pPr>
        <w:spacing w:after="0" w:line="224"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Health and safety standards under the Occupational Safety and Health Act, or "OSHA," are also applicable to all of our operations.</w:t>
      </w:r>
    </w:p>
    <w:p>
      <w:pPr>
        <w:spacing w:after="0" w:line="27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State and Local Regulations. </w:t>
      </w:r>
      <w:r>
        <w:rPr>
          <w:rFonts w:ascii="Arial" w:cs="Arial" w:eastAsia="Arial" w:hAnsi="Arial"/>
          <w:sz w:val="18"/>
          <w:szCs w:val="18"/>
          <w:color w:val="auto"/>
        </w:rPr>
        <w:t>Pursuant to the EPA's authorization of their RCRA equivalent programs, a number of U.S. states have regulatory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2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Some states classify as hazardous some wastes that are not regulated under RCRA. For example, Massachusetts considers used oil as "hazardous waste" while RCRA does not. Accordingly, we must comply with state requirements for handling state regulated wastes, and, when necessary, obtain state licenses for treating, storing, and disposing of such wastes at our facilities.</w:t>
      </w:r>
    </w:p>
    <w:p>
      <w:pPr>
        <w:spacing w:after="0" w:line="10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facilities are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 However, there can be no assurance that regulations governing future licensing will remain static, or that we will be able to comply with such requirements.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Hazardous Waste Regulation</w:t>
      </w:r>
    </w:p>
    <w:p>
      <w:pPr>
        <w:spacing w:after="0" w:line="283"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In Canada, the provinces retain control over environmental issues within their boundaries and thus have the primary responsibility for regulating management of hazardous wastes. The federal government regulates issues of national scope or where activities cross provincial boundaries.</w:t>
      </w:r>
    </w:p>
    <w:p>
      <w:pPr>
        <w:spacing w:after="0" w:line="17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 xml:space="preserve">Provincial Regulations. </w:t>
      </w:r>
      <w:r>
        <w:rPr>
          <w:rFonts w:ascii="Arial" w:cs="Arial" w:eastAsia="Arial" w:hAnsi="Arial"/>
          <w:sz w:val="18"/>
          <w:szCs w:val="18"/>
          <w:color w:val="auto"/>
        </w:rPr>
        <w:t>Most of Canada's industrial development and the major part of its population are located in four provinces: Ontario, Quebec,</w:t>
      </w:r>
      <w:r>
        <w:rPr>
          <w:rFonts w:ascii="Arial" w:cs="Arial" w:eastAsia="Arial" w:hAnsi="Arial"/>
          <w:sz w:val="18"/>
          <w:szCs w:val="18"/>
          <w:i w:val="1"/>
          <w:iCs w:val="1"/>
          <w:color w:val="auto"/>
        </w:rPr>
        <w:t xml:space="preserve"> </w:t>
      </w:r>
      <w:r>
        <w:rPr>
          <w:rFonts w:ascii="Arial" w:cs="Arial" w:eastAsia="Arial" w:hAnsi="Arial"/>
          <w:sz w:val="18"/>
          <w:szCs w:val="18"/>
          <w:color w:val="auto"/>
        </w:rPr>
        <w:t>Alberta and British Columbia. These provinces have the most detailed environmental regulations. We operate major waste management facilities in each of these provinces, as well as waste transfer facilities in Nova Scotia and Manitoba.</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main provincial acts dealing with hazardous waste management are:</w:t>
      </w:r>
    </w:p>
    <w:p>
      <w:pPr>
        <w:spacing w:after="0" w:line="1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Ontario—Environmental Protection 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Quebec—Environmental Quality 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Alberta—Environmental Protection and Enhancement 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British Columbia—Waste Management Act.</w:t>
      </w:r>
    </w:p>
    <w:p>
      <w:pPr>
        <w:spacing w:after="0" w:line="17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These pieces of legislation were developed by the provinces independently and, among other things, generally control the generation, characterization, transport, treatment and disposal of hazardous wastes. Regulations developed by the provinces under the relevant legislation are also developed independently, but are often quite similar in effect and sometimes in application. For example, there is some uniformity in manifest design and utilization.</w:t>
      </w:r>
    </w:p>
    <w:p>
      <w:pPr>
        <w:spacing w:after="0" w:line="201"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178" w:lineRule="exact"/>
        <w:rPr>
          <w:sz w:val="20"/>
          <w:szCs w:val="20"/>
          <w:color w:val="auto"/>
        </w:rPr>
      </w:pPr>
    </w:p>
    <w:p>
      <w:pPr>
        <w:ind w:right="600" w:firstLine="432"/>
        <w:spacing w:after="0" w:line="308" w:lineRule="auto"/>
        <w:rPr>
          <w:sz w:val="20"/>
          <w:szCs w:val="20"/>
          <w:color w:val="auto"/>
        </w:rPr>
      </w:pPr>
      <w:r>
        <w:rPr>
          <w:rFonts w:ascii="Arial" w:cs="Arial" w:eastAsia="Arial" w:hAnsi="Arial"/>
          <w:sz w:val="17"/>
          <w:szCs w:val="17"/>
          <w:color w:val="auto"/>
        </w:rPr>
        <w:t>Waste transporters require a permit to operate under provincial waste management regulations and are subject to the requirements of the Federal Transportation of Dangerous Goods legislation. They are required to report the quantities and disposition of materials shipped.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440"/>
        <w:spacing w:after="0"/>
        <w:tabs>
          <w:tab w:leader="none" w:pos="2880" w:val="left"/>
        </w:tabs>
        <w:rPr>
          <w:sz w:val="20"/>
          <w:szCs w:val="20"/>
          <w:color w:val="auto"/>
        </w:rPr>
      </w:pPr>
      <w:r>
        <w:rPr>
          <w:rFonts w:ascii="Arial" w:cs="Arial" w:eastAsia="Arial" w:hAnsi="Arial"/>
          <w:sz w:val="18"/>
          <w:szCs w:val="18"/>
          <w:i w:val="1"/>
          <w:iCs w:val="1"/>
          <w:color w:val="auto"/>
        </w:rPr>
        <w:t>Canadian Federal Regulations.</w:t>
      </w:r>
      <w:r>
        <w:rPr>
          <w:sz w:val="20"/>
          <w:szCs w:val="20"/>
          <w:color w:val="auto"/>
        </w:rPr>
        <w:tab/>
      </w:r>
      <w:r>
        <w:rPr>
          <w:rFonts w:ascii="Arial" w:cs="Arial" w:eastAsia="Arial" w:hAnsi="Arial"/>
          <w:sz w:val="16"/>
          <w:szCs w:val="16"/>
          <w:color w:val="auto"/>
        </w:rPr>
        <w:t>The Canadian federal government has authority for those matters which are national in scope and in impact and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Canada's relations with other nations. The main federal laws governing hazardous waste management are:</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Canadian Environmental Protection Act (1999) ("CEPA 99"),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Transportation of Dangerous Goods Act.</w:t>
      </w:r>
    </w:p>
    <w:p>
      <w:pPr>
        <w:spacing w:after="0" w:line="171"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Environment Canada is the federal agency with responsibility for environmental matters and the main legislative instrument is the Canadian Environmental Protection Act. This act charges Environment Canada and Health Canada with protection of human health and the environment and seeks to control the production, importation and use of substances in Canada and to control their impact on the environment.</w:t>
      </w:r>
    </w:p>
    <w:p>
      <w:pPr>
        <w:spacing w:after="0" w:line="220"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The Export and Import of Hazardous Wastes Regulations under CEPA 99 control the export and import of hazardous wastes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wastes or hazardous recyclable materials or to transport them through Canada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("CCME"). The CCME comprises the 14 environment ministers from the federal, provincial and territorial governments, who normally meet twice a year to discuss national environmental priorities and to determine work to be carried out under the auspices of the CCME.</w:t>
      </w:r>
    </w:p>
    <w:p>
      <w:pPr>
        <w:spacing w:after="0" w:line="221"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i w:val="1"/>
          <w:iCs w:val="1"/>
          <w:color w:val="auto"/>
        </w:rPr>
        <w:t xml:space="preserve">Canadian Local and Municipal Regulations. </w:t>
      </w:r>
      <w:r>
        <w:rPr>
          <w:rFonts w:ascii="Arial" w:cs="Arial" w:eastAsia="Arial" w:hAnsi="Arial"/>
          <w:sz w:val="18"/>
          <w:szCs w:val="18"/>
          <w:color w:val="auto"/>
        </w:rPr>
        <w:t>Local and municipal regulations seldom reference direct control of hazardous waste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Regulations</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incur costs and make capital investments in order to comply with the previously discussed environmental regulations. These regulations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241"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As further discussed in Note 10, "Closure and Post-Closure Liabilities," and Note 11, "Remedial Liabilities," to our consolidated financial statements included in Item 8 of this report, we have accrued environmental liabilities as of December 31, 2018, of $190.9 million. For the years ended December 31, 2018 and 2017, we spent $10.1 million and $13.0 million, respectively, to address environmental liabilities.</w:t>
      </w:r>
    </w:p>
    <w:p>
      <w:pPr>
        <w:spacing w:after="0" w:line="220"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a qualified insurance company.</w:t>
      </w:r>
    </w:p>
    <w:p>
      <w:pPr>
        <w:spacing w:after="0" w:line="23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described in Note 18, "Commitments and Contingencies," to our consolidated financial statements included in Item 8 of this report, we are involved in legal proceedings arising under environmental laws and regulations. Alleged failure to comply with laws and regulations may lead to the imposition of fines or the denial, revocation or delay of the renewal of permits and licenses by governmental entities. In addition, such governmental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An investment in our securities involves certain risks, including those described below. You should consider carefully these risk factors together with all of the information included in this report before investing in our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All of Our Businesses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operational and safety risks.</w:t>
      </w:r>
    </w:p>
    <w:p>
      <w:pPr>
        <w:spacing w:after="0" w:line="14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Provision of environmental, energy and industrial services to our customers by both of our business segments involves risks such as equipment defects, malfunctions and failures, and natural disasters, which could potentially result in releases of hazardous materials, damage to or total loss of our property or assets, injury or death of our employees, or a need to shut down or reduce operation of our facilities while remedial actions are undertaken. Our employees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w:t>
      </w:r>
    </w:p>
    <w:p>
      <w:pPr>
        <w:spacing w:after="0" w:line="11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While we seek to minimize our exposure to such risks through comprehensive training programs, our Environmental Health and Safety Compliance Internal Audit Program, vehicle and equipment maintenance programs, and insurance, such programs and insurance may not be adequate to cover all of our potential liabilities and such insurance may not in the future be available at commercially reasonable rates. If we were to incur substantial liabilities in excess of policy limits or at a time when we were not able to obtain adequate liability insurance on commercially reasonable terms, our business, results of operations and financial condition could be adversely affected to a material extent. Furthermore, should our safety record deteriorate, we could be subject to a potential reduction of revenues from our major customers.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numerous statutory and regulatory requirements, which may increase in the future.</w:t>
      </w:r>
    </w:p>
    <w:p>
      <w:pPr>
        <w:spacing w:after="0" w:line="14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businesses are subject to numerous statutory and regulatory requirements, and our ability to continue to hold licenses and permits required for our businesses is subject to maintaining satisfactory compliance with such requirements. These requirements may increase in the future as a result of statutory and regulatory changes. Although we are very committed to compliance and safety, we may not, either now or in the future, be in full compliance at all times with such statutory and regulatory requirements. Consequently, we could be required to incur significant costs to maintain or improve our compliance with such requirements.</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Failure to effectively manage acquisitions and divestitures could adversely impact our future results.</w:t>
      </w:r>
    </w:p>
    <w:p>
      <w:pPr>
        <w:spacing w:after="0" w:line="14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continuously evaluate potential acquisition candidates and from time to time acquire companies that we believe will strategically fit into our business and growth objectives. If we are unable to successfully integrate and develop acquired 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they are contributing to our objectives and growth strategy.</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Natural disasters or other catastrophic events could negatively affect our business, financial condition and results of operations.</w:t>
      </w:r>
    </w:p>
    <w:p>
      <w:pPr>
        <w:spacing w:after="0" w:line="15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Natural disasters such as hurricanes, typhoons or earthquakes could negatively affect our operations and financial performance. Such events could result in physical damage to one or more of our facilities or equipment, the temporary lack of an adequate work force in a market, and the temporary disruption in rail or truck transportation services which we rely on to deliver waste to our facilities. These events could prevent or delay shipments and reduce both volumes and revenue. Weather conditions and other event driven special projects also cause interim variations in our results. We may be required to suspend operations in some or all of our locations, which could have a material adverse effect on our business, financial condition and results of operations.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acquisitions may expose us to unknown liabilities.</w:t>
      </w:r>
    </w:p>
    <w:p>
      <w:pPr>
        <w:spacing w:after="0" w:line="27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Because we have acquired, and expect generally to acquire, all the outstanding shares of most of our acquired companies, our investment in those companies are or will be subject to all of their liabilities other than their respective debts which we paid or will pay at the time of the acquisitions. If there are unknown liabilities or other obligations, our business could be materially affected. We may also experience issues relating to internal controls over financial reporting that could affect our ability to comply with the Sarbanes-Oxley Act, or that could affect our ability to comply with other applicable laws.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14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use computers in substantially all aspects of our business operations and also mobile devices and other online activities to connect with our employees and customers. Such uses give rise to cyber security risks, including security breach, espionage, system disruption, theft and inadvertent release of information. Our business involves the storage and transmission of numerous classes of sensitive and/or confidential information and intellectual property including, but not limited to, private information about employees, and financial and strategic information about our Company and our business partners.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Furthermore, as we pursue our strategy to grow through acquisitions and new initiatives that improve our operations and cost structure, we are also expanding and improving our information technologies, resulting in a larger technological presence and corresponding exposure to cyber security risk. If we fail to assess and identify cyber 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interpretations and changes in tax regulations and legislation could adversely affect our results of operations.</w:t>
      </w:r>
    </w:p>
    <w:p>
      <w:pPr>
        <w:spacing w:after="0" w:line="14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subject to income taxes in the United States, Canada and various state and local jurisdictions. Tax interpretations, regulations and legislation in the various jurisdictions in which we operate are subject to change and uncertainty and can impact net income, income tax expense or recovery and deferred income tax assets or liabilities.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currency exchange could affect our financial results.</w:t>
      </w:r>
    </w:p>
    <w:p>
      <w:pPr>
        <w:spacing w:after="0" w:line="14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earn revenues, pay expenses, own assets and incur liabilities in countries using currencies other than the U.S. dollar. In fiscal 2018, we recorded approximately 17.5% of our direct revenues in Canada. Because our consolidated financial statements are presented in U.S. dollars, we must translate revenues, income and expenses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10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8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may exceed its fair value. Based on those results, during the third quarter of 2016, we determined that the then carrying amount of one of our then reporting units exceeded the estimated fair value of that unit and we therefore then recognized a goodwill impairment charge of $34.0 million with respect to that unit. During and as of the end of each of 2018, 2017 and 2016, we determined that no additional asset write-downs were required. However, if conditions in any of the businesses in which we compete were to deteriorate, we could determine that certain of our assets are impaired and we would then be required to write-off all or a portion of our costs for such assets. Any significant write-offs would adversely affect our balance sheet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of Our Environmental Services Business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The hazardous waste management business which our Environmental Services segment conducts is subject to significant environmental liabilities.</w:t>
      </w:r>
    </w:p>
    <w:p>
      <w:pPr>
        <w:spacing w:after="0" w:line="1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accrued environmental liabilities valued as of December 31, 2018, at $190.9 million, substantially all of which we assumed in connection with certain acquisitions. We calculate our environmental liabilities on a present value basis in accordance with generally accepted accounting principles, which take into consideration both the amount of such liabilities and the timing when we project that we will be required to pay such liabilities. We anticipate our environmental liabilities will be payable over many years and that cash flows generated from our operations will generally be sufficient to fund the payment of such liabilities when required. However, events not now anticipated (such as future changes in environmental laws and regulations or their enforcement) could require that such payments be made earlier or in greater amounts than we now estimate, which could adversely affect our financial condition and results of operations.</w:t>
      </w:r>
    </w:p>
    <w:p>
      <w:pPr>
        <w:spacing w:after="0" w:line="108"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environmental laws may believe an environmental liability is more significant than we then estimate, or that we will fail to identify or fully appreciate an existing liability before we become legally responsible to address it.</w:t>
      </w:r>
    </w:p>
    <w:p>
      <w:pPr>
        <w:spacing w:after="0" w:line="8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103"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We are required to provide substantial amounts of financial assurance to governmental agencies for closure and post-closure care of our licensed hazardous waste treatment facilities should those facilities cease operation, and we are also occasionally required to post surety, bid and performance bonds in connection with certain projects. As of December 31, 2018, our total estimated closure and post-closure costs requiring financial assurance by regulators were $464.2 million for our U.S. facilities and $42.1 million for our Canadian facilities. We have obtained all of the required financial assurance for our facilities through a combination of surety bonds, funded trusts, letters of credit and insurance from a qualified insurance company</w:t>
      </w:r>
      <w:r>
        <w:rPr>
          <w:rFonts w:ascii="Arial" w:cs="Arial" w:eastAsia="Arial" w:hAnsi="Arial"/>
          <w:sz w:val="19"/>
          <w:szCs w:val="19"/>
          <w:color w:val="auto"/>
        </w:rPr>
        <w:t>.</w:t>
      </w:r>
      <w:r>
        <w:rPr>
          <w:rFonts w:ascii="Arial" w:cs="Arial" w:eastAsia="Arial" w:hAnsi="Arial"/>
          <w:sz w:val="18"/>
          <w:szCs w:val="18"/>
          <w:color w:val="auto"/>
        </w:rPr>
        <w:t xml:space="preserve"> The financial assurance related to closure and post-closure obligations of our U.S. facilities will renew in 2019. Our Canadian facilities utilize surety bonds, which renew at various dates throughout 2019, as well as letters of credit.</w:t>
      </w:r>
    </w:p>
    <w:p>
      <w:pPr>
        <w:spacing w:after="0" w:line="23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ability to continue operating our facilities and conducting our other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hazardous waste management industry in which we participate is subject to significant economic and business risks.</w:t>
      </w:r>
    </w:p>
    <w:p>
      <w:pPr>
        <w:spacing w:after="0" w:line="144"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future operating results of our Environmental Services segment may be affected by such factors as our ability to utilize our facilities and workforce profitably in the face of intense price competition, maintain or increase market share in an industry which has in the past experienced significant downsizing and consolidation, realize benefits from cost reduction programs, invest in new technologies for treatment of hazardous waste, generate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Environmental Services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8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The extensive environmental regulations to which we are subject may increase our costs and potential liabilities and limit our ability to expand our facilities.</w:t>
      </w:r>
    </w:p>
    <w:p>
      <w:pPr>
        <w:spacing w:after="0" w:line="224"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Our operations and those of others in the environmental services industry are subject to extensive federal, state, provincial and local environmental requirements in both the United States and Canada, including those relating to emissions to air, discharged wastewater, storage, treatment, transport and disposal of regulated materials, and cleanup of soil and groundwater contamination. In particular, if we fail to comply with governmental regulations governing the transport of hazardous materials, such failure could negatively impact our ability to collect, process and ultimately dispose of hazardous wastes generated by our customers. While increasing environmental regulation often presents new business opportunities for us, it often also results in increased operating and compliance costs. Efforts to conduct our operations in compliance with all applicable laws and regulations, including environmental rules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governmental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w:t>
      </w:r>
    </w:p>
    <w:p>
      <w:pPr>
        <w:spacing w:after="0" w:line="22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From time to time, we have paid fines or penalties in governmental environmental enforcement proceedings, usually involving our waste treatment, storage and disposal facilities. Although none of these fines or penalties that we have paid in the past has had a material adverse effect upon us, we might in the future be required to make substantial expenditures as a result of governmental proceedings which would have a negative impact on our earnings. Furthermore, regulators have the power to</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7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Some environmental laws and regulations impose liability and responsibility on present and former owners, operators or users of facilities and sites for contamination at such facilities and sites without regard to causation or knowledge of contamination. In the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 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8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addition to the costs of complying with environmental laws and regulations, we incur costs defending against environmental litigation brought by governmental agencies and private parties. We are now, and may in the future be, a defendant in lawsuits brought by parties alleging environmental damage, personal injury, and/or property damage, which may result in our payment of significant amounts.</w:t>
      </w:r>
    </w:p>
    <w:p>
      <w:pPr>
        <w:spacing w:after="0" w:line="10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Environmental and land use laws also impact our ability to expand our facilities. In addition, we are required to obtain governmental permits to operate our facilities, including all of our landfills. Even if we comply with all applicable environmental laws, we might not be able to obtain requisite permits from applicable governmental authorities to extend or modify such permits to fit our business needs.</w:t>
      </w:r>
    </w:p>
    <w:p>
      <w:pPr>
        <w:spacing w:after="0" w:line="10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b w:val="1"/>
          <w:bCs w:val="1"/>
          <w:i w:val="1"/>
          <w:iCs w:val="1"/>
          <w:color w:val="auto"/>
        </w:rPr>
        <w:t>If our assumptions relating to expansion of our landfills should prove inaccurate, our results of operations and cash flow could be adversely affected.</w:t>
      </w:r>
    </w:p>
    <w:p>
      <w:pPr>
        <w:spacing w:after="0" w:line="8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When we include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that we previously thought was probable has become unlikely. To the extent that such estimates, or the assumptions used to make those estimates, prove to be significantly different than actual results, or our belief that we will receive an expansion permit changes adversely in a significant manner, our landfill assets, including the assets incurred in the pursuit of the expansion, may be subject to impairment testing. Furthermore, lower prospective profitability may result due to increased interest accretion and depreciation or asset impairments related to the removal of previously included expansion airspace. In addition, if our assumptions concerning expansion airspace should prove inaccurate, certain of our cash expenditures for closure of landfills could be accelerated and adversely affect our results of operations and cash flow.</w:t>
      </w:r>
    </w:p>
    <w:p>
      <w:pPr>
        <w:spacing w:after="0" w:line="10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A significant portion of our Environmental Services business depends upon the demand for cleanup of major spills and other remedial projects and regulatory developments over which we have no control.</w:t>
      </w:r>
    </w:p>
    <w:p>
      <w:pPr>
        <w:spacing w:after="0" w:line="8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Our operations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governmental regulations governing our diverse operations. We do not control such factors and, as a result, our revenue and income can vary from quarter to quarter, and past financial performance for certain quarters may not be a reliable indicator of future performance for comparable quarters in subsequent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of Our Safety-Kleen Business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Fluctuations in oil prices may negatively affect our Safety-Kleen business.</w:t>
      </w:r>
    </w:p>
    <w:p>
      <w:pPr>
        <w:spacing w:after="0" w:line="14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 significant portion of our Safety-Kleen business involves collecting used oil from certain of our customers, re-refining a portion of such used oil into base and blended lubricating oils, and then selling both such re-refined oil and the recycled oil, or ‘‘RFO,’’ collectively "oil products", to other customers. Changes in the reported spot market prices of oil affect the prices at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which we can sell our re-refined oil and RFO. If applicable rates increase or decrease, we typically will charge a higher or lower corresponding price for our oil products. The prices at which we sell our oil products can also be affected by changes in certain indices measuring changes in the price of heavy fuel oil, with increases and decreases in the indices typically translating into a higher or lower price for our oil products. The cost to collect used oil, including the amounts we pay to obtain a portion of our used oil and therefore ability to collect necessary volumes and the fuel costs of our oil collection fleet, typically also increases or decreases when the relevant indices increase or decrease. However, even though the prices we can charge for our oil products and the costs to collect and re-refine used oil and process RFO typically increase and decrease together, there is no assurance that when our costs to collect and re-refine used oil and process RFO increase we will be able to increase the prices we charge for our oil products to cover such increased costs, or that our costs to collect and re-refine used oil and process RFO will decline when the prices we can charge for such oil products decline. These risks are exacerbated when there are rapid fluctuations in these oil indices.</w:t>
      </w:r>
    </w:p>
    <w:p>
      <w:pPr>
        <w:spacing w:after="0" w:line="10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have adversely affected and may adversely affect Safety-Kleen's parts cleaning and other solvent related services.</w:t>
      </w:r>
    </w:p>
    <w:p>
      <w:pPr>
        <w:spacing w:after="0" w:line="89"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In connection with its parts cleaning and other solvent related services, Safety-Kleen has been subject to fines and certain orders requiring it to take environmental remedial action. Safety-Kleen may also be subject to monetary fines, civil or criminal penalties, remediation, cleanup or stop orders, injunctions, orders to cease or suspend certain practices or denial of permits required for the operation of its facilities. The outcome of any proceeding and associated costs and expenses could have a material adverse impact on Safety-Kleen’s financial condition and results of operations.</w:t>
      </w:r>
    </w:p>
    <w:p>
      <w:pPr>
        <w:spacing w:after="0" w:line="7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Recent and potential changes in environmental laws and regulations may also adversely affect future Safety-Kleen parts cleaning and other solvent related services. Interpretation or enforcement of existing laws and regulations, or the adoption of new laws and regulations, may require Safety-Kleen to modify or curtail its operations or replace or upgrade its facilities or equipment at substantial cost, which we may not be able to pass on to our customers, and we may choose to indemnify our customers from any fines or penalties they may incur as a result of these new laws and regulations. On the other hand, in some cases if new laws and regulations are less stringent, Safety-Kleen’s customers or competitors may be able to manage waste more effectively themselves, which could decrease the need for Safety-Kleen’s services or increase competition, which could adversely affect Safety-Kleen’s results of operations.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Safety-Kleen is subject to existing and potential product liability lawsuits.</w:t>
      </w:r>
    </w:p>
    <w:p>
      <w:pPr>
        <w:spacing w:after="0" w:line="14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Safety-Kleen has been named from time to time as a defendant in product liability lawsuits in various courts and jurisdictions throughout the United States. As of December 31, 2018, Safety-Kleen was involved in approximately 67 such proceedings (including cases which have been settled but not formally dismissed) wherein persons claim personal injury resulting from the use of its parts cleaning equipment or cleaning products. These proceedings typically involve allegations that the solvents used in Safety-Kleen’s parts cleaning equipment contain contaminants or that Safety-Kleen’s recycling process does not effectively remove the contaminants that become entrained in the solvents during their use. In addition, certain claimants assert that Safety-Kleen failed to adequately warn the product user of potential risks, including a historic failure to warn that such solvents contain trace amounts of toxic or hazardous substances such as benzene. Although Safety-Kleen maintains insurance that we believe will provide coverage for these claims (over amounts accrued for self-insured retentions and deductibles in certain limited cases), this insurance may not provide coverage for potential awards of punitive damages against Safety-Kleen. Although Safety-Kleen has vigorously defended and will continue to vigorously defend itself and the safety of its products against all of these claims, these lawsuits are subject to many uncertainties and outcomes cannot be predicted with assurance. Safety-Kleen may also be named in similar additional lawsuits in the future, including claims for which insurance coverage may not be available. If any one or more of these lawsuits were decided unfavorably against Safety-Kleen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against Safety-Kleen, such outcome may encourage more lawsuits against us.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Safety-Kleen is dependent on third parties for manufacturing the majority of its equipment.</w:t>
      </w:r>
    </w:p>
    <w:p>
      <w:pPr>
        <w:spacing w:after="0" w:line="14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Safety-Kleen does not manufacture the majority of the equipment, including parts washers, that Safety-Kleen places at customer sites. Accordingly, Safety-Kleen relies on a limited number of third-party suppliers for manufacturing this equipment. The supply of third-party equipment could be interrupted or halted by a termination of Safety-Kleen’s relationships, a failure of quality control or other operational problems at such suppliers or a significant decline in their financial condition. If Safety-Kleen were not able to retain these providers or obtain its requests from them, Safety-Kleen may not be able to obtain alternate providers in a timely manner or on economically attractive terms and, as a result, Safety-Kleen may not be able to compete successfully for new business, complete existing engagements profitably or retain its existing customers. Additionally, if Safety-Kleen’s third-party suppliers provide defective equipment, Safety-Kleen may be subject to reputational damage or product liability claims which may negatively impact its reputation, financial condition and results of operations. Further, Safety-Kleen generally does not have long-term contracts with its third-party suppliers, and as a result those suppliers may increase the price of the equipment they provide, which may hurt Safety-Kleen’s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Levels of Debt and Letters of Credit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Our substantial levels of outstanding debt and letters of credit could adversely affect our financial condition and ability to fulfill our obligations.</w:t>
      </w:r>
    </w:p>
    <w:p>
      <w:pPr>
        <w:spacing w:after="0" w:line="16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As of December 31, 2018, we had outstanding $845.0 million of senior unsecured notes, $742.2 million of senior secured term loans, and $130.1 million of letters of credit. Our substantial levels of outstanding debt and letters of credit may:</w:t>
      </w:r>
    </w:p>
    <w:p>
      <w:pPr>
        <w:spacing w:after="0" w:line="89" w:lineRule="exact"/>
        <w:rPr>
          <w:sz w:val="20"/>
          <w:szCs w:val="20"/>
          <w:color w:val="auto"/>
        </w:rPr>
      </w:pPr>
    </w:p>
    <w:p>
      <w:pPr>
        <w:ind w:left="660" w:right="5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adversely impact our ability to obtain additional financing in the future for working capital, capital expenditures, acquisitions or other general corporate purposes or to repurchase our senior unsecured notes from holders upon any change of control;</w:t>
      </w:r>
    </w:p>
    <w:p>
      <w:pPr>
        <w:spacing w:after="0" w:line="224"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200" w:lineRule="exact"/>
        <w:rPr>
          <w:rFonts w:ascii="Arial" w:cs="Arial" w:eastAsia="Arial" w:hAnsi="Arial"/>
          <w:sz w:val="17"/>
          <w:szCs w:val="17"/>
          <w:color w:val="auto"/>
        </w:rPr>
      </w:pPr>
    </w:p>
    <w:p>
      <w:pPr>
        <w:ind w:left="660" w:right="8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 us to the risk of increased sensitivity to interest rate increases based upon variable interest rates, including $392.2 million of our $742.2 million senior secured term loans for which we do not currently have interest rate hedges and borrowings (if any) under our revolving credit facility;</w:t>
      </w:r>
    </w:p>
    <w:p>
      <w:pPr>
        <w:spacing w:after="0" w:line="177"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possibility of an event of default under the financial and operating covenants contained in our debt instruments; and</w:t>
      </w:r>
    </w:p>
    <w:p>
      <w:pPr>
        <w:spacing w:after="0" w:line="27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22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ability to make scheduled payments of principal or interest with respect to our debt, including our outstanding senior unsecured notes, our secured term loans, any revolving loans and our capital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22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Despite our substantial levels of outstanding debt and letters of credit, we could incur substantially more debt and letter of credit obligations in the future.</w:t>
      </w:r>
    </w:p>
    <w:p>
      <w:pPr>
        <w:spacing w:after="0" w:line="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Although our revolving credit agreement and the indentures and loan agreement governing our other outstanding debt contain restrictions on the incurrence of additional debt (including, for this purpose, reimbursement obligations under outstanding letters of credit), these restrictions are subject to a number of qualifications and exceptions and the additional debt which we might incur in the future in compliance with these restrictions could be substantial. In particular, we had available at December 31, 2018, up to approximately $235.4 million for additional borrowings and letters of credit under our revolving credit facility. Our revolving credit agreement and the indentures and loan agreement governing our other outstanding debt also allow us to borrow significant amounts of money from other sources. These restrictions also do not prevent us from incurring obligations (such as operating leases) that do not constitute “debt” or “indebtedness” as defined in the relevant agreements. To the extent we incur in the future additional debt and letter of credit or other obligations, the related risks would increase.</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The covenants in our debt agreements restrict our ability to operate our business and might lead to a default under our debt agreements.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revolving credit agreement and the indentures and loan agreement governing our other outstanding debt limit, among other things, our ability and the ability of our restricted subsidiaries to:</w:t>
      </w:r>
    </w:p>
    <w:p>
      <w:pPr>
        <w:spacing w:after="0" w:line="8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incur or guarantee additional indebtedness (including, for this purpose, reimbursement obligations under letters of credit) or issue preferred stock;</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other distributions to our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or redeem capital stock or 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restrictions on the ability of our restricted subsidiaries to pay dividends or make other payments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 including capital stock of our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 or merge with or into other companies or transfer all or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 were accelerated, our assets might not be sufficient to repay in full that debt and our other debt.</w:t>
      </w:r>
    </w:p>
    <w:p>
      <w:pPr>
        <w:spacing w:after="0" w:line="23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Our revolving credit agreement and the indentures and loan agreement governing our other outstanding debt also contain cross-default and cross-acceleration provisions. Under these provisions, a default or acceleration under one instrument 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Our Common Stock</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Massachusetts Business Corporation Act and our By-Laws contain certain anti-takeover provisions.</w:t>
      </w:r>
    </w:p>
    <w:p>
      <w:pPr>
        <w:spacing w:after="0" w:line="144"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8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83" w:lineRule="exact"/>
        <w:rPr>
          <w:sz w:val="20"/>
          <w:szCs w:val="20"/>
          <w:color w:val="auto"/>
        </w:rPr>
      </w:pPr>
    </w:p>
    <w:p>
      <w:pPr>
        <w:jc w:val="center"/>
        <w:ind w:right="94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ind w:right="9400"/>
        <w:spacing w:after="0"/>
        <w:tabs>
          <w:tab w:leader="none" w:pos="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83"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Our principal executive offices are in Norwell, Massachusetts, where we lease approximately 151,000 square feet under arrangements which may not expire until 2042. We also have regional administrative offices in Texas, South Carolina, and Alberta, Canada. Our properties are sufficient and suitable for our current needs.</w:t>
      </w:r>
    </w:p>
    <w:p>
      <w:pPr>
        <w:spacing w:after="0" w:line="10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We have a network of more than 480 service locations across 49 states, nine Canadian provinces, Puerto Rico, and Mexico. Those service locations include service centers, satellite locations, branches, active hazardous waste management properties, lodging facilities and oil processing facilities. The service centers and branches are the principal sales and service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centers from which we provide our environmental, energy and industrial services. The active hazardous waste management properties include incinerator facilities, commercial and non-commercial landfills, wastewater treatment facilities, treatment, storage and disposal facilities ("TSDFs"), solvent recovery management and recycling facilities, oil accumulation centers, oil terminals and oil re-refineries. Some of our properties offer multiple capabilities. The following sets forth certain information as of December 31, 2018 regarding our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Centers, Satellite Locations and Branches</w:t>
      </w:r>
    </w:p>
    <w:p>
      <w:pPr>
        <w:spacing w:after="0" w:line="33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have approximately 365 service centers, satellite locations and branches throughout the United States and Canada which serve as principal sales and service centers from which we provide parts cleaning services, containerized waste services, oil collection services and other environmental services.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Hazardous Waste Management Properties</w:t>
      </w:r>
    </w:p>
    <w:p>
      <w:pPr>
        <w:spacing w:after="0" w:line="3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Incinerator Facilities. </w:t>
      </w:r>
      <w:r>
        <w:rPr>
          <w:rFonts w:ascii="Arial" w:cs="Arial" w:eastAsia="Arial" w:hAnsi="Arial"/>
          <w:sz w:val="18"/>
          <w:szCs w:val="18"/>
          <w:color w:val="auto"/>
        </w:rPr>
        <w:t>We own five operating incinerator facilities that have a total of nine incinerators with 561,721 tons of total practical capacity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an overall average utilization rate for 2018 of 86.7%.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product. Capacity utilization is calculated by dividing actual production pounds by practical capacity at each incinerator.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Utilization Rate</w:t>
            </w:r>
          </w:p>
        </w:tc>
      </w:tr>
      <w:tr>
        <w:trPr>
          <w:trHeight w:val="203"/>
        </w:trPr>
        <w:tc>
          <w:tcPr>
            <w:tcW w:w="5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172"/>
              <w:spacing w:after="0"/>
              <w:rPr>
                <w:sz w:val="20"/>
                <w:szCs w:val="20"/>
                <w:color w:val="auto"/>
              </w:rPr>
            </w:pPr>
            <w:r>
              <w:rPr>
                <w:rFonts w:ascii="Arial" w:cs="Arial" w:eastAsia="Arial" w:hAnsi="Arial"/>
                <w:sz w:val="16"/>
                <w:szCs w:val="16"/>
                <w:b w:val="1"/>
                <w:bCs w:val="1"/>
                <w:color w:val="auto"/>
              </w:rPr>
              <w:t>Practical Capacity</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r>
      <w:tr>
        <w:trPr>
          <w:trHeight w:val="210"/>
        </w:trPr>
        <w:tc>
          <w:tcPr>
            <w:tcW w:w="5700" w:type="dxa"/>
            <w:vAlign w:val="bottom"/>
          </w:tcPr>
          <w:p>
            <w:pPr>
              <w:spacing w:after="0"/>
              <w:rPr>
                <w:sz w:val="18"/>
                <w:szCs w:val="18"/>
                <w:color w:val="auto"/>
              </w:rPr>
            </w:pPr>
          </w:p>
        </w:tc>
        <w:tc>
          <w:tcPr>
            <w:tcW w:w="1920" w:type="dxa"/>
            <w:vAlign w:val="bottom"/>
            <w:gridSpan w:val="2"/>
          </w:tcPr>
          <w:p>
            <w:pPr>
              <w:ind w:left="320"/>
              <w:spacing w:after="0"/>
              <w:rPr>
                <w:sz w:val="20"/>
                <w:szCs w:val="20"/>
                <w:color w:val="auto"/>
              </w:rPr>
            </w:pPr>
            <w:r>
              <w:rPr>
                <w:rFonts w:ascii="Arial" w:cs="Arial" w:eastAsia="Arial" w:hAnsi="Arial"/>
                <w:sz w:val="16"/>
                <w:szCs w:val="16"/>
                <w:b w:val="1"/>
                <w:bCs w:val="1"/>
                <w:color w:val="auto"/>
              </w:rPr>
              <w:t># of Incinerators</w:t>
            </w:r>
          </w:p>
        </w:tc>
        <w:tc>
          <w:tcPr>
            <w:tcW w:w="1800" w:type="dxa"/>
            <w:vAlign w:val="bottom"/>
          </w:tcPr>
          <w:p>
            <w:pPr>
              <w:jc w:val="right"/>
              <w:ind w:right="592"/>
              <w:spacing w:after="0"/>
              <w:rPr>
                <w:sz w:val="20"/>
                <w:szCs w:val="20"/>
                <w:color w:val="auto"/>
              </w:rPr>
            </w:pPr>
            <w:r>
              <w:rPr>
                <w:rFonts w:ascii="Arial" w:cs="Arial" w:eastAsia="Arial" w:hAnsi="Arial"/>
                <w:sz w:val="16"/>
                <w:szCs w:val="16"/>
                <w:b w:val="1"/>
                <w:bCs w:val="1"/>
                <w:color w:val="auto"/>
              </w:rPr>
              <w:t>(Tons)</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2018</w:t>
            </w:r>
          </w:p>
        </w:tc>
      </w:tr>
      <w:tr>
        <w:trPr>
          <w:trHeight w:val="33"/>
        </w:trPr>
        <w:tc>
          <w:tcPr>
            <w:tcW w:w="57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Arkansas</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145,072</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Nebraska</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58,808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5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66,815</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Texas</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165,500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5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Ontario, Canada</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125,526</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57"/>
        </w:trPr>
        <w:tc>
          <w:tcPr>
            <w:tcW w:w="57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561,721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86.7%</w:t>
            </w:r>
          </w:p>
        </w:tc>
      </w:tr>
      <w:tr>
        <w:trPr>
          <w:trHeight w:val="20"/>
        </w:trPr>
        <w:tc>
          <w:tcPr>
            <w:tcW w:w="5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incinerators offer a wide range of technological capabilities to customers through this network. We provide incineration in the United States through one fluidized bed thermal oxidation unit and three solids and liquids-capable incinerator facilities and we operate in Canada one active hazardous waste liquid injection incinerator.</w:t>
      </w:r>
    </w:p>
    <w:p>
      <w:pPr>
        <w:spacing w:after="0" w:line="28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Commercial and Non-Commercial Landfills. </w:t>
      </w:r>
      <w:r>
        <w:rPr>
          <w:rFonts w:ascii="Arial" w:cs="Arial" w:eastAsia="Arial" w:hAnsi="Arial"/>
          <w:sz w:val="18"/>
          <w:szCs w:val="18"/>
          <w:color w:val="auto"/>
        </w:rPr>
        <w:t>In the United States and Canada, we operate nine commercial landfills with approximately 29.4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cubic yards of remaining highly probable airspace. Seven of our commercial landfills are designed and permitted for the disposal of hazardous wastes and two landfills are operated for nonhazardous industrial waste disposal and, to a lesser extent, municipal solid waste. In addition to our commercial landfills, we also own and operate two non-commercial landfills that only accept waste from our on-site incinerators. See "Landfill Accounting" within Note 2, "Significant Accounting Policies," to our consolidated financial statements included in Item 8 of this report for additional information on our commercial and non-commercial landfills.</w:t>
      </w:r>
    </w:p>
    <w:p>
      <w:pPr>
        <w:spacing w:after="0" w:line="22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Wastewater Treatment Facilities. </w:t>
      </w:r>
      <w:r>
        <w:rPr>
          <w:rFonts w:ascii="Arial" w:cs="Arial" w:eastAsia="Arial" w:hAnsi="Arial"/>
          <w:sz w:val="18"/>
          <w:szCs w:val="18"/>
          <w:color w:val="auto"/>
        </w:rPr>
        <w:t>We operate a total of nine facilities, of which six are owned and three are leased, that offer a range of wastewater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technologies and customer services. Wastewater treatment consists primarily of three types of services: hazardous wastewater treatment, sludge de-watering or drying, and non-hazardous wastewater treatment.</w:t>
      </w:r>
    </w:p>
    <w:p>
      <w:pPr>
        <w:spacing w:after="0" w:line="28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Treatment, Storage and Disposal Facilities. </w:t>
      </w:r>
      <w:r>
        <w:rPr>
          <w:rFonts w:ascii="Arial" w:cs="Arial" w:eastAsia="Arial" w:hAnsi="Arial"/>
          <w:sz w:val="18"/>
          <w:szCs w:val="18"/>
          <w:color w:val="auto"/>
        </w:rPr>
        <w:t>We operate 18 TSDFs, of which 16 are owned and two are leased, in the United States and Canada. Our</w:t>
      </w:r>
      <w:r>
        <w:rPr>
          <w:rFonts w:ascii="Arial" w:cs="Arial" w:eastAsia="Arial" w:hAnsi="Arial"/>
          <w:sz w:val="18"/>
          <w:szCs w:val="18"/>
          <w:i w:val="1"/>
          <w:iCs w:val="1"/>
          <w:color w:val="auto"/>
        </w:rPr>
        <w:t xml:space="preserve"> </w:t>
      </w:r>
      <w:r>
        <w:rPr>
          <w:rFonts w:ascii="Arial" w:cs="Arial" w:eastAsia="Arial" w:hAnsi="Arial"/>
          <w:sz w:val="18"/>
          <w:szCs w:val="18"/>
          <w:color w:val="auto"/>
        </w:rPr>
        <w:t>TSDFs facilitate the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hazardous and industrial waste transport, together with drivers trained in transportation and waste handling procedures, provide for the movement of customer waste streams.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Solvent Recovery Management and Recycling Operations. </w:t>
      </w:r>
      <w:r>
        <w:rPr>
          <w:rFonts w:ascii="Arial" w:cs="Arial" w:eastAsia="Arial" w:hAnsi="Arial"/>
          <w:sz w:val="18"/>
          <w:szCs w:val="18"/>
          <w:color w:val="auto"/>
        </w:rPr>
        <w:t>We own two facilities specializing in solvent recovery management.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Processing, Blending and Packaging Facilities</w:t>
      </w:r>
    </w:p>
    <w:p>
      <w:pPr>
        <w:spacing w:after="0" w:line="3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Oil Accumulation Centers. </w:t>
      </w:r>
      <w:r>
        <w:rPr>
          <w:rFonts w:ascii="Arial" w:cs="Arial" w:eastAsia="Arial" w:hAnsi="Arial"/>
          <w:sz w:val="18"/>
          <w:szCs w:val="18"/>
          <w:color w:val="auto"/>
        </w:rPr>
        <w:t>We operate a total of nine accumulation centers, of which eight are owned and one is leased, used for accumulating waste oil</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branches.</w:t>
      </w:r>
    </w:p>
    <w:p>
      <w:pPr>
        <w:spacing w:after="0" w:line="27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 xml:space="preserve">Oil Terminals. </w:t>
      </w:r>
      <w:r>
        <w:rPr>
          <w:rFonts w:ascii="Arial" w:cs="Arial" w:eastAsia="Arial" w:hAnsi="Arial"/>
          <w:sz w:val="18"/>
          <w:szCs w:val="18"/>
          <w:color w:val="auto"/>
        </w:rPr>
        <w:t>We operate a total of 54 oil terminals, of which 31 are owned and 23 are leased, which collect or process used oil prior to delivery to re-refineries or distribution as RFO.</w:t>
      </w:r>
    </w:p>
    <w:p>
      <w:pPr>
        <w:spacing w:after="0" w:line="27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i w:val="1"/>
          <w:iCs w:val="1"/>
          <w:color w:val="auto"/>
        </w:rPr>
        <w:t xml:space="preserve">Oil Recycling and Re-refining Facilities. </w:t>
      </w:r>
      <w:r>
        <w:rPr>
          <w:rFonts w:ascii="Arial" w:cs="Arial" w:eastAsia="Arial" w:hAnsi="Arial"/>
          <w:sz w:val="16"/>
          <w:szCs w:val="16"/>
          <w:color w:val="auto"/>
        </w:rPr>
        <w:t>We own six oil re-refineries, five in the United States and one in Canada. With more than 200 million gallons</w:t>
      </w:r>
      <w:r>
        <w:rPr>
          <w:rFonts w:ascii="Arial" w:cs="Arial" w:eastAsia="Arial" w:hAnsi="Arial"/>
          <w:sz w:val="16"/>
          <w:szCs w:val="16"/>
          <w:i w:val="1"/>
          <w:iCs w:val="1"/>
          <w:color w:val="auto"/>
        </w:rPr>
        <w:t xml:space="preserve"> </w:t>
      </w:r>
      <w:r>
        <w:rPr>
          <w:rFonts w:ascii="Arial" w:cs="Arial" w:eastAsia="Arial" w:hAnsi="Arial"/>
          <w:sz w:val="16"/>
          <w:szCs w:val="16"/>
          <w:color w:val="auto"/>
        </w:rPr>
        <w:t>of used oil processed annually, we were able to return in 2018 192 million gallons of new re-refined oil, lubricants and byproducts back into the marketplace.</w:t>
      </w:r>
    </w:p>
    <w:p>
      <w:pPr>
        <w:spacing w:after="0" w:line="23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Oil Packaging and Blending Facilities. </w:t>
      </w:r>
      <w:r>
        <w:rPr>
          <w:rFonts w:ascii="Arial" w:cs="Arial" w:eastAsia="Arial" w:hAnsi="Arial"/>
          <w:sz w:val="18"/>
          <w:szCs w:val="18"/>
          <w:color w:val="auto"/>
        </w:rPr>
        <w:t>We operate a total of five oil packaging and blending facilities, of which three are owned and two are leased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blending and packaging oil from our branches.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Facilities</w:t>
      </w:r>
    </w:p>
    <w:p>
      <w:pPr>
        <w:spacing w:after="0" w:line="14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i w:val="1"/>
          <w:iCs w:val="1"/>
          <w:color w:val="auto"/>
        </w:rPr>
        <w:t xml:space="preserve">Lodge Operations. </w:t>
      </w:r>
      <w:r>
        <w:rPr>
          <w:rFonts w:ascii="Arial" w:cs="Arial" w:eastAsia="Arial" w:hAnsi="Arial"/>
          <w:sz w:val="18"/>
          <w:szCs w:val="18"/>
          <w:color w:val="auto"/>
        </w:rPr>
        <w:t>We operate five fixed lodges, all of which are owned and located on sites in Alberta, Canada that are leased under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agreements.</w:t>
      </w:r>
    </w:p>
    <w:p>
      <w:pPr>
        <w:spacing w:after="0" w:line="89" w:lineRule="exact"/>
        <w:rPr>
          <w:sz w:val="20"/>
          <w:szCs w:val="20"/>
          <w:color w:val="auto"/>
        </w:rPr>
      </w:pPr>
    </w:p>
    <w:p>
      <w:pPr>
        <w:jc w:val="both"/>
        <w:ind w:right="120" w:firstLine="405"/>
        <w:spacing w:after="0" w:line="288" w:lineRule="auto"/>
        <w:rPr>
          <w:sz w:val="20"/>
          <w:szCs w:val="20"/>
          <w:color w:val="auto"/>
        </w:rPr>
      </w:pPr>
      <w:r>
        <w:rPr>
          <w:rFonts w:ascii="Arial" w:cs="Arial" w:eastAsia="Arial" w:hAnsi="Arial"/>
          <w:sz w:val="16"/>
          <w:szCs w:val="16"/>
          <w:i w:val="1"/>
          <w:iCs w:val="1"/>
          <w:color w:val="auto"/>
        </w:rPr>
        <w:t xml:space="preserve">Camps. </w:t>
      </w:r>
      <w:r>
        <w:rPr>
          <w:rFonts w:ascii="Arial" w:cs="Arial" w:eastAsia="Arial" w:hAnsi="Arial"/>
          <w:sz w:val="16"/>
          <w:szCs w:val="16"/>
          <w:color w:val="auto"/>
        </w:rPr>
        <w:t>We operate various camp facilities that can grow and shrink in size and location. Generally, we have ongoing operations at 1-2 larger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we expect to operate on a multi-year basis. Additionally, we have in our fleet that can operate at any time, five office complexes, eight mini-camps, and approximately 35 single and double occupancy drill camps. All of our camp facilities are owned and located on various sites throughout Western Canada.</w:t>
      </w:r>
    </w:p>
    <w:p>
      <w:pPr>
        <w:ind w:right="2060"/>
        <w:spacing w:after="0" w:line="417" w:lineRule="auto"/>
        <w:rPr>
          <w:sz w:val="20"/>
          <w:szCs w:val="20"/>
          <w:color w:val="auto"/>
        </w:rPr>
      </w:pPr>
      <w:r>
        <w:rPr>
          <w:rFonts w:ascii="Arial" w:cs="Arial" w:eastAsia="Arial" w:hAnsi="Arial"/>
          <w:sz w:val="18"/>
          <w:szCs w:val="18"/>
          <w:color w:val="auto"/>
        </w:rPr>
        <w:t xml:space="preserve">Sites for the larger facilities are generally leased, whereas sites for our smaller facilities are generally provided by our customers. </w:t>
      </w: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See Note 18, "Commitments and Contingencies," to our consolidated financial statements included in Item 8 of this report for a description of legal proceedings.</w:t>
      </w:r>
    </w:p>
    <w:p>
      <w:pPr>
        <w:spacing w:after="0" w:line="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18" w:right="2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common stock trades on the New York Stock Exchange (the "NYSE") under the symbol CLH. On February 15, 2019, there were 258 stockholders of record of our common stock, excluding stockholders whose shares were held in nominee, or "street," name. On our last record date, approximately 22,975 additional stockholders beneficially held shares in street name.</w:t>
      </w:r>
    </w:p>
    <w:p>
      <w:pPr>
        <w:spacing w:after="0" w:line="2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and payment of our outstanding debt, and for our stock repurchase program. In addition, our current credit agreement and indentures limit the amount we could pay as cash dividends on, or for repurchase of, our common stock. For additional information surrounding our stock repurchase program, see Note 15, "Stockholder's Equity," to our consolidated financial statements included in Item 8 of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Average Price Paid Per</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w w:val="96"/>
              </w:rPr>
              <w:t>Approximate Dollar Value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 Shares</w:t>
            </w:r>
          </w:p>
        </w:tc>
        <w:tc>
          <w:tcPr>
            <w:tcW w:w="182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5"/>
              </w:rPr>
              <w:t>of 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16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jc w:val="center"/>
              <w:ind w:right="376"/>
              <w:spacing w:after="0" w:line="149" w:lineRule="exact"/>
              <w:rPr>
                <w:sz w:val="20"/>
                <w:szCs w:val="20"/>
                <w:color w:val="auto"/>
              </w:rPr>
            </w:pPr>
            <w:r>
              <w:rPr>
                <w:rFonts w:ascii="Arial" w:cs="Arial" w:eastAsia="Arial" w:hAnsi="Arial"/>
                <w:sz w:val="14"/>
                <w:szCs w:val="14"/>
                <w:b w:val="1"/>
                <w:bCs w:val="1"/>
                <w:color w:val="auto"/>
                <w:w w:val="92"/>
              </w:rPr>
              <w:t>Share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240" w:type="dxa"/>
            <w:vAlign w:val="bottom"/>
          </w:tcPr>
          <w:p>
            <w:pPr>
              <w:spacing w:after="0"/>
              <w:rPr>
                <w:sz w:val="12"/>
                <w:szCs w:val="12"/>
                <w:color w:val="auto"/>
              </w:rPr>
            </w:pPr>
          </w:p>
        </w:tc>
        <w:tc>
          <w:tcPr>
            <w:tcW w:w="156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5"/>
              </w:rPr>
              <w:t>Purchased Under the</w:t>
            </w:r>
          </w:p>
        </w:tc>
        <w:tc>
          <w:tcPr>
            <w:tcW w:w="0" w:type="dxa"/>
            <w:vAlign w:val="bottom"/>
          </w:tcPr>
          <w:p>
            <w:pPr>
              <w:spacing w:after="0"/>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1620" w:type="dxa"/>
            <w:vAlign w:val="bottom"/>
          </w:tcPr>
          <w:p>
            <w:pPr>
              <w:jc w:val="right"/>
              <w:ind w:right="296"/>
              <w:spacing w:after="0"/>
              <w:rPr>
                <w:sz w:val="20"/>
                <w:szCs w:val="20"/>
                <w:color w:val="auto"/>
              </w:rPr>
            </w:pPr>
            <w:r>
              <w:rPr>
                <w:rFonts w:ascii="Arial" w:cs="Arial" w:eastAsia="Arial" w:hAnsi="Arial"/>
                <w:sz w:val="14"/>
                <w:szCs w:val="14"/>
                <w:b w:val="1"/>
                <w:bCs w:val="1"/>
                <w:color w:val="auto"/>
              </w:rPr>
              <w:t>Purchased (1)</w:t>
            </w:r>
          </w:p>
        </w:tc>
        <w:tc>
          <w:tcPr>
            <w:tcW w:w="480" w:type="dxa"/>
            <w:vAlign w:val="bottom"/>
          </w:tcPr>
          <w:p>
            <w:pPr>
              <w:spacing w:after="0"/>
              <w:rPr>
                <w:sz w:val="16"/>
                <w:szCs w:val="16"/>
                <w:color w:val="auto"/>
              </w:rPr>
            </w:pPr>
          </w:p>
        </w:tc>
        <w:tc>
          <w:tcPr>
            <w:tcW w:w="1340" w:type="dxa"/>
            <w:vAlign w:val="bottom"/>
          </w:tcPr>
          <w:p>
            <w:pPr>
              <w:jc w:val="center"/>
              <w:ind w:right="336"/>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240" w:type="dxa"/>
            <w:vAlign w:val="bottom"/>
          </w:tcPr>
          <w:p>
            <w:pPr>
              <w:spacing w:after="0"/>
              <w:rPr>
                <w:sz w:val="16"/>
                <w:szCs w:val="16"/>
                <w:color w:val="auto"/>
              </w:rPr>
            </w:pPr>
          </w:p>
        </w:tc>
        <w:tc>
          <w:tcPr>
            <w:tcW w:w="156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Plans or Programs (3)</w:t>
            </w: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2018 through October 31, 2018</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w:t>
            </w:r>
          </w:p>
        </w:tc>
        <w:tc>
          <w:tcPr>
            <w:tcW w:w="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70.89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317,571,511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November 1, 2018 through November 30, 2018</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164,559</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65.07</w:t>
            </w: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162,000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307,027,656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2018 through December 31, 2018</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21,520</w:t>
            </w:r>
          </w:p>
        </w:tc>
        <w:tc>
          <w:tcPr>
            <w:tcW w:w="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59.38</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16,000</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306,072,512</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189,079</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64.52</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178,000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306,072,512</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11,079 shares withheld by us from employees to satisfy employee tax obligations upon vesting of restricted shares granted under our long-term equity incentive programs.</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our stock repurchase program includes commissions paid to the brokers.</w:t>
      </w:r>
    </w:p>
    <w:p>
      <w:pPr>
        <w:spacing w:after="0" w:line="32" w:lineRule="exact"/>
        <w:rPr>
          <w:rFonts w:ascii="Arial" w:cs="Arial" w:eastAsia="Arial" w:hAnsi="Arial"/>
          <w:sz w:val="16"/>
          <w:szCs w:val="16"/>
          <w:color w:val="auto"/>
        </w:rPr>
      </w:pPr>
    </w:p>
    <w:p>
      <w:pPr>
        <w:ind w:left="660" w:right="60" w:hanging="328"/>
        <w:spacing w:after="0" w:line="28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board of directors has authorized the repurchase of up to $600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business plans, trading volume and other conditions. During April 2018, we implemented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CLEAN HARBORS,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NYSE COMPOSITE INDEX, S&amp;P MIDCAP 400 INDEX, REFUSE SYSTEMS AND CUSTOM PEER GROUP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following graph compares the five-year return from investing $100 in each of our common stock, the NYSE Composite Index, the S&amp;P Midcap 400 Index, and indices of comparable companies compiled by CoreData, consisting of companies whose listed line-of-business is SIC Code 4953 (refuse systems) and a custom peer group. We selected a peer group comprised of American Water Works Company, Inc., Casella Waste Systems, Inc., Civeo Corporation, Covanta Holding Corporation, Heritage-Crystal Clean, Inc., Iron Mountain Incorporated, Newpark Resources, Inc., Oil States International, Inc., Republic Services, Inc., Stericycle, Inc., Superior Energy Services, Inc., US Ecology, Inc., and Waste Management, Inc. The values illustrated assume reinvestment of dividends on the ex-dividend date and compares relative performance since a particular starting date. In this instance, the starting date was December 31, 2013, when our common stock closed at $59.96 per share.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165735</wp:posOffset>
            </wp:positionV>
            <wp:extent cx="5848985" cy="2521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following summary of consolidated financial information has been derived from the audited consolidated financial statements included in Item 8, "Financial Statements and Supplementary Data," of this report and in the annual reports we previously filed with the SEC. This information should be reviewed in conjunction with Item 7, "Management's Discussion and Analysis of Financial Condition and Results of Operations," and the financial statements and notes thereto included in Item 8, "Financial Statements and Supplementary Data," of this report.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rPr>
              <w:t>For the Year Ended December 31,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64"/>
        </w:trPr>
        <w:tc>
          <w:tcPr>
            <w:tcW w:w="46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2"/>
                <w:szCs w:val="2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w w:val="89"/>
              </w:rPr>
              <w:t>3,300,303</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2,944,978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2,755,226</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3,275,137</w:t>
            </w:r>
          </w:p>
        </w:tc>
        <w:tc>
          <w:tcPr>
            <w:tcW w:w="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3,401,636</w:t>
            </w:r>
          </w:p>
        </w:tc>
        <w:tc>
          <w:tcPr>
            <w:tcW w:w="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(1)</w:t>
            </w: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65,636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100,739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44,102</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(28,328)</w:t>
            </w:r>
          </w:p>
        </w:tc>
        <w:tc>
          <w:tcPr>
            <w:tcW w:w="80" w:type="dxa"/>
            <w:vAlign w:val="bottom"/>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Earnings (loss) per share: (1)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1"/>
                <w:szCs w:val="21"/>
                <w:color w:val="auto"/>
              </w:rPr>
            </w:pPr>
          </w:p>
        </w:tc>
      </w:tr>
      <w:tr>
        <w:trPr>
          <w:trHeight w:val="243"/>
        </w:trPr>
        <w:tc>
          <w:tcPr>
            <w:tcW w:w="46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1.16</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1.76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0.76</w:t>
            </w:r>
          </w:p>
        </w:tc>
        <w:tc>
          <w:tcPr>
            <w:tcW w:w="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 Financial Data:</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Adjusted EBITDA (2)</w:t>
            </w:r>
          </w:p>
        </w:tc>
        <w:tc>
          <w:tcPr>
            <w:tcW w:w="28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491,005</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425,657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400,354</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504,167</w:t>
            </w:r>
          </w:p>
        </w:tc>
        <w:tc>
          <w:tcPr>
            <w:tcW w:w="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521,919</w:t>
            </w:r>
          </w:p>
        </w:tc>
        <w:tc>
          <w:tcPr>
            <w:tcW w:w="80" w:type="dxa"/>
            <w:vAlign w:val="bottom"/>
          </w:tcPr>
          <w:p>
            <w:pPr>
              <w:spacing w:after="0"/>
              <w:rPr>
                <w:sz w:val="21"/>
                <w:szCs w:val="21"/>
                <w:color w:val="auto"/>
              </w:rPr>
            </w:pPr>
          </w:p>
        </w:tc>
      </w:tr>
      <w:tr>
        <w:trPr>
          <w:trHeight w:val="480"/>
        </w:trPr>
        <w:tc>
          <w:tcPr>
            <w:tcW w:w="4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2"/>
              </w:rPr>
              <w:t>At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64"/>
        </w:trPr>
        <w:tc>
          <w:tcPr>
            <w:tcW w:w="46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4"/>
              <w:spacing w:after="0"/>
              <w:rPr>
                <w:sz w:val="20"/>
                <w:szCs w:val="20"/>
                <w:color w:val="auto"/>
              </w:rPr>
            </w:pPr>
            <w:r>
              <w:rPr>
                <w:rFonts w:ascii="Arial" w:cs="Arial" w:eastAsia="Arial" w:hAnsi="Arial"/>
                <w:sz w:val="18"/>
                <w:szCs w:val="18"/>
                <w:color w:val="auto"/>
              </w:rPr>
              <w:t>3,738,321</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3,706,570</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w w:val="89"/>
              </w:rPr>
              <w:t>3,681,920</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3,431,428</w:t>
            </w:r>
          </w:p>
        </w:tc>
        <w:tc>
          <w:tcPr>
            <w:tcW w:w="40" w:type="dxa"/>
            <w:vAlign w:val="bottom"/>
          </w:tcPr>
          <w:p>
            <w:pPr>
              <w:spacing w:after="0"/>
              <w:rPr>
                <w:sz w:val="21"/>
                <w:szCs w:val="21"/>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3,689,423</w:t>
            </w:r>
          </w:p>
        </w:tc>
        <w:tc>
          <w:tcPr>
            <w:tcW w:w="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(including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1,572,556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1,629,537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1,633,272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1,382,543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1,380,681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980" w:type="dxa"/>
            <w:vAlign w:val="bottom"/>
            <w:gridSpan w:val="3"/>
          </w:tcPr>
          <w:p>
            <w:pPr>
              <w:jc w:val="right"/>
              <w:ind w:right="14"/>
              <w:spacing w:after="0"/>
              <w:rPr>
                <w:sz w:val="20"/>
                <w:szCs w:val="20"/>
                <w:color w:val="auto"/>
              </w:rPr>
            </w:pPr>
            <w:r>
              <w:rPr>
                <w:rFonts w:ascii="Arial" w:cs="Arial" w:eastAsia="Arial" w:hAnsi="Arial"/>
                <w:sz w:val="18"/>
                <w:szCs w:val="18"/>
                <w:color w:val="auto"/>
              </w:rPr>
              <w:t>1,169,756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1,188,202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w w:val="89"/>
              </w:rPr>
              <w:t>1,084,241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1,096,282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1,262,871</w:t>
            </w:r>
          </w:p>
        </w:tc>
        <w:tc>
          <w:tcPr>
            <w:tcW w:w="80" w:type="dxa"/>
            <w:vAlign w:val="bottom"/>
          </w:tcPr>
          <w:p>
            <w:pPr>
              <w:spacing w:after="0"/>
              <w:rPr>
                <w:sz w:val="21"/>
                <w:szCs w:val="2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ind w:left="660" w:right="20" w:hanging="328"/>
        <w:spacing w:after="0" w:line="25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2018 results include a $2.5 million pre-tax loss on early extinguishment of debt. The 2017 results include a net benefit of $93.0 million resulting from impacts of the tax law changes enacted in December of 2017, a $7.9 million pre-tax loss on early extinguishment of debt and a $30.7 million pre-tax gain on the sale of a non-core line of business within our Environmental Services segment. The 2016 results include a $34.0 million goodwill impairment charge and a $16.9 million pre-tax gain on the sale of a non-core line of business within our Environmental Services segment. The 2015 results include a $32.0 million goodwill impairment charge in our Environmental Services segment, and the 2014 results include a $123.4 million goodwill impairment charge in our Kleen Performance Products reporting unit. In 2016, we did not record any income tax benefit as a result of the goodwill impairment charge. In 2015 and 2014, we recorded income tax benefits of $2.0 million and $2.7 million, respectively, as a result of the goodwill impairment charges.</w:t>
      </w:r>
    </w:p>
    <w:p>
      <w:pPr>
        <w:spacing w:after="0" w:line="83"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following is a reconciliation of net income (loss) to Adjusted EBITDA for the following periods (in thousands). See additional information regarding this non-GAAP measure under the heading </w:t>
      </w:r>
      <w:r>
        <w:rPr>
          <w:rFonts w:ascii="Arial" w:cs="Arial" w:eastAsia="Arial" w:hAnsi="Arial"/>
          <w:sz w:val="18"/>
          <w:szCs w:val="18"/>
          <w:i w:val="1"/>
          <w:iCs w:val="1"/>
          <w:color w:val="auto"/>
        </w:rPr>
        <w:t>"Adjusted EBITDA"</w:t>
      </w:r>
      <w:r>
        <w:rPr>
          <w:rFonts w:ascii="Arial" w:cs="Arial" w:eastAsia="Arial" w:hAnsi="Arial"/>
          <w:sz w:val="18"/>
          <w:szCs w:val="18"/>
          <w:color w:val="auto"/>
        </w:rPr>
        <w:t xml:space="preserve"> in Item 7, "Management's Discussion and Analysis of Financial Condition and Results of Operations," of this report.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2015</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(39,873)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44,102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9,806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10,177</w:t>
            </w:r>
          </w:p>
        </w:tc>
        <w:tc>
          <w:tcPr>
            <w:tcW w:w="46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10,402</w:t>
            </w: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10,612</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287,002</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2"/>
              </w:rPr>
              <w:t>274,194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276,083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34,013</w:t>
            </w:r>
          </w:p>
        </w:tc>
        <w:tc>
          <w:tcPr>
            <w:tcW w:w="46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31,992</w:t>
            </w: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123,414</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(6,195)</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(16,884)</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81,094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85,808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83,525</w:t>
            </w:r>
          </w:p>
        </w:tc>
        <w:tc>
          <w:tcPr>
            <w:tcW w:w="46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76,553</w:t>
            </w: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77,668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48,589</w:t>
            </w: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65,544</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66,850</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491,005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425,657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400,354</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2"/>
              </w:rPr>
              <w:t>504,167</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521,919</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right="1260"/>
        <w:spacing w:after="0" w:line="43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Overview</w:t>
      </w:r>
    </w:p>
    <w:p>
      <w:pPr>
        <w:spacing w:after="0" w:line="32"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 are North America’s leading provider of environmental, energy and industrial services.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84"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During the first quarter of fiscal year 2018, certain of our businesses undertook a reorganization which included changes to the underlying business and management structures. The reorganization resulted in combining the Environmental Services businesses from an operational and management perspective, deepening customer relationships and allowing for efficiencies across our operations through the sharing of resources, namely labor and equipment, which will reduce third party spending and promote cross selling of our business offerings. In connection with this reorganization, our chief operating decision maker requested changes in the information that he regularly reviews for purposes of allocating resources and assessing performance. These changes required a reconsideration of our operating segments in the first quarter of 2018 and resulted in a change in our assessment of our operating segments. We concluded that there are now two operating segments for disclosure purposes</w:t>
      </w:r>
      <w:r>
        <w:rPr>
          <w:rFonts w:ascii="Arial" w:cs="Arial" w:eastAsia="Arial" w:hAnsi="Arial"/>
          <w:sz w:val="16"/>
          <w:szCs w:val="16"/>
          <w:i w:val="1"/>
          <w:iCs w:val="1"/>
          <w:color w:val="auto"/>
        </w:rPr>
        <w:t>;</w:t>
      </w:r>
      <w:r>
        <w:rPr>
          <w:rFonts w:ascii="Arial" w:cs="Arial" w:eastAsia="Arial" w:hAnsi="Arial"/>
          <w:sz w:val="16"/>
          <w:szCs w:val="16"/>
          <w:color w:val="auto"/>
        </w:rPr>
        <w:t xml:space="preserve"> (i) the Environmental Services segment which consists of our historical Technical Services, Industrial Services, Field Services and Oil, Gas and Lodging businesses, and (ii) the Safety-Kleen segment.</w:t>
      </w:r>
    </w:p>
    <w:p>
      <w:pPr>
        <w:spacing w:after="0" w:line="85" w:lineRule="exact"/>
        <w:rPr>
          <w:sz w:val="20"/>
          <w:szCs w:val="20"/>
          <w:color w:val="auto"/>
        </w:rPr>
      </w:pPr>
    </w:p>
    <w:p>
      <w:pPr>
        <w:ind w:right="480" w:firstLine="405"/>
        <w:spacing w:after="0" w:line="312"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43" w:lineRule="exact"/>
        <w:rPr>
          <w:sz w:val="20"/>
          <w:szCs w:val="20"/>
          <w:color w:val="auto"/>
        </w:rPr>
      </w:pPr>
    </w:p>
    <w:p>
      <w:pPr>
        <w:ind w:left="980" w:hanging="324"/>
        <w:spacing w:after="0" w:line="290"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waste volumes generated by them and project work for which waste handling and/or disposal is required. In managing the business and evaluating performance, management tracks the volumes and average price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competition and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oil spills, natural disasters or other events where immediate and specialized services are required.</w:t>
      </w:r>
    </w:p>
    <w:p>
      <w:pPr>
        <w:spacing w:after="0" w:line="173" w:lineRule="exact"/>
        <w:rPr>
          <w:rFonts w:ascii="Arial" w:cs="Arial" w:eastAsia="Arial" w:hAnsi="Arial"/>
          <w:sz w:val="16"/>
          <w:szCs w:val="16"/>
          <w:color w:val="auto"/>
        </w:rPr>
      </w:pPr>
    </w:p>
    <w:p>
      <w:pPr>
        <w:ind w:left="980" w:right="60" w:hanging="324"/>
        <w:spacing w:after="0" w:line="284"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Safety-Kleen - </w:t>
      </w:r>
      <w:r>
        <w:rPr>
          <w:rFonts w:ascii="Arial" w:cs="Arial" w:eastAsia="Arial" w:hAnsi="Arial"/>
          <w:sz w:val="17"/>
          <w:szCs w:val="17"/>
          <w:color w:val="auto"/>
        </w:rPr>
        <w:t>Safety-Kleen segment results are impacted by an array of core service offerings that serve to attract small quantity waste</w:t>
      </w:r>
      <w:r>
        <w:rPr>
          <w:rFonts w:ascii="Arial" w:cs="Arial" w:eastAsia="Arial" w:hAnsi="Arial"/>
          <w:sz w:val="17"/>
          <w:szCs w:val="17"/>
          <w:b w:val="1"/>
          <w:bCs w:val="1"/>
          <w:color w:val="auto"/>
        </w:rPr>
        <w:t xml:space="preserve"> </w:t>
      </w:r>
      <w:r>
        <w:rPr>
          <w:rFonts w:ascii="Arial" w:cs="Arial" w:eastAsia="Arial" w:hAnsi="Arial"/>
          <w:sz w:val="17"/>
          <w:szCs w:val="17"/>
          <w:color w:val="auto"/>
        </w:rPr>
        <w:t>producers as customers and integrate them into the Clean Harbors waste network. Core service offerings include parts washer services, containerized waste services, vac services, used motor oil collection and sale of base and blended oil products as well as complementary products including automotive related fluids and shop supplies. Key performance indicators tracked by management relative to these services include the number of parts washer services performed and used motor oil and waste volumes collected. Results from these services are primarily driven by the overall number of parts washers placed at customer sites and volumes of waste collected. These factors can be impacted by overall economic conditions in the marketplace, especially in the automotive related area. Safety-Kleen offers high quality base and blended oil products to end users including fleet customers, distributors and manufacturers of oil products. Relative to these oil related products, management tracks the Company's volumes and relative percentages of base and blended oil sales along with various pricing metrics associated with the commodity driven marketplace. The segment's results are significantly impacted by the overall market pricing and product mix associated with base and blended oil products and, more specifically, the market prices of Group II base oils, which historically have correlated with overall crude oil prices. Costs incurred in connection with the collection of used oils and other raw materials associated with the segment’s oil related products can also be volatile. The implementation of our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closed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loop initiative resulting in the sale of our renewable oil products directly to our end customers will also impact future operating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4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Total revenues for 2018 increased 12.1% to $3.3 billion, compared with $2.9 billion in 2017. Our Environmental Services segment increased direct revenues $283.7 million in 2018 compared with 2017 due to incremental revenues resulting from our recent acquisitions, primarily the Veolia Business in the first quarter of 2018, as well as improved average pricing driven by a more profitable mix of waste streams handled by the business. Direct revenues recorded by Safety-Kleen increased $73.4 million in 2018 as compared to 2017 as a result of improved pricing conditions related to our renewable oil products and continued growth across Safety-Kleen’s core service offerings and our direct lubricant sales. The fluctuation of the Canadian dollar minimally impacted our consolidated revenues in 2018 as compared to 2017.</w:t>
      </w:r>
    </w:p>
    <w:p>
      <w:pPr>
        <w:spacing w:after="0" w:line="11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 xml:space="preserve">Income from operations in 2018 was $182.6 million, compared with $127.8 million in 2017. We reported net income in 2018 and 2017 of $65.6 million and $100.7 million, respectively. Net income in 2017 included a $93.0 million net benefit recorded as a component of income tax expense which resulted from impacts of tax reform law changes which were signed into law in December 2017. Adjusted EBITDA, which is the primary financial measure by which our segments are evaluated, increased 15.4% to $491.0 million in 2018 from $425.7 million in 2017. The increased level of Adjusted EBITDA in 2018 was primarily attributable to higher revenue amounts as described above, which provided improved operating margins from leveraging our existing infrastructure network and additional benefits from the reorganization undertaken in the Environmental Services segment which occurred in the first quarter of 2018. Additional information regarding Adjusted EBITDA, which is a non-GAAP measure, including a reconciliation of Adjusted EBITDA to net income (loss), appears below under </w:t>
      </w:r>
      <w:r>
        <w:rPr>
          <w:rFonts w:ascii="Arial" w:cs="Arial" w:eastAsia="Arial" w:hAnsi="Arial"/>
          <w:sz w:val="18"/>
          <w:szCs w:val="18"/>
          <w:i w:val="1"/>
          <w:iCs w:val="1"/>
          <w:color w:val="auto"/>
        </w:rPr>
        <w:t>"Adjusted EBITDA."</w:t>
      </w:r>
    </w:p>
    <w:p>
      <w:pPr>
        <w:spacing w:after="0" w:line="138"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Net cash from operating activities for 2018 was $373.2 million, an increase of $87.5 million from 2017. Adjusted free cash flow, which management uses to measure our financial strength and ability to generate cash, was $195.3 million in 2018, which represented a $55.1 million increase over 2017 primarily due to greater levels of operating income, lower interest payments and a reduction in environmental expenditures, offset by higher working capital levels and capital spending. Additional information regarding adjusted free cash flow, which is a non-GAAP measure, including a reconciliation of adjusted free cash flow to net cash from operating activities, appears below under "</w:t>
      </w:r>
      <w:r>
        <w:rPr>
          <w:rFonts w:ascii="Arial" w:cs="Arial" w:eastAsia="Arial" w:hAnsi="Arial"/>
          <w:sz w:val="17"/>
          <w:szCs w:val="17"/>
          <w:i w:val="1"/>
          <w:iCs w:val="1"/>
          <w:color w:val="auto"/>
        </w:rPr>
        <w:t>Adjusted Free Cash Flow</w:t>
      </w:r>
      <w:r>
        <w:rPr>
          <w:rFonts w:ascii="Arial" w:cs="Arial" w:eastAsia="Arial" w:hAnsi="Arial"/>
          <w:sz w:val="17"/>
          <w:szCs w:val="17"/>
          <w:color w:val="auto"/>
        </w:rPr>
        <w:t>."</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18" w:right="2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Performance</w:t>
      </w:r>
    </w:p>
    <w:p>
      <w:pPr>
        <w:spacing w:after="0" w:line="12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primary financial measure by which we evaluate the performance of our segments is Adjusted EBITDA. The following table sets forth certain financial information associated with our results of operations for the years ended December 31, 2018, 2017 and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gridSpan w:val="7"/>
          </w:tcPr>
          <w:p>
            <w:pPr>
              <w:ind w:left="120"/>
              <w:spacing w:after="0"/>
              <w:rPr>
                <w:sz w:val="20"/>
                <w:szCs w:val="20"/>
                <w:color w:val="auto"/>
              </w:rPr>
            </w:pPr>
            <w:r>
              <w:rPr>
                <w:rFonts w:ascii="Arial" w:cs="Arial" w:eastAsia="Arial" w:hAnsi="Arial"/>
                <w:sz w:val="16"/>
                <w:szCs w:val="16"/>
                <w:b w:val="1"/>
                <w:bCs w:val="1"/>
                <w:color w:val="auto"/>
              </w:rPr>
              <w:t>Summary of Operations (in thousands)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4"/>
          </w:tcPr>
          <w:p>
            <w:pPr>
              <w:ind w:left="500"/>
              <w:spacing w:after="0"/>
              <w:rPr>
                <w:sz w:val="20"/>
                <w:szCs w:val="20"/>
                <w:color w:val="auto"/>
              </w:rPr>
            </w:pPr>
            <w:r>
              <w:rPr>
                <w:rFonts w:ascii="Arial" w:cs="Arial" w:eastAsia="Arial" w:hAnsi="Arial"/>
                <w:sz w:val="16"/>
                <w:szCs w:val="16"/>
                <w:b w:val="1"/>
                <w:bCs w:val="1"/>
                <w:color w:val="auto"/>
              </w:rPr>
              <w:t>2018 over 2017</w:t>
            </w:r>
          </w:p>
        </w:tc>
        <w:tc>
          <w:tcPr>
            <w:tcW w:w="280" w:type="dxa"/>
            <w:vAlign w:val="bottom"/>
          </w:tcPr>
          <w:p>
            <w:pPr>
              <w:spacing w:after="0"/>
              <w:rPr>
                <w:sz w:val="23"/>
                <w:szCs w:val="23"/>
                <w:color w:val="auto"/>
              </w:rPr>
            </w:pPr>
          </w:p>
        </w:tc>
        <w:tc>
          <w:tcPr>
            <w:tcW w:w="19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2017 over 2016</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 Change</w:t>
            </w:r>
          </w:p>
        </w:tc>
        <w:tc>
          <w:tcPr>
            <w:tcW w:w="1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2,141,194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1,857,474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1,758,833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283,720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98,641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1,161,282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1,087,886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73,396</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91,803</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(1,791)</w:t>
            </w:r>
          </w:p>
        </w:tc>
        <w:tc>
          <w:tcPr>
            <w:tcW w:w="12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3,300,303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2,944,978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2,755,226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355,325</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189,752</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50"/>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1,576,705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1,373,789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1,287,629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202,916</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86,160</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725,734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690,344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645,275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35,390</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45,069</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16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2,305,551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2,062,673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5"/>
              </w:rPr>
              <w:t>1,932,857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242,878</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129,816</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and Administrative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183,633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162,375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152,129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21,258</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10,246</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5,788</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16,469</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166,595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146,542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138,624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20,053</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7,918</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456,648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47,099</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34,633</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7"/>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59,546</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282,029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249,811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219,546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32,218</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30,265</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(171,880)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(26,416)</w:t>
            </w:r>
          </w:p>
        </w:tc>
        <w:tc>
          <w:tcPr>
            <w:tcW w:w="12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(7,197)</w:t>
            </w:r>
          </w:p>
        </w:tc>
        <w:tc>
          <w:tcPr>
            <w:tcW w:w="12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4"/>
        </w:trPr>
        <w:tc>
          <w:tcPr>
            <w:tcW w:w="316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491,005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425,657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400,354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65,348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15.4 %</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25,303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w w:val="89"/>
              </w:rPr>
              <w:t>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N/M = not meaningful</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There are many factors which have impacted and continue to impact our revenues. These factors include, but are not limited to: overall industrial activity and growth in North America, existence or non-existence of large scale environmental waste and remediation projects, competitive industry pricing, impacts of acquisitions and divestitures, the level of emergency response projects, general conditions of the energy related industries, base and blended oil pricing, market changes relative to the collection of used oil, the number of parts washers placed at customer sites and foreign currency translation. In addition, customer efforts to minimalize hazardous waste and changes in regulation can also impact our revenues.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89"/>
              </w:rPr>
              <w:t>For the years ended December 31,</w:t>
            </w:r>
          </w:p>
        </w:tc>
        <w:tc>
          <w:tcPr>
            <w:tcW w:w="240" w:type="dxa"/>
            <w:vAlign w:val="bottom"/>
          </w:tcPr>
          <w:p>
            <w:pPr>
              <w:spacing w:after="0"/>
              <w:rPr>
                <w:sz w:val="18"/>
                <w:szCs w:val="18"/>
                <w:color w:val="auto"/>
              </w:rPr>
            </w:pPr>
          </w:p>
        </w:tc>
        <w:tc>
          <w:tcPr>
            <w:tcW w:w="2780" w:type="dxa"/>
            <w:vAlign w:val="bottom"/>
            <w:gridSpan w:val="5"/>
          </w:tcPr>
          <w:p>
            <w:pPr>
              <w:jc w:val="right"/>
              <w:ind w:right="1160"/>
              <w:spacing w:after="0"/>
              <w:rPr>
                <w:sz w:val="20"/>
                <w:szCs w:val="20"/>
                <w:color w:val="auto"/>
              </w:rPr>
            </w:pPr>
            <w:r>
              <w:rPr>
                <w:rFonts w:ascii="Arial" w:cs="Arial" w:eastAsia="Arial" w:hAnsi="Arial"/>
                <w:sz w:val="16"/>
                <w:szCs w:val="16"/>
                <w:b w:val="1"/>
                <w:bCs w:val="1"/>
                <w:color w:val="auto"/>
              </w:rPr>
              <w:t>2018 over 2017</w:t>
            </w:r>
          </w:p>
        </w:tc>
        <w:tc>
          <w:tcPr>
            <w:tcW w:w="2440" w:type="dxa"/>
            <w:vAlign w:val="bottom"/>
            <w:gridSpan w:val="3"/>
          </w:tcPr>
          <w:p>
            <w:pPr>
              <w:jc w:val="right"/>
              <w:ind w:right="736"/>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1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9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1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20" w:type="dxa"/>
            <w:vAlign w:val="bottom"/>
          </w:tcPr>
          <w:p>
            <w:pPr>
              <w:jc w:val="right"/>
              <w:ind w:right="516"/>
              <w:spacing w:after="0"/>
              <w:rPr>
                <w:sz w:val="20"/>
                <w:szCs w:val="20"/>
                <w:color w:val="auto"/>
              </w:rPr>
            </w:pPr>
            <w:r>
              <w:rPr>
                <w:rFonts w:ascii="Arial" w:cs="Arial" w:eastAsia="Arial" w:hAnsi="Arial"/>
                <w:sz w:val="16"/>
                <w:szCs w:val="16"/>
                <w:b w:val="1"/>
                <w:bCs w:val="1"/>
                <w:color w:val="auto"/>
              </w:rPr>
              <w:t>%</w:t>
            </w:r>
          </w:p>
        </w:tc>
      </w:tr>
      <w:tr>
        <w:trPr>
          <w:trHeight w:val="210"/>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Change</w:t>
            </w:r>
          </w:p>
        </w:tc>
        <w:tc>
          <w:tcPr>
            <w:tcW w:w="16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Change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1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2,141,194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1,857,474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1,758,833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283,720</w:t>
            </w:r>
          </w:p>
        </w:tc>
        <w:tc>
          <w:tcPr>
            <w:tcW w:w="12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  $</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98,641</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1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Environmental Services direct revenues for the year ended December 31, 2018 increased $283.7 million from the comparable period in 2017. Included in the current year revenues was $154.0 million of direct revenues from the Veolia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Business, which we acquired on February 23, 2018. Excluding the impacts from the Veolia Business, Environmental Services direct revenue increased $129.5 million primarily due to greater levels of activity at our sales and service branches and increased levels of disposal related revenues from improved pricing conditions and mix associated with waste streams at our incinerators in 2018. For the year ended December 31, 2018, landfill volumes increased slightly as compared to 2017. The utilization rate at our incinerator facilities was 86.7% for the year ended December 31, 2018, as compared to 87.6% for the year ended December 31, 2017. The decrease in utilization rates in 2018 was impacted by a slightly higher number of down days at our facilities during 2018; however, impacts on the profitability of the business from an increase in down days was more than offset by improved pricing conditions and an increase in volumes of higher margin waste streams received in 2018. The impact of foreign currency translation on our Canadian operations within the Environmental Services segment was minimal in the year ended December 31, 2018 as compared to 2017.</w:t>
      </w:r>
    </w:p>
    <w:p>
      <w:pPr>
        <w:spacing w:after="0" w:line="98" w:lineRule="exact"/>
        <w:rPr>
          <w:sz w:val="20"/>
          <w:szCs w:val="20"/>
          <w:color w:val="auto"/>
        </w:rPr>
      </w:pPr>
    </w:p>
    <w:p>
      <w:pPr>
        <w:ind w:right="100" w:firstLine="405"/>
        <w:spacing w:after="0" w:line="285" w:lineRule="auto"/>
        <w:rPr>
          <w:sz w:val="20"/>
          <w:szCs w:val="20"/>
          <w:color w:val="auto"/>
        </w:rPr>
      </w:pPr>
      <w:r>
        <w:rPr>
          <w:rFonts w:ascii="Arial" w:cs="Arial" w:eastAsia="Arial" w:hAnsi="Arial"/>
          <w:sz w:val="16"/>
          <w:szCs w:val="16"/>
          <w:color w:val="auto"/>
        </w:rPr>
        <w:t>Environmental Services direct revenues for the year ended December 31, 2017 increased $98.6 million from the comparable period in 2016. Excluding the impacts from divestiture and acquisition activity having occurred in 2016 and 2017, Environmental Services revenues increased $142.1 million from the comparable period in 2016 primarily due to greater levels of activity at our sales and service branches, increased revenues associated with waste projects and higher waste volumes disposed of in our incinerators and landfills from improving economic conditions and business initiatives focused on waste volumes. For the year ended December 31, 2017, landfill volumes increased 12.1% from the comparable period in 2016. The utilization rate at our incinerators was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87.6% on a practical capacity of 561,721 tons for the year ended December 31, 2017, compared with 88.8% on a practical capacity of 491,721 tons in 2016. The increase in practical capacity was the result of the start-up of our waste incinerator at our El Dorado, Arkansas facility, which came online in the first quarter of 2017 and added 70,000 tons of capacity to our network. Inclusive in the year-over-year changes within this segment was also the positive impact of foreign currency translation on our Canadian operations of approximately $8.3 million for the year ended December 31, 2017 from the comparable period in 2016.</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6"/>
          </w:tcPr>
          <w:p>
            <w:pPr>
              <w:jc w:val="center"/>
              <w:ind w:left="476"/>
              <w:spacing w:after="0"/>
              <w:rPr>
                <w:sz w:val="20"/>
                <w:szCs w:val="20"/>
                <w:color w:val="auto"/>
              </w:rPr>
            </w:pPr>
            <w:r>
              <w:rPr>
                <w:rFonts w:ascii="Arial" w:cs="Arial" w:eastAsia="Arial" w:hAnsi="Arial"/>
                <w:sz w:val="16"/>
                <w:szCs w:val="16"/>
                <w:b w:val="1"/>
                <w:bCs w:val="1"/>
                <w:color w:val="auto"/>
                <w:w w:val="90"/>
              </w:rPr>
              <w:t>For the years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5"/>
          </w:tcPr>
          <w:p>
            <w:pPr>
              <w:jc w:val="right"/>
              <w:ind w:right="1160"/>
              <w:spacing w:after="0"/>
              <w:rPr>
                <w:sz w:val="20"/>
                <w:szCs w:val="20"/>
                <w:color w:val="auto"/>
              </w:rPr>
            </w:pPr>
            <w:r>
              <w:rPr>
                <w:rFonts w:ascii="Arial" w:cs="Arial" w:eastAsia="Arial" w:hAnsi="Arial"/>
                <w:sz w:val="16"/>
                <w:szCs w:val="16"/>
                <w:b w:val="1"/>
                <w:bCs w:val="1"/>
                <w:color w:val="auto"/>
              </w:rPr>
              <w:t>2018 over 2017</w:t>
            </w:r>
          </w:p>
        </w:tc>
        <w:tc>
          <w:tcPr>
            <w:tcW w:w="2440" w:type="dxa"/>
            <w:vAlign w:val="bottom"/>
            <w:gridSpan w:val="3"/>
          </w:tcPr>
          <w:p>
            <w:pPr>
              <w:jc w:val="right"/>
              <w:ind w:right="736"/>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1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1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1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20" w:type="dxa"/>
            <w:vAlign w:val="bottom"/>
          </w:tcPr>
          <w:p>
            <w:pPr>
              <w:jc w:val="right"/>
              <w:ind w:right="516"/>
              <w:spacing w:after="0"/>
              <w:rPr>
                <w:sz w:val="20"/>
                <w:szCs w:val="20"/>
                <w:color w:val="auto"/>
              </w:rPr>
            </w:pPr>
            <w:r>
              <w:rPr>
                <w:rFonts w:ascii="Arial" w:cs="Arial" w:eastAsia="Arial" w:hAnsi="Arial"/>
                <w:sz w:val="16"/>
                <w:szCs w:val="16"/>
                <w:b w:val="1"/>
                <w:bCs w:val="1"/>
                <w:color w:val="auto"/>
              </w:rPr>
              <w:t>%</w:t>
            </w:r>
          </w:p>
        </w:tc>
      </w:tr>
      <w:tr>
        <w:trPr>
          <w:trHeight w:val="210"/>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394"/>
              <w:spacing w:after="0"/>
              <w:rPr>
                <w:sz w:val="20"/>
                <w:szCs w:val="20"/>
                <w:color w:val="auto"/>
              </w:rPr>
            </w:pPr>
            <w:r>
              <w:rPr>
                <w:rFonts w:ascii="Arial" w:cs="Arial" w:eastAsia="Arial" w:hAnsi="Arial"/>
                <w:sz w:val="16"/>
                <w:szCs w:val="16"/>
                <w:b w:val="1"/>
                <w:bCs w:val="1"/>
                <w:color w:val="auto"/>
                <w:w w:val="84"/>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6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Change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1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1,161,282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1,087,886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996,083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73,396</w:t>
            </w:r>
          </w:p>
        </w:tc>
        <w:tc>
          <w:tcPr>
            <w:tcW w:w="12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  $</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91,803</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1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Safety-Kleen direct revenues for the year ended December 31, 2018 increased $73.4 million from the comparable period in 2017 primarily due to more favorable pricing on oil products and growth in the business’ core service offerings. Revenues generated through our core service offerings such as handling of containerized waste and vac services, parts washer services as well as sales of automotive and industrial cleaning products accounted for $21.3 million of incremental revenues. Increased base and blended volumes and oil pricing accounted for $34.7 million of incremental direct revenue from the comparable period in 2017. Sales of contract packaging and blending services, specialty refinery products and recycled fuel oil also increased by $38.9 million from the comparable period in 2017. These increases were partially offset by a decrease in used motor oil collection revenues of $19.5 million as market pricing for these services was negatively impacted as crude oil prices generally rose throughout the earlier parts of 2018. The impact of foreign currency translation on our Canadian operations within the Safety-Kleen segment was minimal in the year ended December 31, 2018 as compared to 2017.</w:t>
      </w:r>
    </w:p>
    <w:p>
      <w:pPr>
        <w:spacing w:after="0" w:line="166" w:lineRule="exact"/>
        <w:rPr>
          <w:sz w:val="20"/>
          <w:szCs w:val="20"/>
          <w:color w:val="auto"/>
        </w:rPr>
      </w:pPr>
    </w:p>
    <w:p>
      <w:pPr>
        <w:ind w:right="340" w:firstLine="405"/>
        <w:spacing w:after="0" w:line="273" w:lineRule="auto"/>
        <w:rPr>
          <w:sz w:val="20"/>
          <w:szCs w:val="20"/>
          <w:color w:val="auto"/>
        </w:rPr>
      </w:pPr>
      <w:r>
        <w:rPr>
          <w:rFonts w:ascii="Arial" w:cs="Arial" w:eastAsia="Arial" w:hAnsi="Arial"/>
          <w:sz w:val="17"/>
          <w:szCs w:val="17"/>
          <w:color w:val="auto"/>
        </w:rPr>
        <w:t>Safety-Kleen direct revenues for the year ended December 31, 2017 increased $91.8 million from the comparable period in 2016. This increase was derived from more favorable pricing on oil products, incremental revenues from acquisitions and growth in the business. Increased base and blended oil pricing and volumes accounted for $87.2 million of incremental direct revenue from the comparable period in 2016. This increase was partially offset by lower revenue of $15.6 million from a decrease in prices charged for used motor oil collection in 2017. Inclusive in the year-over-year changes within the Safety-Kleen segment was also the positive impact of foreign currency translation on our Canadian operations of approximately $2.8 million in the year ended December 31, 2017 from the comparable period in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8"/>
          </w:tcPr>
          <w:p>
            <w:pPr>
              <w:ind w:left="66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2018 over 2017</w:t>
            </w:r>
          </w:p>
        </w:tc>
        <w:tc>
          <w:tcPr>
            <w:tcW w:w="2080" w:type="dxa"/>
            <w:vAlign w:val="bottom"/>
            <w:gridSpan w:val="3"/>
          </w:tcPr>
          <w:p>
            <w:pPr>
              <w:jc w:val="right"/>
              <w:ind w:right="534"/>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6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r>
      <w:tr>
        <w:trPr>
          <w:trHeight w:val="210"/>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52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right"/>
              <w:ind w:right="174"/>
              <w:spacing w:after="0"/>
              <w:rPr>
                <w:sz w:val="20"/>
                <w:szCs w:val="20"/>
                <w:color w:val="auto"/>
              </w:rPr>
            </w:pPr>
            <w:r>
              <w:rPr>
                <w:rFonts w:ascii="Arial" w:cs="Arial" w:eastAsia="Arial" w:hAnsi="Arial"/>
                <w:sz w:val="16"/>
                <w:szCs w:val="16"/>
                <w:b w:val="1"/>
                <w:bCs w:val="1"/>
                <w:color w:val="auto"/>
              </w:rPr>
              <w:t>Change</w:t>
            </w:r>
          </w:p>
        </w:tc>
      </w:tr>
      <w:tr>
        <w:trPr>
          <w:trHeight w:val="33"/>
        </w:trPr>
        <w:tc>
          <w:tcPr>
            <w:tcW w:w="2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1,576,705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1,373,789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1,287,629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202,916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14.8 %  $</w:t>
            </w:r>
          </w:p>
        </w:tc>
        <w:tc>
          <w:tcPr>
            <w:tcW w:w="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86,160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31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Environmental Services cost of revenues for the year ended December 31, 2018 increased $202.9 million from the comparable period in 2017. The acquired Veolia Business had cost of revenues of $131.2 million in the year ended December 31, 2018. Excluding these costs, Environmental Services cost of revenues for the year ended December 31, 2018 increased $71.7 million primarily due to increases in labor related costs of $45.4 million, transportation, disposal and fuel costs of $16.2 million and equipment, supply and various other expenses of $10.0 million. The incremental operating costs were commensurate with greater activity levels in 2018 and overall inflationary pressure across several cost categories including certain commodity supplies such as fuel and other supplies. Costs as a percentage of direct revenues decreased slightly over the comparable period of 2017, which can be attributed to a more favorable mix of waste streams in our incineration network which increased profitability.</w:t>
      </w:r>
    </w:p>
    <w:p>
      <w:pPr>
        <w:spacing w:after="0" w:line="9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Environmental Services cost of revenues for the year ended December 31, 2017 increased $86.2 million from the comparable period in 2016. Excluding the impacts from divestitures, Environmental Services cost of revenues for the year ended December 31, 2017 increased $133.0 million from the comparable period in 2016 primarily due to increases in labor and subcontractor related costs of $59.9 million, equipment and supply costs of $46.6 million, and transportation, disposal and fuel costs of $28.4 million, partially offset by $1.9 million of reductions across various expense categories. The incremental operating costs were primarily driven by the El Dorado incinerator which came online in early 2017 and its relevant start-up activities, higher down days across our network associated with the hurricanes that impacted the gulf region of the U.S. in 2017 and overall increased economic activity. The higher concentration of lower margin waste in our incineration network decreased profitability as we focused on driving network utilization in response to the increased capacity. Continued pricing pressures felt in 2017 in the industries in which we operate and integration costs also contributed to the increase in cost of revenues as a percentage of direct revenue from the comparable period in 2016.</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8"/>
          </w:tcPr>
          <w:p>
            <w:pPr>
              <w:ind w:left="46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6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2018 over 2017</w:t>
            </w:r>
          </w:p>
        </w:tc>
        <w:tc>
          <w:tcPr>
            <w:tcW w:w="2240" w:type="dxa"/>
            <w:vAlign w:val="bottom"/>
            <w:gridSpan w:val="3"/>
          </w:tcPr>
          <w:p>
            <w:pPr>
              <w:jc w:val="right"/>
              <w:ind w:right="614"/>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54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jc w:val="right"/>
              <w:ind w:right="25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725,734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690,344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645,275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35,390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5.1 %  $</w:t>
            </w:r>
          </w:p>
        </w:tc>
        <w:tc>
          <w:tcPr>
            <w:tcW w:w="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45,069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48"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Safety-Kleen cost of revenues for the year ended December 31, 2018 increased $35.4 million from the comparable period in 2017 primarily due to increased costs of raw materials associated with oil products of $15.8 million, increased transportation, disposal and fuel costs of $12.3 million and labor related costs of $6.3 million. These increases were in line with the overall growth of the business and increased costs of commodities. Our costs as a percentage of direct revenues decreased over the comparable period of 2017 due to our effective management of the spread between used oil input costs and base oil pricing, as well as the implementation of new pricing strategies, which generated greater levels of direct revenue.</w:t>
      </w:r>
    </w:p>
    <w:p>
      <w:pPr>
        <w:spacing w:after="0" w:line="227"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Safety-Kleen cost of revenues for the year ended December 31, 2017 increased $45.1 million from the comparable period in 2016 primarily due to increased equipment and supply costs of $19.0 million, increased labor related costs of $13.8 million and increased transportation, disposal and fuel costs of $8.3 million. As a percentage of direct revenue, these costs decreased 1.3% in the year ended December 31, 2017 from the comparable period in 2016 primarily as a result of greater direct revenue levels driven by pricing partially offset by higher maintenance costs in the re-refinery network.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We strive to manage our selling, general and administrative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3920" w:type="dxa"/>
            <w:vAlign w:val="bottom"/>
            <w:gridSpan w:val="8"/>
          </w:tcPr>
          <w:p>
            <w:pPr>
              <w:ind w:left="74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6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2018 over 2017</w:t>
            </w:r>
          </w:p>
        </w:tc>
        <w:tc>
          <w:tcPr>
            <w:tcW w:w="220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8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10"/>
        </w:trPr>
        <w:tc>
          <w:tcPr>
            <w:tcW w:w="2540" w:type="dxa"/>
            <w:vAlign w:val="bottom"/>
          </w:tcPr>
          <w:p>
            <w:pPr>
              <w:spacing w:after="0"/>
              <w:rPr>
                <w:sz w:val="18"/>
                <w:szCs w:val="18"/>
                <w:color w:val="auto"/>
              </w:rPr>
            </w:pPr>
          </w:p>
        </w:tc>
        <w:tc>
          <w:tcPr>
            <w:tcW w:w="12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54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23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   183,633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162,375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21,258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13.1 %  $</w:t>
            </w:r>
          </w:p>
        </w:tc>
        <w:tc>
          <w:tcPr>
            <w:tcW w:w="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10,246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31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Environmental Services selling, general and administrative expenses for the year ended December 31, 2018 increased $21.3 million from the comparable period in 2017 due to increases in salary, benefits and variable compensation related costs of $14.7 million and bad debt expense of $7.0 million, partially offset by cost reductions across various expense categories. The increases in salary, benefits and variable compensation are in line with the growth of the business in 2018 as compared to 2017. As a percentage of direct revenue, our costs remained consistent for the year ended December 31, 2018 as compared to 2017.</w:t>
      </w:r>
    </w:p>
    <w:p>
      <w:pPr>
        <w:spacing w:after="0" w:line="107"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Environmental Services selling, general and administrative expenses for the year ended December 31, 2017 increased $10.2 million from the comparable period in 2016. Excluding costs associated with divestitures impacting the comparability of these fiscal years, Environmental Services selling, general and administrative expenses for the year ended December 31, 2017 increased $13.4 million primarily due to increased labor related costs including increased variable compensation and commissions. These increases were consistent with the growth of the business during 2017 as compared to 2016. As a percentage of direct revenue, these costs remained consistent for the year ended December 31, 2017 as compared to 2016.</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3920" w:type="dxa"/>
            <w:vAlign w:val="bottom"/>
            <w:gridSpan w:val="7"/>
          </w:tcPr>
          <w:p>
            <w:pPr>
              <w:ind w:left="74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6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2018 over 2017</w:t>
            </w:r>
          </w:p>
        </w:tc>
        <w:tc>
          <w:tcPr>
            <w:tcW w:w="220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4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8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10"/>
        </w:trPr>
        <w:tc>
          <w:tcPr>
            <w:tcW w:w="2540" w:type="dxa"/>
            <w:vAlign w:val="bottom"/>
          </w:tcPr>
          <w:p>
            <w:pPr>
              <w:spacing w:after="0"/>
              <w:rPr>
                <w:sz w:val="18"/>
                <w:szCs w:val="18"/>
                <w:color w:val="auto"/>
              </w:rPr>
            </w:pPr>
          </w:p>
        </w:tc>
        <w:tc>
          <w:tcPr>
            <w:tcW w:w="12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56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23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   153,519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   147,731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131,262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3.9 %  $</w:t>
            </w:r>
          </w:p>
        </w:tc>
        <w:tc>
          <w:tcPr>
            <w:tcW w:w="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16,469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8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Safety-Kleen selling, general and administrative expenses for the year ended December 31, 2018 increased $5.8 million from the comparable period in 2017 primarily due to increased salaries, benefits and variable compensation of $5.7 million as we continue to grow the business. As a percentage of direct revenue, Safety-Kleen SG&amp;A costs decreased for the year ended December 31, 2018 as compared to 2017 as the additional direct revenues outpaced incremental SG&amp;A costs.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Safety-Kleen selling, general and administrative expenses for the year ended December 31, 2017 increased $16.5 million from the comparable period in</w:t>
      </w:r>
    </w:p>
    <w:p>
      <w:pPr>
        <w:spacing w:after="0" w:line="46"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2016 primarily due to increased labor related costs of $11.6 million, and an additional $4.9 million related to costs generated from strategic initiatives in the areas of the OilPlus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loop initiative and centralization activities associated with this segment. As a percentage of direct revenue, our costs remained consistent for the year ended December 31, 2017 as compared to 2016.</w:t>
      </w:r>
    </w:p>
    <w:p>
      <w:pPr>
        <w:spacing w:after="0" w:line="2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Corporate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0"/>
              </w:rPr>
              <w:t>For the years ended December 31,</w:t>
            </w:r>
          </w:p>
        </w:tc>
        <w:tc>
          <w:tcPr>
            <w:tcW w:w="200" w:type="dxa"/>
            <w:vAlign w:val="bottom"/>
          </w:tcPr>
          <w:p>
            <w:pPr>
              <w:spacing w:after="0"/>
              <w:rPr>
                <w:sz w:val="18"/>
                <w:szCs w:val="18"/>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2018 over 2017</w:t>
            </w:r>
          </w:p>
        </w:tc>
        <w:tc>
          <w:tcPr>
            <w:tcW w:w="2240" w:type="dxa"/>
            <w:vAlign w:val="bottom"/>
            <w:gridSpan w:val="3"/>
          </w:tcPr>
          <w:p>
            <w:pPr>
              <w:jc w:val="right"/>
              <w:ind w:right="616"/>
              <w:spacing w:after="0"/>
              <w:rPr>
                <w:sz w:val="20"/>
                <w:szCs w:val="20"/>
                <w:color w:val="auto"/>
              </w:rPr>
            </w:pPr>
            <w:r>
              <w:rPr>
                <w:rFonts w:ascii="Arial" w:cs="Arial" w:eastAsia="Arial" w:hAnsi="Arial"/>
                <w:sz w:val="16"/>
                <w:szCs w:val="16"/>
                <w:b w:val="1"/>
                <w:bCs w:val="1"/>
                <w:color w:val="auto"/>
              </w:rPr>
              <w:t>2017 over 2016</w:t>
            </w:r>
          </w:p>
        </w:tc>
      </w:tr>
      <w:tr>
        <w:trPr>
          <w:trHeight w:val="33"/>
        </w:trPr>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7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56"/>
              <w:spacing w:after="0"/>
              <w:rPr>
                <w:sz w:val="20"/>
                <w:szCs w:val="20"/>
                <w:color w:val="auto"/>
              </w:rPr>
            </w:pPr>
            <w:r>
              <w:rPr>
                <w:rFonts w:ascii="Arial" w:cs="Arial" w:eastAsia="Arial" w:hAnsi="Arial"/>
                <w:sz w:val="16"/>
                <w:szCs w:val="16"/>
                <w:b w:val="1"/>
                <w:bCs w:val="1"/>
                <w:color w:val="auto"/>
              </w:rPr>
              <w:t>%</w:t>
            </w:r>
          </w:p>
        </w:tc>
      </w:tr>
      <w:tr>
        <w:trPr>
          <w:trHeight w:val="210"/>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5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166,595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146,542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138,624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20,053</w:t>
            </w:r>
          </w:p>
        </w:tc>
        <w:tc>
          <w:tcPr>
            <w:tcW w:w="1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  $</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2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Corporate Items selling, general and administrative expenses for the year ended December 31, 2018 increased $20.1 million from the comparable period in 2017 primarily due to increased salaries and benefits resulting from continued commitments to investing in our employees and variable compensation totaling $14.8 million as well as increased stock-based compensation of $4.3 million primarily attributable to the achievement of performance metrics associated with performance based awards in 2018. Incremental costs associated with the acquired Veolia Business also contributed to the increased costs.</w:t>
      </w:r>
    </w:p>
    <w:p>
      <w:pPr>
        <w:spacing w:after="0" w:line="20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Corporate Items selling, general and administrative expenses for the year ended December 31, 2017 increased $7.9 million from the comparable period in 2016 primarily due to an increase in variable compensation of $7.4 million and stock-based compensation of $3.4 million attributable to greater revenue and earnings results in 2017, partially offset by a reduction in severance costs of $3.5 million.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(loss)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46"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w:t>
      </w:r>
    </w:p>
    <w:p>
      <w:pPr>
        <w:spacing w:after="0" w:line="10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foregoing persons to obtain a better understanding of our core operating performance and to evaluate the efficacy of the methodology and information used by management to evaluate and measure such performance on a standalone and a comparative basis.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is a reconciliation of net income (loss) to Adjusted EBITDA for the following periods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20" w:type="dxa"/>
            <w:vAlign w:val="bottom"/>
            <w:gridSpan w:val="11"/>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651"/>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65,636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100,739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35"/>
              <w:spacing w:after="0"/>
              <w:rPr>
                <w:sz w:val="20"/>
                <w:szCs w:val="20"/>
                <w:color w:val="auto"/>
              </w:rPr>
            </w:pPr>
            <w:r>
              <w:rPr>
                <w:rFonts w:ascii="Arial" w:cs="Arial" w:eastAsia="Arial" w:hAnsi="Arial"/>
                <w:sz w:val="18"/>
                <w:szCs w:val="18"/>
                <w:color w:val="auto"/>
              </w:rPr>
              <w:t>9,806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3"/>
          </w:tcPr>
          <w:p>
            <w:pPr>
              <w:jc w:val="right"/>
              <w:ind w:right="14"/>
              <w:spacing w:after="0"/>
              <w:rPr>
                <w:sz w:val="20"/>
                <w:szCs w:val="20"/>
                <w:color w:val="auto"/>
              </w:rPr>
            </w:pPr>
            <w:r>
              <w:rPr>
                <w:rFonts w:ascii="Arial" w:cs="Arial" w:eastAsia="Arial" w:hAnsi="Arial"/>
                <w:sz w:val="18"/>
                <w:szCs w:val="18"/>
                <w:color w:val="auto"/>
              </w:rPr>
              <w:t>9,460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98"/>
              </w:rPr>
              <w:t>298,625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288,422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287,002</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35"/>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3"/>
          </w:tcPr>
          <w:p>
            <w:pPr>
              <w:jc w:val="right"/>
              <w:ind w:right="14"/>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35"/>
              <w:spacing w:after="0"/>
              <w:rPr>
                <w:sz w:val="20"/>
                <w:szCs w:val="20"/>
                <w:color w:val="auto"/>
              </w:rPr>
            </w:pPr>
            <w:r>
              <w:rPr>
                <w:rFonts w:ascii="Arial" w:cs="Arial" w:eastAsia="Arial" w:hAnsi="Arial"/>
                <w:sz w:val="18"/>
                <w:szCs w:val="18"/>
                <w:color w:val="auto"/>
              </w:rPr>
              <w:t>81,094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3"/>
          </w:tcPr>
          <w:p>
            <w:pPr>
              <w:jc w:val="right"/>
              <w:ind w:right="14"/>
              <w:spacing w:after="0"/>
              <w:rPr>
                <w:sz w:val="20"/>
                <w:szCs w:val="20"/>
                <w:color w:val="auto"/>
              </w:rPr>
            </w:pPr>
            <w:r>
              <w:rPr>
                <w:rFonts w:ascii="Arial" w:cs="Arial" w:eastAsia="Arial" w:hAnsi="Arial"/>
                <w:sz w:val="18"/>
                <w:szCs w:val="18"/>
                <w:color w:val="auto"/>
              </w:rPr>
              <w:t>85,808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83,525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28,846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57"/>
        </w:trPr>
        <w:tc>
          <w:tcPr>
            <w:tcW w:w="30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gridSpan w:val="2"/>
          </w:tcPr>
          <w:p>
            <w:pPr>
              <w:jc w:val="right"/>
              <w:ind w:right="35"/>
              <w:spacing w:after="0"/>
              <w:rPr>
                <w:sz w:val="20"/>
                <w:szCs w:val="20"/>
                <w:color w:val="auto"/>
              </w:rPr>
            </w:pPr>
            <w:r>
              <w:rPr>
                <w:rFonts w:ascii="Arial" w:cs="Arial" w:eastAsia="Arial" w:hAnsi="Arial"/>
                <w:sz w:val="18"/>
                <w:szCs w:val="18"/>
                <w:color w:val="auto"/>
                <w:w w:val="98"/>
              </w:rPr>
              <w:t>491,005</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gridSpan w:val="3"/>
          </w:tcPr>
          <w:p>
            <w:pPr>
              <w:jc w:val="right"/>
              <w:ind w:right="14"/>
              <w:spacing w:after="0"/>
              <w:rPr>
                <w:sz w:val="20"/>
                <w:szCs w:val="20"/>
                <w:color w:val="auto"/>
              </w:rPr>
            </w:pPr>
            <w:r>
              <w:rPr>
                <w:rFonts w:ascii="Arial" w:cs="Arial" w:eastAsia="Arial" w:hAnsi="Arial"/>
                <w:sz w:val="18"/>
                <w:szCs w:val="18"/>
                <w:color w:val="auto"/>
              </w:rPr>
              <w:t>425,657</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400,354</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0"/>
              </w:rPr>
              <w:t>2018 over 2017</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2017 over 2016</w:t>
            </w:r>
          </w:p>
        </w:tc>
        <w:tc>
          <w:tcPr>
            <w:tcW w:w="0" w:type="dxa"/>
            <w:vAlign w:val="bottom"/>
          </w:tcPr>
          <w:p>
            <w:pPr>
              <w:spacing w:after="0"/>
              <w:rPr>
                <w:sz w:val="1"/>
                <w:szCs w:val="1"/>
                <w:color w:val="auto"/>
              </w:rPr>
            </w:pPr>
          </w:p>
        </w:tc>
      </w:tr>
      <w:tr>
        <w:trPr>
          <w:trHeight w:val="264"/>
        </w:trPr>
        <w:tc>
          <w:tcPr>
            <w:tcW w:w="30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2"/>
                <w:szCs w:val="22"/>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4"/>
          </w:tcPr>
          <w:p>
            <w:pPr>
              <w:ind w:left="22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5"/>
        </w:trPr>
        <w:tc>
          <w:tcPr>
            <w:tcW w:w="3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Depreciation of fixed assets and landfill</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264,254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251,403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4,443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080" w:type="dxa"/>
            <w:vAlign w:val="bottom"/>
          </w:tcPr>
          <w:p>
            <w:pPr>
              <w:ind w:left="40"/>
              <w:spacing w:after="0"/>
              <w:rPr>
                <w:sz w:val="20"/>
                <w:szCs w:val="20"/>
                <w:color w:val="auto"/>
              </w:rPr>
            </w:pPr>
            <w:r>
              <w:rPr>
                <w:rFonts w:ascii="Arial" w:cs="Arial" w:eastAsia="Arial" w:hAnsi="Arial"/>
                <w:sz w:val="18"/>
                <w:szCs w:val="18"/>
                <w:color w:val="auto"/>
              </w:rPr>
              <w:t>Permits and other intangibles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34,371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37,019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40,042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(3,023)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298,625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288,422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287,002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1,420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Depreciation and amortization for the year ended December 31, 2018 increased $10.2 million from the comparable period in 2017, primarily due to incremental depreciation from acquisitions and a slight increase in volumes at our landfills that drove higher landfill amortization. Depreciation and amortization for the year ended December 31, 2017 remained consistent with the comparable period in 2016.</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charge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34,013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year ended December 31, 2016, we recorded a $34.0 million goodwill impairment charge in our Lodging Services line of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2016 goodwill impairment charge was disclosed in prior years' annual reports on Form 10-K.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(26.3)%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7"/>
        </w:trPr>
        <w:tc>
          <w:tcPr>
            <w:tcW w:w="2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For the year ended December 31, 2018, other (expense) income, net decreased $1.6 million from the comparable period in 2017 primarily due to smaller losses recognized on sales or disposals of fixed assets in 2018. Other (expense) income, net decreased $12.3 million from 2016 to 2017 primarily due to losses recognized on sales or disposals of fixed assets in 2017 compared to gains recognized on sales or disposals of fixed assets in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2018 over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5,403</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(68.5)%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During the year ended December 31, 2018, we recorded a $2.5 million loss in connection with the extinguishment of the remaining $400.0 million previously outstanding senior unsecured notes which were refinanced in connection with the Incremental Facility Amendment to our Term Loan Agreement completed during the third quarter of 2018. During the year ended December 31, 2017, we recorded a $7.9 million loss on early extinguishment of debt in connection with the extinguishment of the $400.0 million previously outstanding senior unsecured notes which were refinanced in connection with the issuance of $400.0 million Term Loan Agreement which was completed in the second quarter of 2017. The losses consisted of amounts paid in excess of par in order to extinguish the debt prior to maturity and non-cash expenses related to the write-off of unamortized financing costs. For additional information regarding our financing arrangements, see Note 12, "Financing Arrangements," under Item 8, "Financial Statements and Supplementary Data," of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30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30,732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16,884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  $</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13,848</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During the year ended December 31, 2017, we recorded a $30.7 million gain on the sale of our Transformer Services business. During the year ended December 31, 2016, we recorded a $16.9 million gain on the sale of our Catalyst Services business. For additional information regarding these gains on sale of businesses, see Note 5, "Disposition of Businesses," under Item 8, "Financial Statements and Supplementary Data,"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28,846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48,589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70,896</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(168.6)%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r>
      <w:tr>
        <w:trPr>
          <w:trHeight w:val="27"/>
        </w:trPr>
        <w:tc>
          <w:tcPr>
            <w:tcW w:w="2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Provision (benefit) for income taxes for fiscal years 2018, 2017 and 2016 was $28.8 million, $(42.1) million, and $48.6 million, respectively. The effective tax rate for 2018 was 30.5% and was impacted by the overall reduced federal tax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enacted in 2018 under the Tax Cuts and Jobs Act (the "Tax Act") signed into law in December 2017, the recognition of valuation allowances on certain Canadian operations and offset in the current year by tax benefits resulting from amended prior year tax return filings. The income tax benefit in 2017 was primarily driven by impacts from the enactment of the Tax Act in 2017. Impacts of the Tax Act resulted in a net benefit of $93.0 million being recorded in 2017. See Note 13, "Income Taxes," under Item 8, "Financial Statements and Supplementary Data," of this report for more information related to the Tax Act and its impacts. Excluding the impacts of the Tax Act, a provision of $51.0 million would have been recognized, yielding an effective tax rate of 86.8% in 2017.</w:t>
      </w:r>
    </w:p>
    <w:p>
      <w:pPr>
        <w:spacing w:after="0" w:line="11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mix of U.S. and Canadian taxable income and losses in recent years, combined largely with the impacts of valuation allowances being recorded relative to taxable losses generated in certain Canadian jurisdictions has had significant impacts on the recorded income tax expense amounts and has caused such amounts and resulting effective tax rates to represent significant variations from more customary relationships between pre-tax income and the provision for income taxes. In 2018, the Company recognized a $10.7 million valuation allowance from Canadian losses. Aside from the impact of the Tax Act, the variation from a more customary effective tax rate in 2017 was primarily related to a $14.5 million valuation allowance recorded relative to net operating loss carryforwards generated by certain Canadian subsidiaries in 2017 and the impacts of recording $3.7 million of unrecognized tax benefits associated with current and prior years' tax positions taken. Variations from a more customary effective tax rate in 2016 was primarily due to the recognition of a $12.9 million valuation allowance related to net operating loss carryforwards generated by certain Canadian subsidiaries in 2016, as well as an additional $9.7 million valuation allowance recorded as a result of a change in the likelihood of realizing a benefit from foreign tax credits and other net deferred tax assets. Additionally, the $34.0 million goodwill impairment charge in our Lodging Services line of business recorded in 2016 was a non-deductible tax item, and therefore no tax benefit was recorded on that loss and further caused the 2016 effective tax rate to vary from a more typical relationship between income before taxes and the recorded provision for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w w:val="92"/>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373,210</w:t>
            </w: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285,698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259,624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(349,659)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(203,267)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(361,777)</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from financing activities</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220,235</w:t>
            </w:r>
          </w:p>
        </w:tc>
      </w:tr>
      <w:tr>
        <w:trPr>
          <w:trHeight w:val="27"/>
        </w:trPr>
        <w:tc>
          <w:tcPr>
            <w:tcW w:w="5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from operating activities</w:t>
      </w:r>
    </w:p>
    <w:p>
      <w:pPr>
        <w:spacing w:after="0" w:line="2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Net cash from operating activities for the year ended December 31, 2018 was $373.2 million, an increase of $87.5 million compared to net cash from operating activities for the year ended December 31, 2017. The increase in operating cash flows as compared to the comparable period of 2017 was most directly attributable to greater levels of operating income, lower interest payments and a reduction in environmental expenditures, which was offset by higher working capital levels due to overall growth in our business.</w:t>
      </w:r>
    </w:p>
    <w:p>
      <w:pPr>
        <w:spacing w:after="0" w:line="106"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Net cash from operating activities for the year ended December 31, 2017 was $285.7 million, an increase of $26.1 million compared to net cash from operating activities for the year ended December 31, 2016. The change primarily resulted from higher income levels generated during the year ended December 31, 2017 and the impacts of changes in net working capital related to increases in cash flows from other current assets, partially offset by an increase in accounts receivable and unbilled accounts receivable as a result of increased incremental revenues during the year ended December 31, 2017.</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Net cash used in investing activities for the year ended December 31, 2018 was $349.7 million, an increase of $146.4 million compared to cash used in investing activities for the year ended December 31, 2017. The change was primarily driven by the 2018 use of cash to fund acquisitions, increased capital expenditure levels net of proceeds primarily related to sales of manufacturing assets in Western Canada, a reduction in net purchases of marketable securities and the lack in 2018 of proceeds from sale of a business, which occurred in 2017 with the Transformer Services divestiture.</w:t>
      </w:r>
    </w:p>
    <w:p>
      <w:pPr>
        <w:spacing w:after="0" w:line="73" w:lineRule="exact"/>
        <w:rPr>
          <w:sz w:val="20"/>
          <w:szCs w:val="20"/>
          <w:color w:val="auto"/>
        </w:rPr>
      </w:pPr>
    </w:p>
    <w:p>
      <w:pPr>
        <w:ind w:right="180" w:firstLine="405"/>
        <w:spacing w:after="0" w:line="258" w:lineRule="auto"/>
        <w:rPr>
          <w:sz w:val="20"/>
          <w:szCs w:val="20"/>
          <w:color w:val="auto"/>
        </w:rPr>
      </w:pPr>
      <w:r>
        <w:rPr>
          <w:rFonts w:ascii="Arial" w:cs="Arial" w:eastAsia="Arial" w:hAnsi="Arial"/>
          <w:sz w:val="18"/>
          <w:szCs w:val="18"/>
          <w:color w:val="auto"/>
        </w:rPr>
        <w:t>Net cash used in investing activities for the year ended December 31, 2017 was $203.3 million, a decrease of $158.5 million compared to cash used in investing activities for the year ended December 31, 2016. The change was primarily driven</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by a decrease in cash paid for acquisitions in 2017, proceeds from the sale of the Transformer Services business and a decrease in capital expenditures, which were greater during 2016 due to the construction of our hazardous waste incinerator at our El Dorado, Arkansas facility, which came online in the first quarter of 2017. The decrease in cash used in investing activities was partially offset by cash used to purchase highly liquid marketable securities during the year ended December 31, 2017.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(used in) from financing activities</w:t>
      </w:r>
    </w:p>
    <w:p>
      <w:pPr>
        <w:spacing w:after="0" w:line="279" w:lineRule="exact"/>
        <w:rPr>
          <w:sz w:val="20"/>
          <w:szCs w:val="20"/>
          <w:color w:val="auto"/>
        </w:rPr>
      </w:pPr>
    </w:p>
    <w:p>
      <w:pPr>
        <w:jc w:val="both"/>
        <w:ind w:right="180" w:firstLine="432"/>
        <w:spacing w:after="0" w:line="279" w:lineRule="auto"/>
        <w:rPr>
          <w:sz w:val="20"/>
          <w:szCs w:val="20"/>
          <w:color w:val="auto"/>
        </w:rPr>
      </w:pPr>
      <w:r>
        <w:rPr>
          <w:rFonts w:ascii="Arial" w:cs="Arial" w:eastAsia="Arial" w:hAnsi="Arial"/>
          <w:sz w:val="17"/>
          <w:szCs w:val="17"/>
          <w:color w:val="auto"/>
        </w:rPr>
        <w:t>Net cash used in financing activities for the year ended December 31, 2018 was $111.0 million, an increase of $38.2 million compared to cash used in financing activities for the year ended December 31, 2017. The primary reason for the increase in financing cash outflows in 2018 was the net pay down of debt obligations totaling $55.8 million which occurred during the year. Offsetting this increase was decreased outflows related to stock repurchases of $3.9 million, premiums paid on the extinguishment of debt of $4.8 million, and changes in uncashed checks of $5.8 million.</w:t>
      </w:r>
    </w:p>
    <w:p>
      <w:pPr>
        <w:spacing w:after="0" w:line="90" w:lineRule="exact"/>
        <w:rPr>
          <w:sz w:val="20"/>
          <w:szCs w:val="20"/>
          <w:color w:val="auto"/>
        </w:rPr>
      </w:pPr>
    </w:p>
    <w:p>
      <w:pPr>
        <w:ind w:right="420" w:firstLine="405"/>
        <w:spacing w:after="0" w:line="258" w:lineRule="auto"/>
        <w:rPr>
          <w:sz w:val="20"/>
          <w:szCs w:val="20"/>
          <w:color w:val="auto"/>
        </w:rPr>
      </w:pPr>
      <w:r>
        <w:rPr>
          <w:rFonts w:ascii="Arial" w:cs="Arial" w:eastAsia="Arial" w:hAnsi="Arial"/>
          <w:sz w:val="18"/>
          <w:szCs w:val="18"/>
          <w:color w:val="auto"/>
        </w:rPr>
        <w:t>Net cash used in financing activities for the year ended December 31, 2017 was $72.8 million, a decrease of $293.0 million compared to cash from financing activities for the year ended December 31, 2016. The change was primarily due to the</w:t>
      </w:r>
    </w:p>
    <w:p>
      <w:pPr>
        <w:spacing w:after="0" w:line="1" w:lineRule="exact"/>
        <w:rPr>
          <w:sz w:val="20"/>
          <w:szCs w:val="20"/>
          <w:color w:val="auto"/>
        </w:rPr>
      </w:pPr>
    </w:p>
    <w:p>
      <w:pPr>
        <w:ind w:right="2200"/>
        <w:spacing w:after="0" w:line="292" w:lineRule="auto"/>
        <w:rPr>
          <w:sz w:val="20"/>
          <w:szCs w:val="20"/>
          <w:color w:val="auto"/>
        </w:rPr>
      </w:pPr>
      <w:r>
        <w:rPr>
          <w:rFonts w:ascii="Arial" w:cs="Arial" w:eastAsia="Arial" w:hAnsi="Arial"/>
          <w:sz w:val="16"/>
          <w:szCs w:val="16"/>
          <w:color w:val="auto"/>
        </w:rPr>
        <w:t>issuance in March 2016 of $250.0 million in additional aggregate principal amount of 5.125% senior unsecured notes due 2021. During the year ended December 31, 2017, there were no net proceeds from issuance of debt as we entered into a $400.0 million senior secured term loan agreement and used the proceeds to purchase approximately $400.0 million aggregate principal amount of our previously outstanding 5.25% senior unsecured notes due 2020. In addition, during the year ended December 31, 2017, we increased repurchases of our common stock from $22.2 million in 2016 to $49.0 million in 2017.</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Adjusted Free Cash Flow</w:t>
      </w:r>
    </w:p>
    <w:p>
      <w:pPr>
        <w:spacing w:after="0" w:line="27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from net cash from operating activities to adjusted free cash flow for the following periods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160" w:type="dxa"/>
            <w:vAlign w:val="bottom"/>
            <w:tcBorders>
              <w:bottom w:val="single" w:sz="8" w:color="auto"/>
            </w:tcBorders>
            <w:gridSpan w:val="4"/>
          </w:tcPr>
          <w:p>
            <w:pPr>
              <w:jc w:val="center"/>
              <w:ind w:left="759"/>
              <w:spacing w:after="0"/>
              <w:rPr>
                <w:sz w:val="20"/>
                <w:szCs w:val="20"/>
                <w:color w:val="auto"/>
              </w:rPr>
            </w:pPr>
            <w:r>
              <w:rPr>
                <w:rFonts w:ascii="Arial" w:cs="Arial" w:eastAsia="Arial" w:hAnsi="Arial"/>
                <w:sz w:val="14"/>
                <w:szCs w:val="14"/>
                <w:b w:val="1"/>
                <w:bCs w:val="1"/>
                <w:color w:val="auto"/>
                <w:w w:val="91"/>
              </w:rPr>
              <w:t>For the years ended December 31,</w:t>
            </w:r>
          </w:p>
        </w:tc>
        <w:tc>
          <w:tcPr>
            <w:tcW w:w="8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373,210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right="99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(193,344)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(167,007)</w:t>
            </w:r>
          </w:p>
        </w:tc>
      </w:tr>
      <w:tr>
        <w:trPr>
          <w:trHeight w:val="27"/>
        </w:trPr>
        <w:tc>
          <w:tcPr>
            <w:tcW w:w="7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and disposal of fixed assets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liability on sale of business</w:t>
            </w:r>
          </w:p>
        </w:tc>
        <w:tc>
          <w:tcPr>
            <w:tcW w:w="10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14,423</w:t>
            </w:r>
          </w:p>
        </w:tc>
      </w:tr>
      <w:tr>
        <w:trPr>
          <w:trHeight w:val="27"/>
        </w:trPr>
        <w:tc>
          <w:tcPr>
            <w:tcW w:w="74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195,311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ind w:right="99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140,238</w:t>
            </w: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Working Capital</w:t>
      </w:r>
    </w:p>
    <w:p>
      <w:pPr>
        <w:spacing w:after="0" w:line="27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At December 31, 2018, cash and cash equivalents and marketable securities totaled $279.4 million, compared to $357.6 million at December 31, 2017. At December 31, 2018, cash and cash equivalents held by foreign subsidiaries totaled $84.7 million and were readily convertible into other currencies including U.S. dollars. At December 31, 2018, the cash and cash equivalents and marketable securities balance for our U.S. operations was $194.7 million, and our U.S. operations had net operating cash flows of $309.4 million for the year ended December 31, 2018. Additionally, we have a $400.0 million revolving credit facility, of which approximately $235.4 million was available to borrow at December 31, 2018. Based on the above and our current plans, we believe that our operations have adequate financial resources to satisfy their current liquidity needs.</w:t>
      </w:r>
    </w:p>
    <w:p>
      <w:pPr>
        <w:spacing w:after="0" w:line="233" w:lineRule="exact"/>
        <w:rPr>
          <w:sz w:val="20"/>
          <w:szCs w:val="20"/>
          <w:color w:val="auto"/>
        </w:rPr>
      </w:pPr>
    </w:p>
    <w:p>
      <w:pPr>
        <w:ind w:right="420" w:firstLine="432"/>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Financing Arrangements</w:t>
      </w:r>
    </w:p>
    <w:p>
      <w:pPr>
        <w:spacing w:after="0" w:line="27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financing arrangements and principal terms of our $845.0 million principal amount of 5.125% senior unsecured notes due 2021 and $742.2 million senior secured notes due 2024 which were outstanding at December 31, 2018, and our</w:t>
      </w:r>
    </w:p>
    <w:p>
      <w:pPr>
        <w:sectPr>
          <w:pgSz w:w="11900" w:h="16838" w:orient="portrait"/>
          <w:cols w:equalWidth="0" w:num="1">
            <w:col w:w="11420"/>
          </w:cols>
          <w:pgMar w:left="240" w:top="118"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$400.0 million revolving credit facility, are discussed further in Note 12, “Financing Arrangements,” to our consolidated financial statements included in Item 8 of this report.</w:t>
      </w:r>
    </w:p>
    <w:p>
      <w:pPr>
        <w:spacing w:after="0" w:line="22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December 31, 2018, we were in compliance with the covenants of all of our debt agreements, and we believe we will continue to meet such covenants.</w:t>
      </w:r>
    </w:p>
    <w:p>
      <w:pPr>
        <w:spacing w:after="0" w:line="22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As discussed in Note 12, “Financing Arrangements,” to our consolidated financial statements, we refinanced during 2018 our debt portfolio whereby the $400.0 million of previously outstanding 5.25% senior unsecured notes due 2020 was replaced by $350.0 million of incremental term loans under our variable rate Term Loan Agreement. In connection with the addition of this variable rate debt, we entered into interest rate swap agreements in order to hedge the future risk of rising interest rates and effectively fix the interest rate on $350.0 million of our variable rate debt at an annual rate of approximately 4.67%.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6"/>
                <w:szCs w:val="16"/>
                <w:color w:val="auto"/>
              </w:rPr>
            </w:pPr>
          </w:p>
        </w:tc>
        <w:tc>
          <w:tcPr>
            <w:tcW w:w="232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2018 over 2017</w:t>
            </w: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26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Remedial liabilities</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121,017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124,468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environmental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190,948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185,505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environmental liabilities as of December 31, 2018 were $190.9 million, an increase of $5.4 million compared to the liabilities as of December 31,</w:t>
      </w:r>
    </w:p>
    <w:p>
      <w:pPr>
        <w:spacing w:after="0" w:line="46"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2017. This increase was primarily due to accretion of $9.8 million, new asset retirement obligations and liabilities assumed in acquisitions of $3.2 million, and changes in estimates recorded to our statement of operations of $2.1 million, partially offset by expenditures of $10.1 million.</w:t>
      </w:r>
    </w:p>
    <w:p>
      <w:pPr>
        <w:spacing w:after="0" w:line="2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4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2018, we recognized a net charge for changes in estimates of recorded environmental liabilities, whereas in each of 2017 and 2016 we benefited from reductions in our environmental liabilities due to changes in estimates recorded to our statement of operations. The benefits over these years were primarily due to the successful introduction of new technology for remedial activities, favorable results from environmental studies of the on-going remediation, including favorable regulatory approvals, and lower project costs realized by utilizing internal labor and equipment. The principal changes in estimates were from the following items:</w:t>
      </w:r>
    </w:p>
    <w:p>
      <w:pPr>
        <w:spacing w:after="0" w:line="242" w:lineRule="exact"/>
        <w:rPr>
          <w:sz w:val="20"/>
          <w:szCs w:val="20"/>
          <w:color w:val="auto"/>
        </w:rPr>
      </w:pPr>
    </w:p>
    <w:p>
      <w:pPr>
        <w:ind w:right="640" w:firstLine="405"/>
        <w:spacing w:after="0" w:line="342" w:lineRule="auto"/>
        <w:rPr>
          <w:sz w:val="20"/>
          <w:szCs w:val="20"/>
          <w:color w:val="auto"/>
        </w:rPr>
      </w:pPr>
      <w:r>
        <w:rPr>
          <w:rFonts w:ascii="Arial" w:cs="Arial" w:eastAsia="Arial" w:hAnsi="Arial"/>
          <w:sz w:val="16"/>
          <w:szCs w:val="16"/>
          <w:color w:val="auto"/>
        </w:rPr>
        <w:t>In 2018, the net increase in our environmental liabilities from changes in estimates recorded to the statement of operations was $2.1 million and primarily related to an increase in projected cleanup costs at third party Superfund sites where we are a potentially responsible party.</w:t>
      </w:r>
    </w:p>
    <w:p>
      <w:pPr>
        <w:spacing w:after="0" w:line="178"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2017, the net reduction in our environmental liabilities from changes in estimates recorded to the statement of operations was $0.2 million and primarily related to reduced remedial spending at one of our locations resulting from new technologies and cost savings realized during the completed cell closure at one of our landfills.</w:t>
      </w:r>
    </w:p>
    <w:p>
      <w:pPr>
        <w:spacing w:after="0" w:line="23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2016, the net reduction in our environmental liabilities from changes in estimates recorded to the statement of operations was $4.3 million and primarily related to reduced remedial spending at one of our locations resulting from new technologies and cost savings realized during the completed cell closure at one of our landfills.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83"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has been included to assist understanding our debt and similar obligations as of December 31, 2018 and our ability to meet such obligations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24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4-5 years</w:t>
            </w: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After 5 years</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post-closure and remedial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352,767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and long-term obligations, at par</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1,587,232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860,071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704,555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current and long-term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56,480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79,031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35,778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2,534,721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164,756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1,115,641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153,391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1,100,933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right="400" w:hanging="252"/>
        <w:spacing w:after="0" w:line="286" w:lineRule="auto"/>
        <w:tabs>
          <w:tab w:leader="none" w:pos="272"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Interest on our variable-rate $742.2 million senior secured term loan agreement was calculated based on the effective interest rate as of December 31, 2018 of 4.27%. Our interest rate swap agreements effectively fix the interest rate on $350.0 million of our variable rate debt at an annual rate of approximately 4.67% and therefore the assumed rate on this variable debt after considering the swap agreements is 4.45%.</w:t>
      </w:r>
    </w:p>
    <w:p>
      <w:pPr>
        <w:spacing w:after="0" w:line="3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undiscounted value of closure, post-closure and remedial liabilities of $462.9 million is equivalent to the present value of $190.9 million based on discounting of $178.7 million and the undiscounted remainder of $93.2 million to be accrued for closure and post-closure liabilities over the remaining site lives.</w:t>
      </w:r>
    </w:p>
    <w:p>
      <w:pPr>
        <w:spacing w:after="0" w:line="1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has been included to assist in understanding our other contractual obligations as of December 31, 2018 and our ability to meet such obligations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 Commercial Commitments</w:t>
            </w:r>
          </w:p>
        </w:tc>
        <w:tc>
          <w:tcPr>
            <w:tcW w:w="300" w:type="dxa"/>
            <w:vAlign w:val="bottom"/>
          </w:tcPr>
          <w:p>
            <w:pPr>
              <w:spacing w:after="0"/>
              <w:rPr>
                <w:sz w:val="13"/>
                <w:szCs w:val="13"/>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3"/>
                <w:szCs w:val="13"/>
                <w:color w:val="auto"/>
              </w:rPr>
            </w:pP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4-5 years</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8"/>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130,100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130,100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obtained the standby letters of credit described in the above table primarily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See Note 12, "Financing Arrangements," to our consolidated financial statements included in Item 8 of this report for further discussion of our standby letters of credit and other financing arrangements.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Off-Balance Sheet Arrangements</w:t>
      </w:r>
    </w:p>
    <w:p>
      <w:pPr>
        <w:spacing w:after="0" w:line="1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Except for our obligations under operating leases and letters of credit described above under "Contractual Obligations" and performance obligations incurred in the ordinary course of business, we are not party to any off-balance sheet arrangements involving guarantee, contingency or similar obligations to entities whose financial statements are not consolidated with our results, and that have or are reasonably likely to have a current or future effect on our financial condition, changes in financial condition, revenues or expenses, results of operations, liquidity, capital expenditures or capital resources that would be material to investors in our securities.</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2018, our capital expenditures, net of disposals, were $177.9 million. We anticipate that 2019 capital spending, net of disposals, will be in the range of $190.0 million to $210.0 million. However, unanticipated changes in environmental regulations could require us to make significant capital expenditures for our facilities and adversely affect our results of operations and cash flow.</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preparation of our financial statements requires us to make estimates and judgments that affect the reported amounts of our assets, liabilities, revenues and expenses, and related disclosures of contingent liabilities. The following are the areas that we believe require the greatest amount of judgments or estimates in the preparation of the financial statements: accounting for landfills, non-landfill closure and post-closure liabilities, remedial liabilities, goodwill, permits and other intangible assets and legal matters. Our management reviews critical accounting estimates with the Audit Committee of our Board of Directors on an ongoing basis and as needed prior to the release of our annual financial statements. See also Note 2, "Significant Accounting Policies," to our consolidated financial statements included in Item 8 of this report, which discusses the significant assumptions used in applying our accounting policies.</w:t>
      </w:r>
    </w:p>
    <w:p>
      <w:pPr>
        <w:spacing w:after="0" w:line="243"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i w:val="1"/>
          <w:iCs w:val="1"/>
          <w:color w:val="auto"/>
        </w:rPr>
        <w:t xml:space="preserve">Landfill Accounting. </w:t>
      </w:r>
      <w:r>
        <w:rPr>
          <w:rFonts w:ascii="Arial" w:cs="Arial" w:eastAsia="Arial" w:hAnsi="Arial"/>
          <w:sz w:val="17"/>
          <w:szCs w:val="17"/>
          <w:color w:val="auto"/>
        </w:rPr>
        <w:t>We amortize landfill improvements and certain landfill-related permits over their estimated 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23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 xml:space="preserve">Landfill Assets. </w:t>
      </w:r>
      <w:r>
        <w:rPr>
          <w:rFonts w:ascii="Arial" w:cs="Arial" w:eastAsia="Arial" w:hAnsi="Arial"/>
          <w:sz w:val="18"/>
          <w:szCs w:val="18"/>
          <w:color w:val="auto"/>
        </w:rPr>
        <w:t>Landfill assets include the costs of landfill site acquisition, permits and cell construction incurred to date. These amounts are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units-of-consumption method such that the asset is completely amortized when the landfill ceases accepting waste.</w:t>
      </w:r>
    </w:p>
    <w:p>
      <w:pPr>
        <w:spacing w:after="0" w:line="224" w:lineRule="exact"/>
        <w:rPr>
          <w:sz w:val="20"/>
          <w:szCs w:val="20"/>
          <w:color w:val="auto"/>
        </w:rPr>
      </w:pPr>
    </w:p>
    <w:p>
      <w:pPr>
        <w:jc w:val="both"/>
        <w:ind w:right="580" w:firstLine="405"/>
        <w:spacing w:after="0" w:line="302" w:lineRule="auto"/>
        <w:rPr>
          <w:sz w:val="20"/>
          <w:szCs w:val="20"/>
          <w:color w:val="auto"/>
        </w:rPr>
      </w:pPr>
      <w:r>
        <w:rPr>
          <w:rFonts w:ascii="Arial" w:cs="Arial" w:eastAsia="Arial" w:hAnsi="Arial"/>
          <w:sz w:val="16"/>
          <w:szCs w:val="16"/>
          <w:i w:val="1"/>
          <w:iCs w:val="1"/>
          <w:color w:val="auto"/>
        </w:rPr>
        <w:t xml:space="preserve">Landfill Capacity. </w:t>
      </w:r>
      <w:r>
        <w:rPr>
          <w:rFonts w:ascii="Arial" w:cs="Arial" w:eastAsia="Arial" w:hAnsi="Arial"/>
          <w:sz w:val="16"/>
          <w:szCs w:val="16"/>
          <w:color w:val="auto"/>
        </w:rPr>
        <w:t>Landfill capacity, which is the basis for the amortization of landfill assets and for the accrual of final closure and post-closure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represents total permitted airspace plus unpermitted airspace that management believes is probable of ultimately being permitted based on established criteria. Our management applies the following criteria for evaluating the probability of obtaining a permit for future expansion airspace at existing sites, which provides management a basis to evaluate the likelihood of success of unpermitted expansions:</w:t>
      </w:r>
    </w:p>
    <w:p>
      <w:pPr>
        <w:spacing w:after="0" w:line="73" w:lineRule="exact"/>
        <w:rPr>
          <w:sz w:val="20"/>
          <w:szCs w:val="20"/>
          <w:color w:val="auto"/>
        </w:rPr>
      </w:pPr>
    </w:p>
    <w:p>
      <w:pPr>
        <w:ind w:left="660" w:right="5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Personnel are actively working to obtain the permit or permit modifications (land use, state and federal) necessary for expansion of an existing landfill, and progress is being made on the project.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Management expects to submit the application within the next year and to receive all necessary approvals to accept waste within the next five years.</w:t>
      </w:r>
    </w:p>
    <w:p>
      <w:pPr>
        <w:spacing w:after="0" w:line="140"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 the time the expansion is included in management's estimate of the landfill's useful economic life, it is probable that the required approvals will be received within the normal application and processing time periods for approvals in the jurisdiction in which the landfill is located.</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the other owner of the landfill has a legal right to use or obtain the right to use the land associated with the expansion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are no significant known political, technical, legal or business restrictions or other issues that could impair the success of such expansion.</w:t>
      </w:r>
    </w:p>
    <w:p>
      <w:pPr>
        <w:spacing w:after="0" w:line="140"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financial feasibility analysis has been completed and the results demonstrate that the expansion will have a positive financial and operational impact such that management is committed to pursuing the expansion.</w:t>
      </w:r>
    </w:p>
    <w:p>
      <w:pPr>
        <w:spacing w:after="0" w:line="62"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airspace and related additional costs, including permitting, final closure and post-closure costs, have been estimated based on the conceptual design of the proposed expansion.</w:t>
      </w:r>
    </w:p>
    <w:p>
      <w:pPr>
        <w:spacing w:after="0" w:line="22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As of December 31, 2018, there was one unpermitted expansion at one location included in management's landfill calculation, which represented 16.2% of our remaining airspace at that date.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22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 xml:space="preserve">Landfill Final Closure and Post-Closure Liabilities. </w:t>
      </w:r>
      <w:r>
        <w:rPr>
          <w:rFonts w:ascii="Arial" w:cs="Arial" w:eastAsia="Arial" w:hAnsi="Arial"/>
          <w:sz w:val="18"/>
          <w:szCs w:val="18"/>
          <w:color w:val="auto"/>
        </w:rPr>
        <w:t>The balance of landfill final closure and post-closure liabilities at December 31, 2018 and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$37.8 million and $32.4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23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or provincial regulatory agency. These costs generally include the costs required to cap the final cell of the landfill (if not included in cell closure), to dismantle certain structures for landfills and other landfill improvements and regulation-mandated groundwater monitoring, and for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discontinues accepting waste.</w:t>
      </w:r>
    </w:p>
    <w:p>
      <w:pPr>
        <w:spacing w:after="0" w:line="23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 xml:space="preserve">Non-Landfill Closure and Post-Closure Liabilities. </w:t>
      </w:r>
      <w:r>
        <w:rPr>
          <w:rFonts w:ascii="Arial" w:cs="Arial" w:eastAsia="Arial" w:hAnsi="Arial"/>
          <w:sz w:val="17"/>
          <w:szCs w:val="17"/>
          <w:color w:val="auto"/>
        </w:rPr>
        <w:t>The balance of our non-landfill closure and post-closure liabilities at December 31, 2018 and 2017</w:t>
      </w:r>
      <w:r>
        <w:rPr>
          <w:rFonts w:ascii="Arial" w:cs="Arial" w:eastAsia="Arial" w:hAnsi="Arial"/>
          <w:sz w:val="17"/>
          <w:szCs w:val="17"/>
          <w:i w:val="1"/>
          <w:iCs w:val="1"/>
          <w:color w:val="auto"/>
        </w:rPr>
        <w:t xml:space="preserve"> </w:t>
      </w:r>
      <w:r>
        <w:rPr>
          <w:rFonts w:ascii="Arial" w:cs="Arial" w:eastAsia="Arial" w:hAnsi="Arial"/>
          <w:sz w:val="17"/>
          <w:szCs w:val="17"/>
          <w:color w:val="auto"/>
        </w:rPr>
        <w:t>was $32.1 million and $28.6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 We use probability scenarios to estimate when future operations will cease and inflate the current cost of closing the non-landfill facility on a probability weighted basis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the probability scenarios as to when future operations at a location might cease, or in the expected timing of the cost expenditures. Changes in estimates for non-landfill closure and post-closure events immediately impact the required liability and the value of the corresponding asset. If a change is made to a fully-consumed asset, the adjustment is charged immediately to expense. When a change in estimate relates to an asset that has not been fully consumed, the adjustment to the asset is recognized in income prospectively as a component of amortization. Historically, material changes to non-landfill closure and post-closure estimates have been infrequent. See Note 10, "Closure and Post-Closure Liabilities," to our consolidated financial statements included in Item 8 of this report for the changes to these Landfill and Non-Landfill Closure and Post-Closure liabilities during the years ended December 31, 2018 and 2017.</w:t>
      </w:r>
    </w:p>
    <w:p>
      <w:pPr>
        <w:spacing w:after="0" w:line="235"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i w:val="1"/>
          <w:iCs w:val="1"/>
          <w:color w:val="auto"/>
        </w:rPr>
        <w:t xml:space="preserve">Remedial Liabilities. </w:t>
      </w:r>
      <w:r>
        <w:rPr>
          <w:rFonts w:ascii="Arial" w:cs="Arial" w:eastAsia="Arial" w:hAnsi="Arial"/>
          <w:sz w:val="16"/>
          <w:szCs w:val="16"/>
          <w:color w:val="auto"/>
        </w:rPr>
        <w:t>The balance of our remedial liabilities at December 31, 2018 and 2017 was $121.0 million and $124.5 million, respectively.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 11, "Remedial Liabilities," to our consolidated financial statements included in Item 8 of this report for the changes to the remedial liabilities during the years ended December 31, 2018 and 2017. Remedial liabilities are obligations to investigate, alleviate and/or eliminate the effects of a release (or threat of a release) of hazardous substances into the environment and may also include corrective action under RCRA. Our remediation obligations can be further characterized as Long-term Maintenance, One-Time Projects, Legal and Superfund.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actions or inactions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As described in Note 18, "Commitments and Contingencies," to our consolidated financial statements included in Item 8 of this report, Superfund liabilities also include certain liabilities payable to governmental entities for which we are potentially liable to reimburse the sellers in connection with our 2002 acquisition of substantially all of the assets of the Chemical Services Division (the "CSD assets") of Safety-Kleen Corp. Long-term maintenance liabilities include the costs of groundwater monitoring, treatment system operations, permit fees and facility maintenance for inactive operations. One-Time Projects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liabilities include the costs necessary to comply with regulatory requirements for the removal or treatment of contaminated materials.</w:t>
      </w:r>
    </w:p>
    <w:p>
      <w:pPr>
        <w:spacing w:after="0" w:line="27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Remedial liabilities are discounted only when the timing of the payments is estimable and the amounts are determinable, with the exception of remedial liabilities assumed as part of an acquisition that are measured at fair value.</w:t>
      </w:r>
    </w:p>
    <w:p>
      <w:pPr>
        <w:spacing w:after="0" w:line="224"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w:t>
      </w:r>
    </w:p>
    <w:p>
      <w:pPr>
        <w:spacing w:after="0" w:line="23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Goodwill and Other Long-Lived Assets</w:t>
      </w:r>
      <w:r>
        <w:rPr>
          <w:rFonts w:ascii="Arial" w:cs="Arial" w:eastAsia="Arial" w:hAnsi="Arial"/>
          <w:sz w:val="18"/>
          <w:szCs w:val="18"/>
          <w:color w:val="auto"/>
        </w:rPr>
        <w:t>. Goodwill is not amortized but is reviewed for impairment annually as of December 31 or when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241"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determine our reporting units by identifying the components of each operating segment, and then in some circumstances aggregate components having similar economic characteristics based on quantitative and/or qualitative factors. During the first quarter of fiscal year 2018, we reassigned certain components among our operating segments to be in line with management reporting changes and as a result concluded there was a change in our operating segments resulting in two such segments in 2018, namely (i) the Environmental Services segment and (ii) the Safety-Kleen segment. As a result of our identification of operating segments, we also concluded that, for purposes of reviewing for potential goodwill impairment, we now have four reporting units, consisting of Environmental Sales and Service, Environmental Facilities, Kleen Performance Products and Safety-Kleen Environmental Services. We allocated goodwill to the newly identified reporting units using a relative fair value approach. In addition, we completed an assessment of any potential goodwill impairment for all reporting units immediately prior and subsequent to the reallocation and determined that no impairment existed.</w:t>
      </w:r>
    </w:p>
    <w:p>
      <w:pPr>
        <w:spacing w:after="0" w:line="22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conducted our annual impairment test of goodwill for all of our reporting units to which goodwill was allocated as of December 31, 2018 and determined that no adjustment to the carrying value of goodwill for any reporting unit was then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08" w:lineRule="exact"/>
        <w:rPr>
          <w:sz w:val="20"/>
          <w:szCs w:val="20"/>
          <w:color w:val="auto"/>
        </w:rPr>
      </w:pPr>
    </w:p>
    <w:p>
      <w:pPr>
        <w:ind w:right="240" w:firstLine="392"/>
        <w:spacing w:after="0" w:line="259" w:lineRule="auto"/>
        <w:rPr>
          <w:sz w:val="20"/>
          <w:szCs w:val="20"/>
          <w:color w:val="auto"/>
        </w:rPr>
      </w:pPr>
      <w:r>
        <w:rPr>
          <w:rFonts w:ascii="Arial" w:cs="Arial" w:eastAsia="Arial" w:hAnsi="Arial"/>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we perform a quantitative test to determine the fair value. The impairment loss, if any, is measured as the excess of the carrying value of the asset over its fair value. The estimated fair values of the indefinite-lived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intangibles exceeded their carrying values at December 31, 2018. However, we will continue to monitor the performance of our indefinite-lived intangible assets, and future events might result in an impairment of indefinite-lived intangible assets.</w:t>
      </w:r>
    </w:p>
    <w:p>
      <w:pPr>
        <w:spacing w:after="0" w:line="8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projected undiscounted future cash flows associated with the related asset or group of assets to the respective carrying amounts. The impairment loss, if any, would be measured as the excess of the carrying amount over the fair value of the asset and is recorded in the period in which the determination is made. Any resulting impairment losses recorded by us would have an adverse impact on our results of operations.</w:t>
      </w:r>
    </w:p>
    <w:p>
      <w:pPr>
        <w:spacing w:after="0" w:line="112"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consideration of historical goodwill impairments for our Oil and Gas Field Services and Lodging Services operations and continued lower than historical results in the oil and gas related industries, specifically in Western Canada, we continue to monitor the carrying value of those business’ long-lived assets and assess the risk of asset impairment. As of December 31, 2018, our Oil and Gas Field Services and Lodging Services operations had property, plant and equipment, net of $55.2 million and $65.9 million, respectively, and intangible assets of $0.6 million and $1.4 million, respectively. We concluded that no events or circumstances have arisen during 2018 which would indicate that the carrying values of those asset groups are not recoverable.</w:t>
      </w:r>
    </w:p>
    <w:p>
      <w:pPr>
        <w:spacing w:after="0" w:line="11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will continue to evaluate all of our goodwill and other long-lived assets impacted by economic downturns most predominantly in the oil and energy related markets in which we operate. If further economic difficulties resulting from depressed oil and gas related pricing and lower overall activity levels, particularly in our Canadian operations, continue for a significant foreseeable period of time and thus future operating results are significantly less than current expectations, additional impairment charges may be recognized. The market conditions which could lead to such future impairments are currently most prevalent in our Oil and Gas Field Services and Lodging Services operations.</w:t>
      </w:r>
    </w:p>
    <w:p>
      <w:pPr>
        <w:spacing w:after="0" w:line="10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Legal Matters. </w:t>
      </w:r>
      <w:r>
        <w:rPr>
          <w:rFonts w:ascii="Arial" w:cs="Arial" w:eastAsia="Arial" w:hAnsi="Arial"/>
          <w:sz w:val="17"/>
          <w:szCs w:val="17"/>
          <w:color w:val="auto"/>
        </w:rPr>
        <w:t>As described in Note 18, "Commitments and Contingencies," to our consolidated financial statements included in Item 8 of this report,</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legal proceedings which relate to our past acquisitions or which have arisen in the ordinary course of business. Accruals are established for legal matters when, in our opinion, it is probable that a liability exists and the liability can be reasonably estimated. As of December 31, 2018, we had reserves of $25.4 million consisting of (i) $17.9 million related to pending legal or administrative proceedings, including Superfund liabilities, which were included in remedial liabilities on the consolidated balance sheets and (ii) $7.5 million primarily related to legal claims as well as federal, state and provincial enforcement actions, which were included in accrued expenses on the consolidated balance sheets. We also estimate that it is "reasonably possible," as that term is defined ("more than remote but less than likely"), that the amount of such total liabilities could be as much as $1.8 million more. Actual expenses incurred in future periods could differ materially from accruals established.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4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foreign currency rates, primarily relating to the Canadian dollar. Our philosophy in managing interest rate risk is to maintain a debt portfolio inclusive of both variable and fixed-rate debt so as to limit our interest expense and exposure to interest rate volatility. During the third quarter of 2018, we entered into interest rate swap agreements with the intention of hedging interest rate exposure on a portion of our outstanding LIBOR-based variable rate senior secured term loans. Under the terms of the swaps, we receive interest based on the 1-month LIBOR index and pay interest at a weighted average rate of approximately 2.92% on an initial notional amount of $350.0 million. When combined with the 1.75% interest rate margin for Eurocurrency borrowings, the effective annual interest rate on such $350.0 million aggregate principal amount of term loans is therefore approximately 4.67%.</w:t>
      </w:r>
    </w:p>
    <w:p>
      <w:pPr>
        <w:spacing w:after="0" w:line="9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have designated our interest rate swap agreements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regarding our fixed and variable rate borrowings at December 31, 2018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Scheduled Maturity Dates</w:t>
            </w: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33"/>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loans due 2024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742,232</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Senior unsecured notes due 2021</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845,000</w:t>
            </w: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 term obligations, at par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852,535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704,557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1,587,232</w:t>
            </w:r>
          </w:p>
        </w:tc>
      </w:tr>
      <w:tr>
        <w:trPr>
          <w:trHeight w:val="27"/>
        </w:trPr>
        <w:tc>
          <w:tcPr>
            <w:tcW w:w="2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The interest rate on the $845 million senior unsecured notes due June 1, 2021 is fixed at 5.125%. Interest payments are due in the amount of $21.7 million each related to the $845.0 million senior unsecured notes payable semi-annually on June 1 and December 1 of each year.</w:t>
      </w:r>
    </w:p>
    <w:p>
      <w:pPr>
        <w:spacing w:after="0" w:line="93"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We continue to have interest rate risk relative to our term loan borrowing exceeding $350 million or $392.2 million as of December 31, 2018. The effective interest rate of the term loans as of December 31, 2018 was 4.27%. Should the average interest rate on the variable rate portion of our long-term obligations change by 100 basis points, we estimate that our annual interest expense would change by up to approximately $4.0 million.</w:t>
      </w:r>
    </w:p>
    <w:p>
      <w:pPr>
        <w:spacing w:after="0" w:line="9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In addition to the fixed and variable rate borrowings described in the above table, we have a revolving credit facility with maximum borrowings of up to $400.0 million (with a $325.0 million sub-limit for letters of credit), under which no borrowings were outstanding at December 31, 2018.</w:t>
      </w:r>
    </w:p>
    <w:p>
      <w:pPr>
        <w:spacing w:after="0" w:line="93"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We view our investment in our foreign subsidiaries as long-term; thus, we have not entered into any hedging transactions between any two foreign currencies or between any of the foreign currencies and the U.S. dollar. Given this significant investment in Canada and the fluctuations that have and can occur between the U.S. Dollar and Canadian Dollar exchange rates, significant movements in cumulative translation adjustment amounts recorded as a component of other comprehensive income (loss) can occur in any given period.</w:t>
      </w:r>
    </w:p>
    <w:p>
      <w:pPr>
        <w:spacing w:after="0" w:line="13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During 2018, our Canadian subsidiaries transacted business in U.S. dollars and at any period end had cash on deposit in U.S. dollars and outstanding U.S. dollar accounts receivable related to those transactions. Those cash and receivable accounts are vulnerable to foreign currency transaction gains or losses. Exchange rate movements also affect the translation of Canadian generated profits and losses into U.S. dollars. Had the Canadian dollar been 10.0% stronger or weaker against the U.S. dollar, we would have reported increased or decreased net income of $4.8 million and $5.6 million for the years ended December 31, 2018 and 2017, respectively.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98" w:lineRule="exact"/>
        <w:rPr>
          <w:sz w:val="20"/>
          <w:szCs w:val="20"/>
          <w:color w:val="auto"/>
        </w:rPr>
      </w:pPr>
    </w:p>
    <w:p>
      <w:pPr>
        <w:ind w:right="2620" w:firstLine="2624"/>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Clean Harbors, Inc.</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Clean Harbors, Inc. and subsidiaries (the "Company") as of December 31, 2018 and 2017, the related consolidated statements of operations, comprehensive income, cash flows, and stockholders’ equity for each of the three years in the period ended December 31, 2018, and the related notes and the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2019, expressed an unqualified opinion on the Company's internal control over financial reporting.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226,507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319,399</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Short-term marketable securities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52,856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38,179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 of allowances aggregating $44,315 and $27,799,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606,952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528,924</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Unbilled accounts receivable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54,794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35,922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20,445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Inventories and supplies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199,479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176,012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35,175</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1,202,158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1,154,056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1,561,978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1,587,365</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514,189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478,523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Permits and other intangibles,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441,875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469,128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17,498</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974,185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965,149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3,738,321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3,706,570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Current portion of long-term obligations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276,461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224,231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67,822</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233,405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187,982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Current portion of closure, post-closure and remedial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19,782</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602,278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503,817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Closure and post-closure liabilities, less current portion of $9,592 and $6,444,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60,339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54,593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Remedial liabilities, less current portion of $13,442 and $13,338,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107,575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111,130</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Long-term obligations, less current portion</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1,565,021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1,625,537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taxes, unrecognized tax benefits and 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233,352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223,291</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other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1,966,287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2,014,551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contingent liabilities (See Note 18)</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 $.01 par value: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Authorized 80,000,000 shares; issued and outstanding 55,847,261 and 56,501,190 shares,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655,415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686,962</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(223,371)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(172,407)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737,154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673,082</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1,169,756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1,188,202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3,738,321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3,706,570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880"/>
              <w:spacing w:after="0"/>
              <w:rPr>
                <w:sz w:val="20"/>
                <w:szCs w:val="20"/>
                <w:color w:val="auto"/>
              </w:rPr>
            </w:pPr>
            <w:r>
              <w:rPr>
                <w:rFonts w:ascii="Arial" w:cs="Arial" w:eastAsia="Arial" w:hAnsi="Arial"/>
                <w:sz w:val="16"/>
                <w:szCs w:val="16"/>
                <w:color w:val="auto"/>
                <w:w w:val="94"/>
              </w:rPr>
              <w:t>The accompanying notes are an integral part of these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18" w:right="23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60"/>
              <w:spacing w:after="0"/>
              <w:rPr>
                <w:sz w:val="20"/>
                <w:szCs w:val="20"/>
                <w:color w:val="auto"/>
              </w:rPr>
            </w:pPr>
            <w:r>
              <w:rPr>
                <w:rFonts w:ascii="Arial" w:cs="Arial" w:eastAsia="Arial" w:hAnsi="Arial"/>
                <w:sz w:val="18"/>
                <w:szCs w:val="18"/>
                <w:color w:val="auto"/>
              </w:rPr>
              <w:t>Service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2,709,239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2,398,650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2,280,809</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591,064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546,328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474,417</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3,300,303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2,944,978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2,755,226</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6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1,861,975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1,641,798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1,543,210</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443,576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420,875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389,647</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2,305,551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2,062,673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1,932,857</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503,747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422,015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10,177</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287,002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34,013</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182,574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69,162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6,195</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Gain on sale of businesses</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16,884</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 of $2,958, $1,897, and $784, respectively</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(83,525)</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(benefit) for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94,482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58,689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8,716</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48,589</w:t>
            </w:r>
          </w:p>
        </w:tc>
      </w:tr>
      <w:tr>
        <w:trPr>
          <w:trHeight w:val="29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65,636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100,739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(39,873)</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304"/>
        </w:trPr>
        <w:tc>
          <w:tcPr>
            <w:tcW w:w="7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r>
      <w:tr>
        <w:trPr>
          <w:trHeight w:val="251"/>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used to compute earnings (loss) per share — Basic</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56,148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57,072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57,532</w:t>
            </w:r>
          </w:p>
        </w:tc>
      </w:tr>
      <w:tr>
        <w:trPr>
          <w:trHeight w:val="25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(loss) per share — 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57,532</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Unrealized gains (losses) on available-for-sale securities (net of taxes (benefits) of $105, $152,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($214),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Unrealized loss on interest rate hedge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Reclassification adjustment for losses on available-for-sale securities and interest rate hedge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included in net income (loss) (net of taxes of $0, $79, and $0,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w w:val="92"/>
              </w:rPr>
              <w:t>Foreign currency translation adjustments (including tax benefits of $5.0 million and $16.8 million</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in 2018 and 2016, respectively)</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41,636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40,728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Unfunded pension liability (net of taxes of $42, $38, and $57, respectively)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41,919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40,566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142,658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9" w:name="page50"/>
    <w:bookmarkEnd w:id="49"/>
    <w:p>
      <w:pPr>
        <w:spacing w:after="0" w:line="4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CLEAN HARBORS,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65,636</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100,739</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(39,873)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from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298,625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288,422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287,002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 impairment charge</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34,013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Allowance for doubtful accounts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15,817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6,907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deferred financing costs and debt discount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Accretion of environmental liabilities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9,806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9,460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10,177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environmental liability estimates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19,089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(83,335)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15,184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(income),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16,792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13,146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10,481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 of stock-based compensation</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Net tax benefit on stock-based awards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sale of businesses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7,891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Environmental expenditures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 and unbilled accounts receivable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(79,563)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(15,009)</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Inventories and supplies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(26,958)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(16,080)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current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(8,036)</w:t>
            </w:r>
          </w:p>
        </w:tc>
        <w:tc>
          <w:tcPr>
            <w:tcW w:w="0" w:type="dxa"/>
            <w:vAlign w:val="bottom"/>
          </w:tcPr>
          <w:p>
            <w:pPr>
              <w:spacing w:after="0"/>
              <w:rPr>
                <w:sz w:val="1"/>
                <w:szCs w:val="1"/>
                <w:color w:val="auto"/>
              </w:rPr>
            </w:pPr>
          </w:p>
        </w:tc>
      </w:tr>
      <w:tr>
        <w:trPr>
          <w:trHeight w:val="264"/>
        </w:trPr>
        <w:tc>
          <w:tcPr>
            <w:tcW w:w="74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46,915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(10,684)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current and long-term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12,121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8,495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13,850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from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373,210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285,698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259,624</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used in investing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(193,344)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(167,007)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(219,384)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and disposal of fixed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20,817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(151,023)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(49,227)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(206,915)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intangible assets including costs to obtain or renew permits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Purchases of available-for-sale securities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(44,772)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(38,342)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available-for-sale securities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Proceeds from sale of businesses, net of transactional costs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45,426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47,134</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(349,659)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(203,267)</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(361,777)</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Cash flows (used in) from financing activities: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uncashed checks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payments related to withholdings on vested restricted stock</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(45,080)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(48,971)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(22,188)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 of stock-based compensation</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financing costs paid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(4,031)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Premiums paid on early extinguishment of debt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Principal payments on debt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(405,768)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(402,000)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senior secured notes, net of discount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348,250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399,000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Issuance of senior unsecured notes, including premium</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250,625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Borrowing from revolving credit facility</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Payment on revolving credit facility</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Net cash (used in) from financing activities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(110,997)</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(72,760)</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220,235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 on cash</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increase in cash and cash equivalents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122,289</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319,399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306,997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184,708</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year</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319,399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306,997</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Supplemental information:</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payments for interest and income taxes: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paid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89,171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93,174</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88,669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paid</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29,255</w:t>
            </w:r>
          </w:p>
        </w:tc>
        <w:tc>
          <w:tcPr>
            <w:tcW w:w="0" w:type="dxa"/>
            <w:vAlign w:val="bottom"/>
          </w:tcPr>
          <w:p>
            <w:pPr>
              <w:spacing w:after="0"/>
              <w:rPr>
                <w:sz w:val="1"/>
                <w:szCs w:val="1"/>
                <w:color w:val="auto"/>
              </w:rPr>
            </w:pPr>
          </w:p>
        </w:tc>
      </w:tr>
    </w:tbl>
    <w:p>
      <w:pPr>
        <w:sectPr>
          <w:pgSz w:w="11900" w:h="16884" w:orient="portrait"/>
          <w:cols w:equalWidth="0" w:num="1">
            <w:col w:w="11420"/>
          </w:cols>
          <w:pgMar w:left="240" w:top="118" w:right="2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00" w:type="dxa"/>
            <w:vAlign w:val="bottom"/>
          </w:tcPr>
          <w:p>
            <w:pPr>
              <w:ind w:left="40"/>
              <w:spacing w:after="0"/>
              <w:rPr>
                <w:sz w:val="20"/>
                <w:szCs w:val="20"/>
                <w:color w:val="auto"/>
              </w:rPr>
            </w:pPr>
            <w:r>
              <w:rPr>
                <w:rFonts w:ascii="Arial" w:cs="Arial" w:eastAsia="Arial" w:hAnsi="Arial"/>
                <w:sz w:val="14"/>
                <w:szCs w:val="14"/>
                <w:color w:val="auto"/>
              </w:rPr>
              <w:t>Non-cash investing activities:</w:t>
            </w:r>
          </w:p>
        </w:tc>
        <w:tc>
          <w:tcPr>
            <w:tcW w:w="3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80"/>
        </w:trPr>
        <w:tc>
          <w:tcPr>
            <w:tcW w:w="60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270"/>
        </w:trPr>
        <w:tc>
          <w:tcPr>
            <w:tcW w:w="6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plant and equipment accrued</w:t>
            </w:r>
          </w:p>
        </w:tc>
        <w:tc>
          <w:tcPr>
            <w:tcW w:w="31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15,657</w:t>
            </w:r>
          </w:p>
        </w:tc>
        <w:tc>
          <w:tcPr>
            <w:tcW w:w="13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16,109</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9,214</w:t>
            </w:r>
          </w:p>
        </w:tc>
      </w:tr>
      <w:tr>
        <w:trPr>
          <w:trHeight w:val="264"/>
        </w:trPr>
        <w:tc>
          <w:tcPr>
            <w:tcW w:w="6000" w:type="dxa"/>
            <w:vAlign w:val="bottom"/>
          </w:tcPr>
          <w:p>
            <w:pPr>
              <w:ind w:left="280"/>
              <w:spacing w:after="0"/>
              <w:rPr>
                <w:sz w:val="20"/>
                <w:szCs w:val="20"/>
                <w:color w:val="auto"/>
              </w:rPr>
            </w:pPr>
            <w:r>
              <w:rPr>
                <w:rFonts w:ascii="Arial" w:cs="Arial" w:eastAsia="Arial" w:hAnsi="Arial"/>
                <w:sz w:val="14"/>
                <w:szCs w:val="14"/>
                <w:color w:val="auto"/>
              </w:rPr>
              <w:t>Transfer of inventory to property, plant and equipment</w:t>
            </w:r>
          </w:p>
        </w:tc>
        <w:tc>
          <w:tcPr>
            <w:tcW w:w="31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12,641</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(Payable) receivable for estimated purchase price adjustment</w:t>
            </w:r>
          </w:p>
        </w:tc>
        <w:tc>
          <w:tcPr>
            <w:tcW w:w="31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(4,032)</w:t>
            </w:r>
          </w:p>
        </w:tc>
        <w:tc>
          <w:tcPr>
            <w:tcW w:w="13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1,910</w:t>
            </w:r>
          </w:p>
        </w:tc>
      </w:tr>
    </w:tbl>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88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Shares Held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5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Employee</w:t>
            </w:r>
          </w:p>
        </w:tc>
        <w:tc>
          <w:tcPr>
            <w:tcW w:w="8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restart"/>
          </w:tcPr>
          <w:p>
            <w:pPr>
              <w:jc w:val="right"/>
              <w:ind w:right="20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2"/>
        </w:trPr>
        <w:tc>
          <w:tcPr>
            <w:tcW w:w="4580" w:type="dxa"/>
            <w:vAlign w:val="bottom"/>
          </w:tcPr>
          <w:p>
            <w:pPr>
              <w:spacing w:after="0"/>
              <w:rPr>
                <w:sz w:val="8"/>
                <w:szCs w:val="8"/>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$0.01 Par</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Participation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2016</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57,593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738,401</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612,666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1,096,282</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(39,873)</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10,481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10,481</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Issuance of restricted shares, net of shares remitted and tax withholdings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(22,188)</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tax benefit on stock-based awards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57,298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725,670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572,793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1,084,241</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100,739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100,739</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Cumulative effect of change in accounting for 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41,919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41,919</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w w:val="96"/>
              </w:rPr>
              <w:t>Issuance of restricted shares, net of shares remitted and tax withholdings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Shares held under employee participation plan</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(907)</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(48,962)</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(48,971)</w:t>
            </w:r>
          </w:p>
        </w:tc>
        <w:tc>
          <w:tcPr>
            <w:tcW w:w="0" w:type="dxa"/>
            <w:vAlign w:val="bottom"/>
          </w:tcPr>
          <w:p>
            <w:pPr>
              <w:spacing w:after="0"/>
              <w:rPr>
                <w:sz w:val="1"/>
                <w:szCs w:val="1"/>
                <w:color w:val="auto"/>
              </w:rPr>
            </w:pPr>
          </w:p>
        </w:tc>
      </w:tr>
      <w:tr>
        <w:trPr>
          <w:trHeight w:val="244"/>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56,501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686,962</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(172,407)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673,082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1,188,202</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65,636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Cumulative effect of change in accounting principle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(50,964)</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16,792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16,792</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Issuance of restricted shares, net of shares remitted and tax withholdings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(45,072)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(45,080)</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655,415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737,154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1,169,756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w:t>
      </w:r>
    </w:p>
    <w:p>
      <w:pPr>
        <w:spacing w:after="0" w:line="148" w:lineRule="exact"/>
        <w:rPr>
          <w:sz w:val="20"/>
          <w:szCs w:val="20"/>
          <w:color w:val="auto"/>
        </w:rPr>
      </w:pPr>
    </w:p>
    <w:p>
      <w:pPr>
        <w:jc w:val="both"/>
        <w:ind w:right="500" w:firstLine="432"/>
        <w:spacing w:after="0" w:line="264" w:lineRule="auto"/>
        <w:rPr>
          <w:sz w:val="20"/>
          <w:szCs w:val="20"/>
          <w:color w:val="auto"/>
        </w:rPr>
      </w:pPr>
      <w:r>
        <w:rPr>
          <w:rFonts w:ascii="Arial" w:cs="Arial" w:eastAsia="Arial" w:hAnsi="Arial"/>
          <w:sz w:val="18"/>
          <w:szCs w:val="18"/>
          <w:color w:val="auto"/>
        </w:rPr>
        <w:t>Clean Harbors, Inc., through its subsidiaries (collectively, the "Company"), is a leading provider of environmental, energy and industrial services throughout North America. We are also the largest re-refiner and recycler of used oil in the world and the largest provider of parts cleaning and related environmental services to commercial, industrial and automotive customers in North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accompanying consolidated financial statements of the Company reflect the application of certain significant accounting policies as described below:</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Principles of Consolidation</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accompanying consolidated statements include the accounts of Clean Harbors, Inc. and its majority-owned subsidiaries. All intercompany accounts and transactions have been eliminated in consolidation.</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 of Estimates</w:t>
      </w:r>
    </w:p>
    <w:p>
      <w:pPr>
        <w:spacing w:after="0" w:line="27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which are evaluated on an ongoing basis, that affect the amounts reported in the Company's consolidated financial statements and accompanying notes. Management bases its estimates on historical experience and on various other assumptions it believes to be reasonable at the time under the circumstances, the results of which form the basis for making judgments about the carrying values of assets and liabilities and disclosure, if any, of contingent assets and liabilities and reported amounts of revenues and expenses. Actual results could differ from those estimates and judgments.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Cash Equivalents and Uncashed Checks</w:t>
      </w:r>
    </w:p>
    <w:p>
      <w:pPr>
        <w:spacing w:after="0" w:line="279"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Cash consists primarily of cash on deposit and money market accounts. Marketable securities with maturities of three months or less from the date of purchase are classified as cash equivalents. The Company's cash management program with its revolving credit lender allows for the maintenance of a zero balance in the U.S. bank disbursement accounts that are used to issue vendor and payroll checks. The program can result in checks outstanding in excess of bank balances in the disbursement accounts. When checks are presented to the bank for payment, cash deposits in amounts sufficient to fund the checks are made, at the Company's discretion, either from funds provided by other accounts or under the terms of the Company's revolving credit facility. Therefore, until checks are presented for payment, there is no right of offset by the bank and the Company continues to have control over cash relating to both released as well as unreleased checks. Checks that have been written to vendors or employees but have not yet been presented for payment at the Company's bank are classified as uncashed checks as part of accounts payable and changes in the balance are reported as a financing activity in the statement of cash flows.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Marketable Securities</w:t>
      </w:r>
    </w:p>
    <w:p>
      <w:pPr>
        <w:spacing w:after="0" w:line="144"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Company, through its wholly-owned captive insurance subsidiary, invests in marketable securities consisting of U.S. Treasury securities, corporate notes and bonds and commercial paper. Marketable securities with original maturities greater than three months from the purchase date and remaining maturities less than one year are classified as short-term marketable securities. As of December 31, 2018 and 2017 the Company has recorded total marketable securities and cash equivalents of $61.0 million and $40.2 million, respectively, as shown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18" w:right="2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394970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r>
      <w:tr>
        <w:trPr>
          <w:trHeight w:val="237"/>
        </w:trPr>
        <w:tc>
          <w:tcPr>
            <w:tcW w:w="790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2,048</w:t>
            </w:r>
          </w:p>
        </w:tc>
      </w:tr>
      <w:tr>
        <w:trPr>
          <w:trHeight w:val="27"/>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15"/>
        </w:trPr>
        <w:tc>
          <w:tcPr>
            <w:tcW w:w="7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Corporate notes and bonds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38,036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32,729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w:t>
            </w:r>
          </w:p>
        </w:tc>
      </w:tr>
      <w:tr>
        <w:trPr>
          <w:trHeight w:val="237"/>
        </w:trPr>
        <w:tc>
          <w:tcPr>
            <w:tcW w:w="7900" w:type="dxa"/>
            <w:vAlign w:val="bottom"/>
          </w:tcPr>
          <w:p>
            <w:pPr>
              <w:ind w:left="260"/>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52,856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38,179</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60,982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40,227</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Realized gains and losses on sales of available-for-sale securities in the years ended December 31, 2018, 2017 and 2016 were immaterial. The majority of the marketable securities have a remaining maturity of less than one year and fair value approximates cost.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Allowances for Doubtful Accounts</w:t>
      </w:r>
    </w:p>
    <w:p>
      <w:pPr>
        <w:spacing w:after="0" w:line="2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a regular basis, the Company evaluates its accounts receivable and establishes the allowance for doubtful accounts based on an evaluation of certain criteria and evidence of collection certainty including historical collection trends, current economic trends and changes in customer payment patterns. Past-due receivable balances are written off when the Company's internal collection efforts have been deemed unsuccessful in collecting the outstanding balance due.</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Concentration</w:t>
      </w:r>
    </w:p>
    <w:p>
      <w:pPr>
        <w:spacing w:after="0" w:line="279" w:lineRule="exact"/>
        <w:rPr>
          <w:sz w:val="20"/>
          <w:szCs w:val="20"/>
          <w:color w:val="auto"/>
        </w:rPr>
      </w:pPr>
    </w:p>
    <w:p>
      <w:pPr>
        <w:ind w:right="400" w:firstLine="432"/>
        <w:spacing w:after="0" w:line="302" w:lineRule="auto"/>
        <w:rPr>
          <w:sz w:val="20"/>
          <w:szCs w:val="20"/>
          <w:color w:val="auto"/>
        </w:rPr>
      </w:pPr>
      <w:r>
        <w:rPr>
          <w:rFonts w:ascii="Arial" w:cs="Arial" w:eastAsia="Arial" w:hAnsi="Arial"/>
          <w:sz w:val="16"/>
          <w:szCs w:val="16"/>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revenues in the periods presented.</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Inventories and Supplies</w:t>
      </w:r>
    </w:p>
    <w:p>
      <w:pPr>
        <w:spacing w:after="0" w:line="279"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Inventories are stated at the lower of cost or market. The cost of oil and oil products is principally determined on a first-in, first-out ("FIFO") basis. The cost of supplies and drums, solvent and solution and other inventories is determined on a FIFO or a weighted average cost basis. The Company continually reviews its inventories for obsolete or unsalable items and adjusts its carrying value to reflect estimated realizable values.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Plant and Equipment (excluding landfill assets)</w:t>
      </w:r>
    </w:p>
    <w:p>
      <w:pPr>
        <w:spacing w:after="0" w:line="279"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Property, plant and equipment are stated at cost. Expenditures for major renewals and improvements which extend the life or usefulness of the asset are capitalized. Items of an ordinary repair or maintenance nature are charged directly to operating expense as incurred. During the construction and development period of an asset, the costs incurred, including applicable interest costs, are classified as construction-in-progress.</w:t>
      </w:r>
    </w:p>
    <w:p>
      <w:pPr>
        <w:sectPr>
          <w:pgSz w:w="11900" w:h="16838" w:orient="portrait"/>
          <w:cols w:equalWidth="0" w:num="1">
            <w:col w:w="11420"/>
          </w:cols>
          <w:pgMar w:left="240" w:top="252" w:right="239" w:bottom="8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252" w:right="239" w:bottom="892"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580" w:type="dxa"/>
            <w:vAlign w:val="bottom"/>
            <w:gridSpan w:val="2"/>
          </w:tcPr>
          <w:p>
            <w:pPr>
              <w:ind w:left="3800"/>
              <w:spacing w:after="0"/>
              <w:rPr>
                <w:sz w:val="20"/>
                <w:szCs w:val="20"/>
                <w:color w:val="auto"/>
              </w:rPr>
            </w:pPr>
            <w:r>
              <w:rPr>
                <w:rFonts w:ascii="Arial" w:cs="Arial" w:eastAsia="Arial" w:hAnsi="Arial"/>
                <w:sz w:val="18"/>
                <w:szCs w:val="18"/>
                <w:b w:val="1"/>
                <w:bCs w:val="1"/>
                <w:color w:val="auto"/>
              </w:rPr>
              <w:t>CLEAN HARBORS, INC. AND SUBSIDIARIES</w:t>
            </w:r>
          </w:p>
        </w:tc>
        <w:tc>
          <w:tcPr>
            <w:tcW w:w="180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9580" w:type="dxa"/>
            <w:vAlign w:val="bottom"/>
            <w:gridSpan w:val="2"/>
          </w:tcPr>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800" w:type="dxa"/>
            <w:vAlign w:val="bottom"/>
          </w:tcPr>
          <w:p>
            <w:pPr>
              <w:spacing w:after="0"/>
              <w:rPr>
                <w:sz w:val="24"/>
                <w:szCs w:val="24"/>
                <w:color w:val="auto"/>
              </w:rPr>
            </w:pPr>
          </w:p>
        </w:tc>
      </w:tr>
      <w:tr>
        <w:trPr>
          <w:trHeight w:val="594"/>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(2) SIGNIFICANT ACCOUNTING POLICIES (Continued)</w:t>
            </w:r>
          </w:p>
        </w:tc>
        <w:tc>
          <w:tcPr>
            <w:tcW w:w="180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9580" w:type="dxa"/>
            <w:vAlign w:val="bottom"/>
            <w:gridSpan w:val="2"/>
          </w:tcPr>
          <w:p>
            <w:pPr>
              <w:ind w:left="400"/>
              <w:spacing w:after="0"/>
              <w:rPr>
                <w:sz w:val="20"/>
                <w:szCs w:val="20"/>
                <w:color w:val="auto"/>
              </w:rPr>
            </w:pPr>
            <w:r>
              <w:rPr>
                <w:rFonts w:ascii="Arial" w:cs="Arial" w:eastAsia="Arial" w:hAnsi="Arial"/>
                <w:sz w:val="18"/>
                <w:szCs w:val="18"/>
                <w:color w:val="auto"/>
              </w:rPr>
              <w:t>The Company depreciates and amortizes the cost of these assets, using the straight-line method as follows:</w:t>
            </w:r>
          </w:p>
        </w:tc>
        <w:tc>
          <w:tcPr>
            <w:tcW w:w="1800" w:type="dxa"/>
            <w:vAlign w:val="bottom"/>
          </w:tcPr>
          <w:p>
            <w:pPr>
              <w:spacing w:after="0"/>
              <w:rPr>
                <w:sz w:val="24"/>
                <w:szCs w:val="24"/>
                <w:color w:val="auto"/>
              </w:rPr>
            </w:pPr>
          </w:p>
        </w:tc>
      </w:tr>
      <w:tr>
        <w:trPr>
          <w:trHeight w:val="588"/>
        </w:trPr>
        <w:tc>
          <w:tcPr>
            <w:tcW w:w="20" w:type="dxa"/>
            <w:vAlign w:val="bottom"/>
          </w:tcPr>
          <w:p>
            <w:pPr>
              <w:spacing w:after="0"/>
              <w:rPr>
                <w:sz w:val="24"/>
                <w:szCs w:val="24"/>
                <w:color w:val="auto"/>
              </w:rPr>
            </w:pPr>
          </w:p>
        </w:tc>
        <w:tc>
          <w:tcPr>
            <w:tcW w:w="9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Classification</w:t>
            </w:r>
          </w:p>
        </w:tc>
        <w:tc>
          <w:tcPr>
            <w:tcW w:w="1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Estimated Useful Life</w:t>
            </w:r>
          </w:p>
        </w:tc>
      </w:tr>
      <w:tr>
        <w:trPr>
          <w:trHeight w:val="250"/>
        </w:trPr>
        <w:tc>
          <w:tcPr>
            <w:tcW w:w="20" w:type="dxa"/>
            <w:vAlign w:val="bottom"/>
          </w:tcPr>
          <w:p>
            <w:pPr>
              <w:spacing w:after="0"/>
              <w:rPr>
                <w:sz w:val="21"/>
                <w:szCs w:val="21"/>
                <w:color w:val="auto"/>
              </w:rPr>
            </w:pPr>
          </w:p>
        </w:tc>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Buildings</w:t>
            </w:r>
          </w:p>
        </w:tc>
        <w:tc>
          <w:tcPr>
            <w:tcW w:w="1800" w:type="dxa"/>
            <w:vAlign w:val="bottom"/>
          </w:tcPr>
          <w:p>
            <w:pPr>
              <w:ind w:left="20"/>
              <w:spacing w:after="0"/>
              <w:rPr>
                <w:sz w:val="20"/>
                <w:szCs w:val="20"/>
                <w:color w:val="auto"/>
              </w:rPr>
            </w:pPr>
            <w:r>
              <w:rPr>
                <w:rFonts w:ascii="Arial" w:cs="Arial" w:eastAsia="Arial" w:hAnsi="Arial"/>
                <w:sz w:val="18"/>
                <w:szCs w:val="18"/>
                <w:color w:val="auto"/>
              </w:rPr>
              <w:t>20–42 years</w:t>
            </w: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Leasehold and building improvements</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2–45 years</w:t>
            </w:r>
          </w:p>
        </w:tc>
      </w:tr>
      <w:tr>
        <w:trPr>
          <w:trHeight w:val="243"/>
        </w:trPr>
        <w:tc>
          <w:tcPr>
            <w:tcW w:w="20" w:type="dxa"/>
            <w:vAlign w:val="bottom"/>
          </w:tcPr>
          <w:p>
            <w:pPr>
              <w:spacing w:after="0"/>
              <w:rPr>
                <w:sz w:val="21"/>
                <w:szCs w:val="21"/>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rPr>
              <w:t>Camp and lodging equipment</w:t>
            </w:r>
          </w:p>
        </w:tc>
        <w:tc>
          <w:tcPr>
            <w:tcW w:w="1800" w:type="dxa"/>
            <w:vAlign w:val="bottom"/>
          </w:tcPr>
          <w:p>
            <w:pPr>
              <w:ind w:left="20"/>
              <w:spacing w:after="0"/>
              <w:rPr>
                <w:sz w:val="20"/>
                <w:szCs w:val="20"/>
                <w:color w:val="auto"/>
              </w:rPr>
            </w:pPr>
            <w:r>
              <w:rPr>
                <w:rFonts w:ascii="Arial" w:cs="Arial" w:eastAsia="Arial" w:hAnsi="Arial"/>
                <w:sz w:val="18"/>
                <w:szCs w:val="18"/>
                <w:color w:val="auto"/>
              </w:rPr>
              <w:t>8–15 years</w:t>
            </w: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2–15 years</w:t>
            </w:r>
          </w:p>
        </w:tc>
      </w:tr>
      <w:tr>
        <w:trPr>
          <w:trHeight w:val="243"/>
        </w:trPr>
        <w:tc>
          <w:tcPr>
            <w:tcW w:w="20" w:type="dxa"/>
            <w:vAlign w:val="bottom"/>
          </w:tcPr>
          <w:p>
            <w:pPr>
              <w:spacing w:after="0"/>
              <w:rPr>
                <w:sz w:val="21"/>
                <w:szCs w:val="21"/>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1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Capitalized software and computer equipment</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 years</w:t>
            </w:r>
          </w:p>
        </w:tc>
      </w:tr>
      <w:tr>
        <w:trPr>
          <w:trHeight w:val="243"/>
        </w:trPr>
        <w:tc>
          <w:tcPr>
            <w:tcW w:w="20" w:type="dxa"/>
            <w:vAlign w:val="bottom"/>
          </w:tcPr>
          <w:p>
            <w:pPr>
              <w:spacing w:after="0"/>
              <w:rPr>
                <w:sz w:val="21"/>
                <w:szCs w:val="21"/>
                <w:color w:val="auto"/>
              </w:rPr>
            </w:pP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Containers and railcars</w:t>
            </w:r>
          </w:p>
        </w:tc>
        <w:tc>
          <w:tcPr>
            <w:tcW w:w="1800" w:type="dxa"/>
            <w:vAlign w:val="bottom"/>
          </w:tcPr>
          <w:p>
            <w:pPr>
              <w:ind w:left="20"/>
              <w:spacing w:after="0"/>
              <w:rPr>
                <w:sz w:val="20"/>
                <w:szCs w:val="20"/>
                <w:color w:val="auto"/>
              </w:rPr>
            </w:pPr>
            <w:r>
              <w:rPr>
                <w:rFonts w:ascii="Arial" w:cs="Arial" w:eastAsia="Arial" w:hAnsi="Arial"/>
                <w:sz w:val="18"/>
                <w:szCs w:val="18"/>
                <w:color w:val="auto"/>
              </w:rPr>
              <w:t>8–16 years</w:t>
            </w: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All other equipment</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4–30 years</w:t>
            </w:r>
          </w:p>
        </w:tc>
      </w:tr>
      <w:tr>
        <w:trPr>
          <w:trHeight w:val="243"/>
        </w:trPr>
        <w:tc>
          <w:tcPr>
            <w:tcW w:w="20" w:type="dxa"/>
            <w:vAlign w:val="bottom"/>
          </w:tcPr>
          <w:p>
            <w:pPr>
              <w:spacing w:after="0"/>
              <w:rPr>
                <w:sz w:val="21"/>
                <w:szCs w:val="21"/>
                <w:color w:val="auto"/>
              </w:rPr>
            </w:pPr>
          </w:p>
        </w:tc>
        <w:tc>
          <w:tcPr>
            <w:tcW w:w="958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1800" w:type="dxa"/>
            <w:vAlign w:val="bottom"/>
          </w:tcPr>
          <w:p>
            <w:pPr>
              <w:ind w:left="20"/>
              <w:spacing w:after="0"/>
              <w:rPr>
                <w:sz w:val="20"/>
                <w:szCs w:val="20"/>
                <w:color w:val="auto"/>
              </w:rPr>
            </w:pPr>
            <w:r>
              <w:rPr>
                <w:rFonts w:ascii="Arial" w:cs="Arial" w:eastAsia="Arial" w:hAnsi="Arial"/>
                <w:sz w:val="18"/>
                <w:szCs w:val="18"/>
                <w:color w:val="auto"/>
              </w:rPr>
              <w:t>5–8 years</w:t>
            </w:r>
          </w:p>
        </w:tc>
      </w:tr>
    </w:tbl>
    <w:p>
      <w:pPr>
        <w:spacing w:after="0" w:line="283"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Company recognizes an impairment in the carrying value of long-lived assets when the expected future undiscounted cash flows derived from the assets, or group of assets, are less than their carrying value. For the years ended December 31, 2018, 2017 and 2016, the Company did not record impairment charges related to long-lived assets.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Goodwill is comprised of the purchase price of business acquisitions in excess of the fair value of the net assets acquired. Goodwill is not amortized but is reviewed for impairment annually as of December 31, or when events or circumstances indicate that the carrying value of the reporting unit may exceed its fair value. Upon adoption of Accounting Standards Update (“ASU”) 2017-04 in the fourth quarter of 2017, if the fair value is less than the carrying amount, a loss will be recorded for the excess of the carrying value of the goodwill over the implied value of the goodwill. Prior to adoption of ASU 2017-04, if the fair value was less than the carrying amount, a Step II goodwill impairment test was performed to determine if goodwill was impaired. The loss, if any, was measured as the excess of the carrying value of the goodwill over the implied value of the goodwill. See Note 8, "Goodwill and Other Intangible Assets," for additional information related to the Company's goodwill impairment tests.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Permits and other intangibles</w:t>
      </w:r>
    </w:p>
    <w:p>
      <w:pPr>
        <w:spacing w:after="0" w:line="279" w:lineRule="exact"/>
        <w:rPr>
          <w:sz w:val="20"/>
          <w:szCs w:val="20"/>
          <w:color w:val="auto"/>
        </w:rPr>
      </w:pPr>
    </w:p>
    <w:p>
      <w:pPr>
        <w:ind w:right="460" w:firstLine="405"/>
        <w:spacing w:after="0" w:line="302" w:lineRule="auto"/>
        <w:rPr>
          <w:sz w:val="20"/>
          <w:szCs w:val="20"/>
          <w:color w:val="auto"/>
        </w:rPr>
      </w:pPr>
      <w:r>
        <w:rPr>
          <w:rFonts w:ascii="Arial" w:cs="Arial" w:eastAsia="Arial" w:hAnsi="Arial"/>
          <w:sz w:val="16"/>
          <w:szCs w:val="16"/>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non-compete agreements. Permits relating to landfills are amortized on a units-of-consumption basis. All other permits are amortized over periods ranging from 5 to 30 years on a straight-line basis. Other intangible assets are amortized on a straight-line basis over their respective useful lives, which range from 5 to 20 years.</w:t>
      </w:r>
    </w:p>
    <w:p>
      <w:pPr>
        <w:spacing w:after="0" w:line="7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pacing w:after="0" w:line="18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Leases</w:t>
      </w:r>
    </w:p>
    <w:p>
      <w:pPr>
        <w:spacing w:after="0" w:line="279"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Company leases rolling stock, rail cars, equipment, real estate and office equipment under operating leases. Certain real estate leases contain rent holidays and rent escalation clauses. Most of the Company's real estate lease agreements include renewal periods at the Company's option. For its operating leases, the Company recognizes rent holiday periods and scheduled</w:t>
      </w:r>
    </w:p>
    <w:p>
      <w:pPr>
        <w:sectPr>
          <w:pgSz w:w="11900" w:h="16838" w:orient="portrait"/>
          <w:cols w:equalWidth="0" w:num="1">
            <w:col w:w="11400"/>
          </w:cols>
          <w:pgMar w:left="240" w:top="252"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252" w:right="25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rent increases on a straight-line basis over the lease term beginning with the date the Company takes possession of the leased assets.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Landfill Accounting</w:t>
      </w:r>
    </w:p>
    <w:p>
      <w:pPr>
        <w:spacing w:after="0" w:line="27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22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Landfill assets</w:t>
      </w:r>
      <w:r>
        <w:rPr>
          <w:rFonts w:ascii="Arial" w:cs="Arial" w:eastAsia="Arial" w:hAnsi="Arial"/>
          <w:sz w:val="17"/>
          <w:szCs w:val="17"/>
          <w:color w:val="auto"/>
        </w:rPr>
        <w:t>—Landfill assets include the costs of landfill site acquisition, permits and cell construction incurred to date. These amounts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$10.3 million, $9.5 million and $9.7 million for the years ended December 31, 2018, 2017 and 2016, respectively. Changes in estimated costs to complete construction are applied prospectively to the amortization rate.</w:t>
      </w:r>
    </w:p>
    <w:p>
      <w:pPr>
        <w:spacing w:after="0" w:line="233"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i w:val="1"/>
          <w:iCs w:val="1"/>
          <w:color w:val="auto"/>
        </w:rPr>
        <w:t>Landfill capacity</w:t>
      </w:r>
      <w:r>
        <w:rPr>
          <w:rFonts w:ascii="Arial" w:cs="Arial" w:eastAsia="Arial" w:hAnsi="Arial"/>
          <w:sz w:val="17"/>
          <w:szCs w:val="17"/>
          <w:color w:val="auto"/>
        </w:rPr>
        <w:t>—Landfill capacity, which is the basis for the amortization of landfill assets and for the accrual of final closure and post-closure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represents total permitted airspace plus unpermitted airspace that management believes is probable of ultimately being permitted based on established criteria. The Company applies the following criteria for evaluating the probability of obtaining a permit for future expansion airspace at existing sites, which provides management a basis to evaluate the likelihood of success of unpermitted expansions:</w:t>
      </w:r>
    </w:p>
    <w:p>
      <w:pPr>
        <w:spacing w:after="0" w:line="225" w:lineRule="exact"/>
        <w:rPr>
          <w:sz w:val="20"/>
          <w:szCs w:val="20"/>
          <w:color w:val="auto"/>
        </w:rPr>
      </w:pPr>
    </w:p>
    <w:p>
      <w:pPr>
        <w:ind w:left="660" w:right="3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Personnel are actively working to obtain the permit or permit modifications (land use, state, provincial and federal) necessary for expansion of an existing landfill, and progress is being made on the project.</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Management expects to submit the application within the next year and to receive all necessary approvals to accept waste within the next 5 years.</w:t>
      </w:r>
    </w:p>
    <w:p>
      <w:pPr>
        <w:spacing w:after="0" w:line="302" w:lineRule="exact"/>
        <w:rPr>
          <w:rFonts w:ascii="Arial" w:cs="Arial" w:eastAsia="Arial" w:hAnsi="Arial"/>
          <w:sz w:val="16"/>
          <w:szCs w:val="16"/>
          <w:color w:val="auto"/>
        </w:rPr>
      </w:pPr>
    </w:p>
    <w:p>
      <w:pPr>
        <w:ind w:left="660" w:right="18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the time the expansion is included in the Company's estimate of the landfill's useful economic life, it is probable that the required approvals will be received within the normal application and processing time periods for approvals in the jurisdiction in which the landfill is located.</w:t>
      </w:r>
    </w:p>
    <w:p>
      <w:pPr>
        <w:spacing w:after="0" w:line="17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or other owner of the landfill has a legal right to use or obtain the right to use the land associated with the expansion plan.</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There are no significant known political, technical, legal or business restrictions or issues that could impair the success of such expansion.</w:t>
      </w:r>
    </w:p>
    <w:p>
      <w:pPr>
        <w:spacing w:after="0" w:line="290"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financial feasibility analysis has been completed and the results demonstrate that the expansion will have a positive financial and operational impact such that management is committed to pursuing the expansion.</w:t>
      </w:r>
    </w:p>
    <w:p>
      <w:pPr>
        <w:spacing w:after="0" w:line="224"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airspace and related additional costs, including permitting, final closure and post-closure costs, have been estimated based on the conceptual design of the proposed expansion.</w:t>
      </w:r>
    </w:p>
    <w:p>
      <w:pPr>
        <w:spacing w:after="0" w:line="89"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As of December 31, 2018, there was one unpermitted expansion at one location included in the Company's landfill accounting model, which represented 16.2% of the Company's remaining airspace at that date. If actual expansion airspace is significantly different from the Company's estimate of expansion airspace, the amortization rates used for the units-of-consumption method would change, therefore impacting the Company's profitability. If the Company determines that there is less actual expansion airspace at a landfill, this would increase amortization expense recorded and decrease profitability, while</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252" w:right="239" w:bottom="1440" w:gutter="0" w:footer="0" w:header="0"/>
          <w:type w:val="continuous"/>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if the Company determines a landfill has more actual expansion airspace, amortization expense would decrease and profitability would increase.</w:t>
      </w:r>
    </w:p>
    <w:p>
      <w:pPr>
        <w:spacing w:after="0" w:line="15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December 31, 2018, the Company had 11 active landfill sites (including the Company's two non-commercial landfills), which have estimated remaining lives (based on anticipated waste volumes and remaining highly probable airspace)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3360" w:type="dxa"/>
            <w:vAlign w:val="bottom"/>
            <w:gridSpan w:val="6"/>
          </w:tcPr>
          <w:p>
            <w:pPr>
              <w:jc w:val="center"/>
              <w:ind w:left="853"/>
              <w:spacing w:after="0"/>
              <w:rPr>
                <w:sz w:val="20"/>
                <w:szCs w:val="20"/>
                <w:color w:val="auto"/>
              </w:rPr>
            </w:pPr>
            <w:r>
              <w:rPr>
                <w:rFonts w:ascii="Arial" w:cs="Arial" w:eastAsia="Arial" w:hAnsi="Arial"/>
                <w:sz w:val="14"/>
                <w:szCs w:val="14"/>
                <w:b w:val="1"/>
                <w:bCs w:val="1"/>
                <w:color w:val="auto"/>
                <w:w w:val="93"/>
              </w:rPr>
              <w:t>Remaining Highly Probable Airspace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2100" w:type="dxa"/>
            <w:vAlign w:val="bottom"/>
            <w:gridSpan w:val="5"/>
          </w:tcPr>
          <w:p>
            <w:pPr>
              <w:jc w:val="center"/>
              <w:ind w:right="340"/>
              <w:spacing w:after="0" w:line="145" w:lineRule="exact"/>
              <w:rPr>
                <w:sz w:val="20"/>
                <w:szCs w:val="20"/>
                <w:color w:val="auto"/>
              </w:rPr>
            </w:pPr>
            <w:r>
              <w:rPr>
                <w:rFonts w:ascii="Arial" w:cs="Arial" w:eastAsia="Arial" w:hAnsi="Arial"/>
                <w:sz w:val="14"/>
                <w:szCs w:val="14"/>
                <w:b w:val="1"/>
                <w:bCs w:val="1"/>
                <w:color w:val="auto"/>
                <w:w w:val="91"/>
              </w:rPr>
              <w:t>(cubic yards) (in thousands)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50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89"/>
              </w:rPr>
              <w:t>Lives</w:t>
            </w: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Facility Name</w:t>
            </w:r>
          </w:p>
        </w:tc>
        <w:tc>
          <w:tcPr>
            <w:tcW w:w="120" w:type="dxa"/>
            <w:vAlign w:val="bottom"/>
            <w:vMerge w:val="restart"/>
          </w:tcPr>
          <w:p>
            <w:pPr>
              <w:spacing w:after="0"/>
              <w:rPr>
                <w:sz w:val="5"/>
                <w:szCs w:val="5"/>
                <w:color w:val="auto"/>
              </w:rPr>
            </w:pPr>
          </w:p>
        </w:tc>
        <w:tc>
          <w:tcPr>
            <w:tcW w:w="286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Permitted</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Unpermitted</w:t>
            </w:r>
          </w:p>
        </w:tc>
        <w:tc>
          <w:tcPr>
            <w:tcW w:w="100" w:type="dxa"/>
            <w:vAlign w:val="bottom"/>
            <w:vMerge w:val="restart"/>
          </w:tcPr>
          <w:p>
            <w:pPr>
              <w:spacing w:after="0"/>
              <w:rPr>
                <w:sz w:val="5"/>
                <w:szCs w:val="5"/>
                <w:color w:val="auto"/>
              </w:rPr>
            </w:pPr>
          </w:p>
        </w:tc>
        <w:tc>
          <w:tcPr>
            <w:tcW w:w="440" w:type="dxa"/>
            <w:vAlign w:val="bottom"/>
            <w:vMerge w:val="restart"/>
          </w:tcPr>
          <w:p>
            <w:pPr>
              <w:spacing w:after="0"/>
              <w:rPr>
                <w:sz w:val="5"/>
                <w:szCs w:val="5"/>
                <w:color w:val="auto"/>
              </w:rPr>
            </w:pPr>
          </w:p>
        </w:tc>
        <w:tc>
          <w:tcPr>
            <w:tcW w:w="9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Altair</w:t>
            </w:r>
          </w:p>
        </w:tc>
        <w:tc>
          <w:tcPr>
            <w:tcW w:w="2860" w:type="dxa"/>
            <w:vAlign w:val="bottom"/>
          </w:tcPr>
          <w:p>
            <w:pPr>
              <w:ind w:left="20"/>
              <w:spacing w:after="0"/>
              <w:rPr>
                <w:sz w:val="20"/>
                <w:szCs w:val="20"/>
                <w:color w:val="auto"/>
              </w:rPr>
            </w:pPr>
            <w:r>
              <w:rPr>
                <w:rFonts w:ascii="Arial" w:cs="Arial" w:eastAsia="Arial" w:hAnsi="Arial"/>
                <w:sz w:val="18"/>
                <w:szCs w:val="18"/>
                <w:color w:val="auto"/>
              </w:rPr>
              <w:t>Texas</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Buttonwillow</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Deer Park</w:t>
            </w:r>
          </w:p>
        </w:tc>
        <w:tc>
          <w:tcPr>
            <w:tcW w:w="2860" w:type="dxa"/>
            <w:vAlign w:val="bottom"/>
          </w:tcPr>
          <w:p>
            <w:pPr>
              <w:ind w:left="20"/>
              <w:spacing w:after="0"/>
              <w:rPr>
                <w:sz w:val="20"/>
                <w:szCs w:val="20"/>
                <w:color w:val="auto"/>
              </w:rPr>
            </w:pPr>
            <w:r>
              <w:rPr>
                <w:rFonts w:ascii="Arial" w:cs="Arial" w:eastAsia="Arial" w:hAnsi="Arial"/>
                <w:sz w:val="18"/>
                <w:szCs w:val="18"/>
                <w:color w:val="auto"/>
              </w:rPr>
              <w:t>Texas</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Deer Trail</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Grassy Mountain</w:t>
            </w:r>
          </w:p>
        </w:tc>
        <w:tc>
          <w:tcPr>
            <w:tcW w:w="2860" w:type="dxa"/>
            <w:vAlign w:val="bottom"/>
          </w:tcPr>
          <w:p>
            <w:pPr>
              <w:ind w:left="20"/>
              <w:spacing w:after="0"/>
              <w:rPr>
                <w:sz w:val="20"/>
                <w:szCs w:val="20"/>
                <w:color w:val="auto"/>
              </w:rPr>
            </w:pPr>
            <w:r>
              <w:rPr>
                <w:rFonts w:ascii="Arial" w:cs="Arial" w:eastAsia="Arial" w:hAnsi="Arial"/>
                <w:sz w:val="18"/>
                <w:szCs w:val="18"/>
                <w:color w:val="auto"/>
              </w:rPr>
              <w:t>Utah</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c>
          <w:tcPr>
            <w:tcW w:w="1560" w:type="dxa"/>
            <w:vAlign w:val="bottom"/>
            <w:gridSpan w:val="3"/>
          </w:tcPr>
          <w:p>
            <w:pPr>
              <w:jc w:val="right"/>
              <w:ind w:right="32"/>
              <w:spacing w:after="0"/>
              <w:rPr>
                <w:sz w:val="20"/>
                <w:szCs w:val="20"/>
                <w:color w:val="auto"/>
              </w:rPr>
            </w:pPr>
            <w:r>
              <w:rPr>
                <w:rFonts w:ascii="Arial" w:cs="Arial" w:eastAsia="Arial" w:hAnsi="Arial"/>
                <w:sz w:val="18"/>
                <w:szCs w:val="18"/>
                <w:color w:val="auto"/>
              </w:rPr>
              <w:t>4,830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Kimball</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Lambton</w:t>
            </w:r>
          </w:p>
        </w:tc>
        <w:tc>
          <w:tcPr>
            <w:tcW w:w="2860" w:type="dxa"/>
            <w:vAlign w:val="bottom"/>
          </w:tcPr>
          <w:p>
            <w:pPr>
              <w:ind w:left="20"/>
              <w:spacing w:after="0"/>
              <w:rPr>
                <w:sz w:val="20"/>
                <w:szCs w:val="20"/>
                <w:color w:val="auto"/>
              </w:rPr>
            </w:pPr>
            <w:r>
              <w:rPr>
                <w:rFonts w:ascii="Arial" w:cs="Arial" w:eastAsia="Arial" w:hAnsi="Arial"/>
                <w:sz w:val="18"/>
                <w:szCs w:val="18"/>
                <w:color w:val="auto"/>
              </w:rPr>
              <w:t>Ontario</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Lone Mountain</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Ryley</w:t>
            </w:r>
          </w:p>
        </w:tc>
        <w:tc>
          <w:tcPr>
            <w:tcW w:w="2860" w:type="dxa"/>
            <w:vAlign w:val="bottom"/>
          </w:tcPr>
          <w:p>
            <w:pPr>
              <w:ind w:left="20"/>
              <w:spacing w:after="0"/>
              <w:rPr>
                <w:sz w:val="20"/>
                <w:szCs w:val="20"/>
                <w:color w:val="auto"/>
              </w:rPr>
            </w:pPr>
            <w:r>
              <w:rPr>
                <w:rFonts w:ascii="Arial" w:cs="Arial" w:eastAsia="Arial" w:hAnsi="Arial"/>
                <w:sz w:val="18"/>
                <w:szCs w:val="18"/>
                <w:color w:val="auto"/>
              </w:rPr>
              <w:t>Alberta</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Sawyer</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Dakota</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Westmorland</w:t>
            </w:r>
          </w:p>
        </w:tc>
        <w:tc>
          <w:tcPr>
            <w:tcW w:w="28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560" w:type="dxa"/>
            <w:vAlign w:val="bottom"/>
            <w:tcBorders>
              <w:bottom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29,760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and 2017, the Company had no cubic yards of permitted, but not highly probable, airspace.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remaining highly probable airspace from January 1, 2016 through December 31, 2018 (in thousands of cubic yards):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capacity at January 1,</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31,113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29,786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highly probable airspace, net</w:t>
            </w:r>
          </w:p>
        </w:tc>
        <w:tc>
          <w:tcPr>
            <w:tcW w:w="136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3,464</w:t>
            </w:r>
          </w:p>
        </w:tc>
      </w:tr>
      <w:tr>
        <w:trPr>
          <w:trHeight w:val="27"/>
        </w:trPr>
        <w:tc>
          <w:tcPr>
            <w:tcW w:w="7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Remaining capacity at December 31,</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29,760</w:t>
            </w:r>
          </w:p>
        </w:tc>
        <w:tc>
          <w:tcPr>
            <w:tcW w:w="14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31,113</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32,228</w:t>
            </w:r>
          </w:p>
        </w:tc>
      </w:tr>
      <w:tr>
        <w:trPr>
          <w:trHeight w:val="20"/>
        </w:trPr>
        <w:tc>
          <w:tcPr>
            <w:tcW w:w="7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Amortization of cell construction costs and accrual of cell closure obligations</w:t>
      </w:r>
      <w:r>
        <w:rPr>
          <w:rFonts w:ascii="Arial" w:cs="Arial" w:eastAsia="Arial" w:hAnsi="Arial"/>
          <w:sz w:val="18"/>
          <w:szCs w:val="18"/>
          <w:color w:val="auto"/>
        </w:rPr>
        <w:t>—Landfills are typically comprised of a number of cells,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24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statement of cash flows.</w:t>
      </w:r>
    </w:p>
    <w:p>
      <w:pPr>
        <w:spacing w:after="0" w:line="24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Landfill final closure and post-closure liabilities</w:t>
      </w:r>
      <w:r>
        <w:rPr>
          <w:rFonts w:ascii="Arial" w:cs="Arial" w:eastAsia="Arial" w:hAnsi="Arial"/>
          <w:sz w:val="18"/>
          <w:szCs w:val="18"/>
          <w:color w:val="auto"/>
        </w:rPr>
        <w:t>—The balance of landfill final closure and post-closure liabilities at December 31, 2018 and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$37.8 million and $32.4 million, respectively. The Company has material financial commitments for the costs associated with requirements of the Environmental Protection Agency ("EPA") and the comparable regulatory agency in Canada for landfill final closure and post-closure activities. In the United States, the landfill final closure</w:t>
      </w:r>
    </w:p>
    <w:p>
      <w:pPr>
        <w:sectPr>
          <w:pgSz w:w="11900" w:h="16838" w:orient="portrait"/>
          <w:cols w:equalWidth="0" w:num="1">
            <w:col w:w="11400"/>
          </w:cols>
          <w:pgMar w:left="240" w:top="252"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252" w:right="25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and post-closure requirements are established under the standards of the EPA, and are implemented and applied on a state-by-state basis.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208"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discontinues accepting waste.</w:t>
      </w:r>
    </w:p>
    <w:p>
      <w:pPr>
        <w:spacing w:after="0" w:line="23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Cell closure, final closure and post-closure costs (also referred to as "asset retirement obligations") are calculated by estimating the total obligation in current dollars, adjusted for inflation (1.02% during 2018 and 2017) and discounted at the Company's credit-adjusted risk-free interest rate (5.66% and 6.32% during 2018 and 2017, respectively.)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Non-Landfill Closure and Post-Closure Liabilities</w:t>
      </w:r>
    </w:p>
    <w:p>
      <w:pPr>
        <w:spacing w:after="0" w:line="279"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Non-landfill closure costs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generally specified in terms of years in the closure permit, but generally range from 10 to 30 years or more.</w:t>
      </w:r>
    </w:p>
    <w:p>
      <w:pPr>
        <w:spacing w:after="0" w:line="22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governmental agencies; (ii) using probability scenarios as to when in the future operations may cease; (iii) inflating the current cost of closing the non-landfill facility on a probability weighted basis using the inflation rate to the time of closing under each probability scenario; and (iv) discounting the future value of each closing scenario back to the present using the credit-adjusted risk-free interest rate. Non-landfill closure and post-closure obligations arise when the Company commences non-landfill facility operations. The carrying value of non-landfill closure and post-closure liabilities at December 31, 2018 and 2017 was $32.1 million and $28.6 million, respectively.</w:t>
      </w:r>
    </w:p>
    <w:p>
      <w:pPr>
        <w:spacing w:after="0" w:line="23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probability scenarios as to when future operations at a location might cease, or in the expected timing of the cost. Changes in estimates for non-landfill closure and post-closure events immediately impact the required liability and the value of the corresponding asset. If a change is made to a fully-consumed asset, the adjustment is charged immediately to expense. When a change in estimate relates to an asset that has not been fully consumed, the adjustment to the asset recognized in income prospectively as a component of amortization. Historically, material changes to non-landfill closure and post-closure estimates have been infrequent.</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Remedial Liabilities</w:t>
      </w:r>
    </w:p>
    <w:p>
      <w:pPr>
        <w:spacing w:after="0" w:line="279"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balance of remedial liabilities at December 31, 2018 and 2017 was $121.0 million and $124.5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in the last 16 years and Superfund sites owned by third parties for which the Company, or the prior owners of certain of the Company's facilities for which the Company may have certain indemnification</w:t>
      </w:r>
    </w:p>
    <w:p>
      <w:pPr>
        <w:sectPr>
          <w:pgSz w:w="11900" w:h="16838" w:orient="portrait"/>
          <w:cols w:equalWidth="0" w:num="1">
            <w:col w:w="11380"/>
          </w:cols>
          <w:pgMar w:left="240" w:top="252" w:right="27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80"/>
          </w:cols>
          <w:pgMar w:left="240" w:top="252" w:right="279" w:bottom="1440" w:gutter="0" w:footer="0" w:header="0"/>
          <w:type w:val="continuous"/>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obligations, have been identified as potentially responsible parties ("PRPs") or potential PRPs. The Company's estimate of remedial liabilities involved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when identified.</w:t>
      </w:r>
    </w:p>
    <w:p>
      <w:pPr>
        <w:spacing w:after="0" w:line="233"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The Company periodically evaluates potential remedial liabilities at sites that it owns or operates or to which the Company or the sellers of the CSD assets (or the respective predecessors of the Company or such sellers) transported or disposed of waste, including 128 Superfund sites as of December 31, 2018. The Company periodically reviews and evaluates sites requiring remediation, including Superfund sites, giving consideration to the nature (i.e., owner, operator, arranger, transporter or generator) and the extent (i.e., amount and nature of waste hauled to the location, number of years of site operations or other relevant factors) of the Company's (or such sellers') alleged connection with the site, the extent (if any) to which the Company believes it may have an obligation to indemnify cleanup costs in connection with the site, the regulatory context surrounding the site, the accuracy and strength of evidence connecting the Company (or such sellers) to the location, the number, connection and financial ability of other named and unnamed potentially responsible parties ("PRPs") and the nature and estimated cost of the likely remedy. Where the Company concludes that it is probable that a liability has been incurred and an amount can be estimated, a provision is made, based upon management's judgment and prior experience, of such estimated liability.</w:t>
      </w:r>
    </w:p>
    <w:p>
      <w:pPr>
        <w:spacing w:after="0" w:line="22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identified by the site investigation. In addition, the amount of remedial liabilities recorded is dependent on the remedial method selected. There is a risk that funds will be expended on a remedial solution that is not successful, which could result in the additional incremental costs of an alternative solution. Such estimates, which are subject to change, are subsequently revised if and when additional or new information becomes available.</w:t>
      </w:r>
    </w:p>
    <w:p>
      <w:pPr>
        <w:spacing w:after="0" w:line="21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Remedial liabilities are discounted only when the timing of the payments is determinable and the amounts are estimable. Management's experience has been that the timing of payments for remedial liabilities is not usually estimable, and therefore the amounts of remedial liabilities are not generally discounted.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Discounts have been and will be applied to the remedial liabilities as follows:</w:t>
      </w:r>
    </w:p>
    <w:p>
      <w:pPr>
        <w:spacing w:after="0" w:line="97" w:lineRule="exact"/>
        <w:rPr>
          <w:sz w:val="20"/>
          <w:szCs w:val="20"/>
          <w:color w:val="auto"/>
        </w:rPr>
      </w:pPr>
    </w:p>
    <w:p>
      <w:pPr>
        <w:jc w:val="both"/>
        <w:ind w:left="660" w:right="500" w:hanging="328"/>
        <w:spacing w:after="0" w:line="29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Remedial liabilities assumed relating to acquisitions are and will continue to be inflated using the inflation rates at the time of each acquisition (ranging from 1.01% to 2.57%) until the expected time of payment, then discounted at the risk-free interest rate at the time of such acquisition</w:t>
      </w:r>
    </w:p>
    <w:p>
      <w:pPr>
        <w:ind w:left="660"/>
        <w:spacing w:after="0"/>
        <w:rPr>
          <w:rFonts w:ascii="Arial" w:cs="Arial" w:eastAsia="Arial" w:hAnsi="Arial"/>
          <w:sz w:val="16"/>
          <w:szCs w:val="16"/>
          <w:color w:val="auto"/>
        </w:rPr>
      </w:pPr>
      <w:r>
        <w:rPr>
          <w:rFonts w:ascii="Arial" w:cs="Arial" w:eastAsia="Arial" w:hAnsi="Arial"/>
          <w:sz w:val="18"/>
          <w:szCs w:val="18"/>
          <w:color w:val="auto"/>
        </w:rPr>
        <w:t>(ranging from 1.37% to 5.99%).</w:t>
      </w:r>
    </w:p>
    <w:p>
      <w:pPr>
        <w:spacing w:after="0" w:line="102" w:lineRule="exact"/>
        <w:rPr>
          <w:rFonts w:ascii="Arial" w:cs="Arial" w:eastAsia="Arial" w:hAnsi="Arial"/>
          <w:sz w:val="16"/>
          <w:szCs w:val="16"/>
          <w:color w:val="auto"/>
        </w:rPr>
      </w:pPr>
    </w:p>
    <w:p>
      <w:pPr>
        <w:ind w:left="660" w:right="22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Remedial liabilities incurred subsequent to the acquisitions and remedial liabilities of the Company that existed prior to the acquisitions have been and will continue to be recorded at the estimated current value of the liabilities, which is usually neither increased for inflation nor reduced for discounting.</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w:t>
      </w:r>
    </w:p>
    <w:p>
      <w:pPr>
        <w:spacing w:after="0" w:line="27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Company has operations in Canada. The functional currencies of those operations are their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resulting from foreign currency transactions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52"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Advertising Expense</w:t>
      </w:r>
    </w:p>
    <w:p>
      <w:pPr>
        <w:spacing w:after="0" w:line="144" w:lineRule="exact"/>
        <w:rPr>
          <w:sz w:val="20"/>
          <w:szCs w:val="20"/>
          <w:color w:val="auto"/>
        </w:rPr>
      </w:pPr>
    </w:p>
    <w:p>
      <w:pPr>
        <w:ind w:right="960" w:firstLine="405"/>
        <w:spacing w:after="0" w:line="277" w:lineRule="auto"/>
        <w:rPr>
          <w:sz w:val="20"/>
          <w:szCs w:val="20"/>
          <w:color w:val="auto"/>
        </w:rPr>
      </w:pPr>
      <w:r>
        <w:rPr>
          <w:rFonts w:ascii="Arial" w:cs="Arial" w:eastAsia="Arial" w:hAnsi="Arial"/>
          <w:sz w:val="18"/>
          <w:szCs w:val="18"/>
          <w:color w:val="auto"/>
        </w:rPr>
        <w:t>Advertising costs are expensed as incurred. Advertising expense was approximately $10.5 million in 2018, $11.8 million in 2017 and $10.8 million in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which are recognized as expense over the requisite service period when management believes it is probable those targets will be achieved. The fair value of the Company's grants of restricted stock are based on the quoted market price for the Company's common stock on the respective dates of grant. Forfeitures are recognized as they occur.</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232"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Company recognizes and measures a tax benefit from uncertain tax positions when it is more likely than not that the tax position will be sustained 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w:t>
      </w:r>
    </w:p>
    <w:p>
      <w:pPr>
        <w:spacing w:after="0" w:line="2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within the income tax expense line in the consolidated statements of operations. Accrued interest and penalties are included within deferred taxes, unrecognized tax benefits and other long-term liabilities line in the consolidated balance sheet.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 ("EPS")</w:t>
      </w:r>
    </w:p>
    <w:p>
      <w:pPr>
        <w:spacing w:after="0" w:line="279" w:lineRule="exact"/>
        <w:rPr>
          <w:sz w:val="20"/>
          <w:szCs w:val="20"/>
          <w:color w:val="auto"/>
        </w:rPr>
      </w:pPr>
    </w:p>
    <w:p>
      <w:pPr>
        <w:jc w:val="both"/>
        <w:ind w:right="240" w:firstLine="432"/>
        <w:spacing w:after="0" w:line="277" w:lineRule="auto"/>
        <w:rPr>
          <w:sz w:val="20"/>
          <w:szCs w:val="20"/>
          <w:color w:val="auto"/>
        </w:rPr>
      </w:pPr>
      <w:r>
        <w:rPr>
          <w:rFonts w:ascii="Arial" w:cs="Arial" w:eastAsia="Arial" w:hAnsi="Arial"/>
          <w:sz w:val="18"/>
          <w:szCs w:val="18"/>
          <w:color w:val="auto"/>
        </w:rPr>
        <w:t>Basic EPS is calculated by dividing net income by the weighted average number of common shares outstanding during the period. Diluted EPS gives effect to all potentially dilutive common shares that were outstanding during the period.</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Standards implemented</w:t>
      </w:r>
    </w:p>
    <w:p>
      <w:pPr>
        <w:spacing w:after="0" w:line="144"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replaces numerous requirements in U.S. GAAP, including industry-specific requirements, and provides companies with a single revenue recognition model for recognizing revenue from contracts with customers.</w:t>
      </w:r>
    </w:p>
    <w:p>
      <w:pPr>
        <w:spacing w:after="0" w:line="10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 xml:space="preserve">On January 1, 2018, the Company adopted Topic 606 using the modified retrospective method for all contracts. Results for reporting periods beginning on the date of adoption are presented under ASC 606, while prior period amounts have not been adjusted and continue to be reported in accordance with the Company's historical accounting methodology pursuant to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The only significant impact from the adoption of this standard relates to incremental disclosures now required. Upon adoption, a cumulative effect adjustment was not recorded.</w:t>
      </w:r>
    </w:p>
    <w:p>
      <w:pPr>
        <w:spacing w:after="0" w:line="9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 xml:space="preserve">In January 2016, FASB issued ASU 2016-01, </w:t>
      </w:r>
      <w:r>
        <w:rPr>
          <w:rFonts w:ascii="Arial" w:cs="Arial" w:eastAsia="Arial" w:hAnsi="Arial"/>
          <w:sz w:val="18"/>
          <w:szCs w:val="18"/>
          <w:i w:val="1"/>
          <w:iCs w:val="1"/>
          <w:color w:val="auto"/>
        </w:rPr>
        <w:t>Financial Instruments - Overall (Subtopic 825-10): 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The amendment requires equity investments (except those accounted for under the equity method of accounting, or those that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consolidation of the investee) to be measured at fair value with changes in fair value recognized in net income. The Company adopted the amendment in the fourth quarter of 2018,</w:t>
      </w:r>
    </w:p>
    <w:p>
      <w:pPr>
        <w:sectPr>
          <w:pgSz w:w="11900" w:h="16838" w:orient="portrait"/>
          <w:cols w:equalWidth="0" w:num="1">
            <w:col w:w="11420"/>
          </w:cols>
          <w:pgMar w:left="240" w:top="252"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252" w:right="239"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which resulted in a $1.4 million charge to other (expense) income, net for the change in fair value of equity securities purchased in 2018.</w:t>
      </w:r>
    </w:p>
    <w:p>
      <w:pPr>
        <w:spacing w:after="0" w:line="14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 - Intra-Entity Transfers of Assets Other than Inventory</w:t>
      </w:r>
      <w:r>
        <w:rPr>
          <w:rFonts w:ascii="Arial" w:cs="Arial" w:eastAsia="Arial" w:hAnsi="Arial"/>
          <w:sz w:val="18"/>
          <w:szCs w:val="18"/>
          <w:color w:val="auto"/>
        </w:rPr>
        <w:t>. The amendment improves the accounting for the income tax consequences of intra-entity transfers of assets other than inventory. The Company adopted this standard on a modified retrospective basis effective January 1, 2018. As a result of adoption, the Company recorded a cumulative effect adjustment that reduced retained earnings by $1.6 million. The impact on the annual provision for income taxes was not material.</w:t>
      </w:r>
    </w:p>
    <w:p>
      <w:pPr>
        <w:spacing w:after="0" w:line="106"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The amendment better aligns an entity’s risk management activities and financial reporting for hedging relationships through changes to both the designation and measurement guidance for qualifying hedging relationships and the presentation of hedge results. The Company adopted the amendment in the third quarter of 2018. Adoption did not have a material impact on the Company's consolidated financial statements.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Standards to be implemented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is evaluating the impact that the below standards to be implemented will have on the Company's consolidated financial statements.</w:t>
      </w:r>
    </w:p>
    <w:p>
      <w:pPr>
        <w:spacing w:after="0" w:line="15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February 2016,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 increases transparency and comparability among organizations by recognizing lease assets and lease liabilities on the balance sheet and disclosing key information about leasing arrangements. The Company is currently finalizing the accounting and internal controls relative to this new pronouncement and will adopt Topic 842 and related amendments on January 1, 2019 using the modified retrospective method of adoption. The Company expects to elect most of the available practical expedients, including the package of practical expedients, which permits entities not to reassess under the new standard their prior conclusions about lease identification, lease classification and initial direct costs. In preparation for adoption of the standard, the Company has implemented internal controls and key system functionality to enable the preparation of financial information. The Company has concluded that the adoption of this standard will have a material impact on the Company’s consolidated balance sheets related to the recognition of right-of-use assets and lease liabilities, but is not expected to have a material impact on the consolidated statements of operations or cash flows. On adoption, the Company currently expects to recognize additional right-of-use assets and lease obligations in the range of $180.0 million to $220.0 million.</w:t>
      </w:r>
    </w:p>
    <w:p>
      <w:pPr>
        <w:spacing w:after="0" w:line="174" w:lineRule="exact"/>
        <w:rPr>
          <w:sz w:val="20"/>
          <w:szCs w:val="20"/>
          <w:color w:val="auto"/>
        </w:rPr>
      </w:pPr>
    </w:p>
    <w:p>
      <w:pPr>
        <w:ind w:right="9760" w:firstLine="8"/>
        <w:spacing w:after="0" w:line="523" w:lineRule="auto"/>
        <w:tabs>
          <w:tab w:leader="none" w:pos="25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REVENUES Revenue Recognition</w:t>
      </w:r>
    </w:p>
    <w:p>
      <w:pPr>
        <w:spacing w:after="0" w:line="3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generates services and product revenues through the following operating segments: Environmental Services and Safety-Kleen. The Company recognizes revenue when control of the promised goods or services is transferred to the Company's customers, in an amount that reflects the consideration the Company expects to be entitled to in exchange for those goods or services. Product revenues are recognized when the products are delivered and control transfers to the customer.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4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majority of the Company’s contracts are for services, which are recognized based on time and materials incurred at contractually agreed-upon rates. The Company’s payment terms vary by the type and location of its customers and the products or services offered. The periods between invoicing and when payments are due are not significant. For all periods presented, any amounts billed to customers related to shipping and handling are classified as revenue and the Company's shipping and handling costs are included in costs of revenues. In the course of the Company's operations, it collects sales tax and other excise taxes from its customers and recognizes a current liability which is then relieved when the taxes are remitted to the appropriate governmental authorities. The Company excludes sales and other excise taxes that it collects from customers from its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52" w:right="2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ind w:right="9200" w:firstLine="8"/>
        <w:spacing w:after="0" w:line="433" w:lineRule="auto"/>
        <w:tabs>
          <w:tab w:leader="none" w:pos="255"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REVENUES (Continued) Disaggregation of Revenue</w:t>
      </w:r>
    </w:p>
    <w:p>
      <w:pPr>
        <w:ind w:left="42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Company’s third party revenues disaggregated by revenue source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 Ended December 31, 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300" w:type="dxa"/>
            <w:vAlign w:val="bottom"/>
          </w:tcPr>
          <w:p>
            <w:pPr>
              <w:spacing w:after="0"/>
              <w:rPr>
                <w:sz w:val="22"/>
                <w:szCs w:val="22"/>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Safety-Kleen</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5"/>
        </w:trPr>
        <w:tc>
          <w:tcPr>
            <w:tcW w:w="40" w:type="dxa"/>
            <w:vAlign w:val="bottom"/>
            <w:tcBorders>
              <w:right w:val="single" w:sz="8" w:color="CCEEFF"/>
            </w:tcBorders>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3"/>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1,598,402</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1,196,661</w:t>
            </w:r>
          </w:p>
        </w:tc>
        <w:tc>
          <w:tcPr>
            <w:tcW w:w="12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jc w:val="right"/>
              <w:ind w:right="9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4"/>
              </w:rPr>
              <w:t>1,082</w:t>
            </w: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2,796,145</w:t>
            </w: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44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405,441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98,694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504,158</w:t>
            </w:r>
          </w:p>
        </w:tc>
      </w:tr>
      <w:tr>
        <w:trPr>
          <w:trHeight w:val="237"/>
        </w:trPr>
        <w:tc>
          <w:tcPr>
            <w:tcW w:w="4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2,003,843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1,295,355</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1,105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3,300,303</w:t>
            </w:r>
          </w:p>
        </w:tc>
      </w:tr>
      <w:tr>
        <w:trPr>
          <w:trHeight w:val="27"/>
        </w:trPr>
        <w:tc>
          <w:tcPr>
            <w:tcW w:w="40" w:type="dxa"/>
            <w:vAlign w:val="bottom"/>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4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Sources of Revenue (1)</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1,037,388</w:t>
            </w:r>
          </w:p>
        </w:tc>
      </w:tr>
      <w:tr>
        <w:trPr>
          <w:trHeight w:val="243"/>
        </w:trPr>
        <w:tc>
          <w:tcPr>
            <w:tcW w:w="40" w:type="dxa"/>
            <w:vAlign w:val="bottom"/>
          </w:tcPr>
          <w:p>
            <w:pPr>
              <w:spacing w:after="0"/>
              <w:rPr>
                <w:sz w:val="21"/>
                <w:szCs w:val="21"/>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1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304,727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304,727</w:t>
            </w: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Industrial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541,895</w:t>
            </w:r>
          </w:p>
        </w:tc>
      </w:tr>
      <w:tr>
        <w:trPr>
          <w:trHeight w:val="243"/>
        </w:trPr>
        <w:tc>
          <w:tcPr>
            <w:tcW w:w="40" w:type="dxa"/>
            <w:vAlign w:val="bottom"/>
          </w:tcPr>
          <w:p>
            <w:pPr>
              <w:spacing w:after="0"/>
              <w:rPr>
                <w:sz w:val="21"/>
                <w:szCs w:val="21"/>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Oil, Gas and Lodging Services and Other</w:t>
            </w:r>
          </w:p>
        </w:tc>
        <w:tc>
          <w:tcPr>
            <w:tcW w:w="1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119,833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120,938</w:t>
            </w: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795,077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795,077</w:t>
            </w:r>
          </w:p>
        </w:tc>
      </w:tr>
      <w:tr>
        <w:trPr>
          <w:trHeight w:val="243"/>
        </w:trPr>
        <w:tc>
          <w:tcPr>
            <w:tcW w:w="40" w:type="dxa"/>
            <w:vAlign w:val="bottom"/>
          </w:tcPr>
          <w:p>
            <w:pPr>
              <w:spacing w:after="0"/>
              <w:rPr>
                <w:sz w:val="21"/>
                <w:szCs w:val="21"/>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Kleen Performance Products</w:t>
            </w:r>
          </w:p>
        </w:tc>
        <w:tc>
          <w:tcPr>
            <w:tcW w:w="1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500,278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500,278</w:t>
            </w:r>
          </w:p>
        </w:tc>
      </w:tr>
      <w:tr>
        <w:trPr>
          <w:trHeight w:val="27"/>
        </w:trPr>
        <w:tc>
          <w:tcPr>
            <w:tcW w:w="40" w:type="dxa"/>
            <w:vAlign w:val="bottom"/>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2,003,843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1,295,355</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3,300,303</w:t>
            </w:r>
          </w:p>
        </w:tc>
      </w:tr>
      <w:tr>
        <w:trPr>
          <w:trHeight w:val="210"/>
        </w:trPr>
        <w:tc>
          <w:tcPr>
            <w:tcW w:w="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_____________________</w:t>
            </w:r>
          </w:p>
        </w:tc>
        <w:tc>
          <w:tcPr>
            <w:tcW w:w="1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bl>
    <w:p>
      <w:pPr>
        <w:ind w:left="660" w:right="22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revenue except oil and oil product sales within Kleen Performance Products and product sales within Safety-Kleen Environmental Services, which include various automotive related fluids, shop supplies and direct blended oil sales, are recognized over time. Kleen Performance Products and Safety-Kleen Environmental Services product sales are recognized at a point in time.</w:t>
      </w:r>
    </w:p>
    <w:p>
      <w:pPr>
        <w:spacing w:after="0" w:line="10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b w:val="1"/>
          <w:bCs w:val="1"/>
          <w:i w:val="1"/>
          <w:iCs w:val="1"/>
          <w:color w:val="auto"/>
        </w:rPr>
        <w:t xml:space="preserve">Technical Services. </w:t>
      </w:r>
      <w:r>
        <w:rPr>
          <w:rFonts w:ascii="Arial" w:cs="Arial" w:eastAsia="Arial" w:hAnsi="Arial"/>
          <w:sz w:val="16"/>
          <w:szCs w:val="16"/>
          <w:color w:val="auto"/>
        </w:rPr>
        <w:t>Technical Services revenues are generated from fees charged for waste material management and disposal services including onsite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their relative standalone selling price (i.e. the estimated price that a customer would pay for the services on a standalone basis). Revenues from waste that is not yet completely processed and disposed and the related costs are deferred. The revenue is recognized and the deferred costs are expensed when the related services are completed. The period between collection and transportation and the final processing and disposal ranges depending on location of the customer, but generally is measured in days.</w:t>
      </w:r>
    </w:p>
    <w:p>
      <w:pPr>
        <w:spacing w:after="0" w:line="9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Field and Emergency Response Services. </w:t>
      </w:r>
      <w:r>
        <w:rPr>
          <w:rFonts w:ascii="Arial" w:cs="Arial" w:eastAsia="Arial" w:hAnsi="Arial"/>
          <w:sz w:val="17"/>
          <w:szCs w:val="17"/>
          <w:color w:val="auto"/>
        </w:rPr>
        <w:t>Field Services revenues are generated from cleanup services at customer sites, including municipalities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These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52"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(Continued)</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recognize revenue over time, based on time and materials incurred. The duration of such services can be over a number of hours, several days or even months for larger scale projects.</w:t>
      </w:r>
    </w:p>
    <w:p>
      <w:pPr>
        <w:spacing w:after="0" w:line="8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b w:val="1"/>
          <w:bCs w:val="1"/>
          <w:i w:val="1"/>
          <w:iCs w:val="1"/>
          <w:color w:val="auto"/>
        </w:rPr>
        <w:t xml:space="preserve">Industrial Services. </w:t>
      </w:r>
      <w:r>
        <w:rPr>
          <w:rFonts w:ascii="Arial" w:cs="Arial" w:eastAsia="Arial" w:hAnsi="Arial"/>
          <w:sz w:val="17"/>
          <w:szCs w:val="17"/>
          <w:color w:val="auto"/>
        </w:rPr>
        <w:t>Industrial Services revenues are generated from industrial and specialty services provided to refineries, mines, upgraders, chemical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directional boring services (previously included in Oil, Gas and Lodging service offerings) supporting drilling, completions and production programs. These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b w:val="1"/>
          <w:bCs w:val="1"/>
          <w:i w:val="1"/>
          <w:iCs w:val="1"/>
          <w:color w:val="auto"/>
        </w:rPr>
        <w:t xml:space="preserve">Oil, Gas and Lodging Services and Other. </w:t>
      </w:r>
      <w:r>
        <w:rPr>
          <w:rFonts w:ascii="Arial" w:cs="Arial" w:eastAsia="Arial" w:hAnsi="Arial"/>
          <w:sz w:val="16"/>
          <w:szCs w:val="16"/>
          <w:color w:val="auto"/>
        </w:rPr>
        <w:t>Oil, Gas and Lodging Services and Other is primarily comprised of revenues generated from providing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Gas Field Services that support upstream activities such as exploration and drilling for oil and gas companies and Lodging Services to customers in Western Canada. The Company recognizes Oil and Gas Field Services revenue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 for lodging accommodation services is recognized over time based on passage of time.</w:t>
      </w:r>
    </w:p>
    <w:p>
      <w:pPr>
        <w:spacing w:after="0" w:line="7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Safety-Kleen Environmental Services. </w:t>
      </w:r>
      <w:r>
        <w:rPr>
          <w:rFonts w:ascii="Arial" w:cs="Arial" w:eastAsia="Arial" w:hAnsi="Arial"/>
          <w:sz w:val="17"/>
          <w:szCs w:val="17"/>
          <w:color w:val="auto"/>
        </w:rPr>
        <w:t>Safety-Kleen Environmental Services revenues are generated from providing parts washer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containerized waste handling and disposal services, oil collection services, direct sales of blended oil products, and other complementary services and product sales. Containerized waste services consist of profiling, collecting, transporting and recycling or disposing of a wide variety of waste. Other products and services include vacuum services, sale of complementary supply products including automotive fluids and shop supplies and other environmental services. Revenues from parts washer services include fees charged to customers for their use of parts washer equipment, to clean and maintain parts washer equipment and to remove and replace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10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b w:val="1"/>
          <w:bCs w:val="1"/>
          <w:i w:val="1"/>
          <w:iCs w:val="1"/>
          <w:color w:val="auto"/>
        </w:rPr>
        <w:t xml:space="preserve">Kleen Performance Products. </w:t>
      </w:r>
      <w:r>
        <w:rPr>
          <w:rFonts w:ascii="Arial" w:cs="Arial" w:eastAsia="Arial" w:hAnsi="Arial"/>
          <w:sz w:val="17"/>
          <w:szCs w:val="17"/>
          <w:color w:val="auto"/>
        </w:rPr>
        <w:t>Kleen Performance Products revenues are generated from sales of high quality base and blended lubricating oils to third-party distributors, government agencies, fleets, railroads and industrial customers. The business also sells recycled fuel oil to asphalt plants, industrial plants, blenders, pulp and paper companies, vacuum gas oil producers and marine diesel oil producers. Revenue for oil products is recognized at a point in time, upon the transfer of control. Control transfers when the products are delivered to the customer.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606,952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528,924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Contract Assets (Unbilled Receivables)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35,922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 (Deferred Revenue)</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61,843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67,822</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52"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(Continued)</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reported on the Consolidated Balance Sheet on a contract-by-contract basis at the end of each reporting period. As part of the acquisition of the Veolia Business (as defined in Note 4, "Business Combinations") on February 23, 2018, the Company acquired receivables and contract assets of $20.8 million and $17.4 million, respectively. Changes in the contract asset and liability balances during the years ended December 31, 2018 and December 31, 2017 were not materially impacted by any other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factors. The contract liability balances at the beginning of each period presented were generally fully recognized in the subsequent three-month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to include in the estimated transaction price based on historical experience, anticipated performance and its best judgment at the time and to the extent it is probable that a significant reversal of cumulative revenue recognized will not occur when the uncertainty associated with the variable consideration is resolved.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48"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Contract costs include direct and incremental costs to obtain or fulfill a contract. The Company’s contract costs that are subject to capitalization are comprised of costs associated with parts washer services and costs associated with the treatment and disposal of waste. Parts washer costs include costs of solvent, commissions paid relating to revenue generated from parts washer services, and transportation costs associated with transferring the product picked up from the services as it is returned to the Company’s facilities or a third party site. Costs related to the treatment of waste include costs for waste receiving, drum movement and storage, waste consolidation and transportation between facilities. Deferred costs associated with parts washer services are amortized ratably over the average service interval, which ranges between seven and 14 weeks. Deferred costs related to treatment and disposal of waste are recognized when the corresponding waste is disposed of and are included in deferred costs within total current assets in the Company’s consolidated balance sheets. The deferred contract cost balances at the beginning of each period presented were fully recognized in cost of revenue in the subsequent three-month 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Accounting</w:t>
      </w:r>
    </w:p>
    <w:p>
      <w:pPr>
        <w:spacing w:after="0" w:line="1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Prior to January 1, 2018 and the adoption of ASC 606, the Company recognized revenue when persuasive evidence of an arrangement existed, delivery had occurred or services had been rendered, the price was fixed or determinable, and collection was reasonably assured. Management established a revenue allowance to cover the estimated amounts of revenue that may need to be credited to customers' accounts in future periods due to discounts, billing disputes and other adjustments. The Company recorded a provision for revenue allowances based on specific review of particular customers, historical trends and other relevant information.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August 31, 2018, the Company acquired a privately-owned company which expands the environmental services and waste oil capabilities of the Company for a $27.3 million purchase price, net of cash. The acquired company is included in the Safety-Kleen and Environmental Services segments. In connection with this acquisition, a preliminary goodwill amount of $15.8 million was recognized. The results of operations of this acquired business were not material in 2018.</w:t>
      </w:r>
    </w:p>
    <w:p>
      <w:pPr>
        <w:spacing w:after="0" w:line="241"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On February 23, 2018, the Company completed the acquisition of the U.S. Industrial Cleaning Business of Veolia Environmental Services North America LLC (the "Veolia Business"). The acquisition provides significant scale and industrial services capabilities while increasing the size of the Company's existing U.S. Industrial Services business. The Company acquired the Veolia Business for a preliminary purchase price of $124.0 million, which remains subject to certain post-closing adjustments. The amount of revenue from the Veolia Business included in the Company's results of operations for the year ended December 31, 2018 was $154.0 million. The amount of pre-tax loss from the Veolia Business included in the Company's results of operations for the year ended December 31, 2018 was $0.9 million, which included $14.6 million in depreciation expense as well as $0.6 million of amortization expense related to intangible assets. During the year ended December 31, 2018, the Company incurred acquisition-related costs of approximately $1.4 million in connection with the transaction which</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52" w:right="2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 (Continued)</w:t>
      </w:r>
    </w:p>
    <w:p>
      <w:pPr>
        <w:spacing w:after="0" w:line="283"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are included in selling, general and administrative expenses in the consolidated statements of operations. The Veolia Business is included in the Environmental Services segment.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and preliminary allocation of the purchase price for the Veolia Business consist of the following amounts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At Acquisition Date As</w:t>
            </w:r>
          </w:p>
        </w:tc>
      </w:tr>
      <w:tr>
        <w:trPr>
          <w:trHeight w:val="149"/>
        </w:trPr>
        <w:tc>
          <w:tcPr>
            <w:tcW w:w="9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Reported December 31,</w:t>
            </w:r>
          </w:p>
        </w:tc>
      </w:tr>
      <w:tr>
        <w:trPr>
          <w:trHeight w:val="192"/>
        </w:trPr>
        <w:tc>
          <w:tcPr>
            <w:tcW w:w="9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including unbilled receivable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38,201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1,126</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72,243</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(18,025)</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7"/>
        </w:trPr>
        <w:tc>
          <w:tcPr>
            <w:tcW w:w="972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99,159</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24,873</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124,032</w:t>
            </w:r>
          </w:p>
        </w:tc>
      </w:tr>
      <w:tr>
        <w:trPr>
          <w:trHeight w:val="20"/>
        </w:trPr>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weighted average amortization period for the intangibles acquired is 8.2 years. 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this acquisition. Goodwill generated from the acquisition is deductible for tax purposes.</w:t>
      </w:r>
    </w:p>
    <w:p>
      <w:pPr>
        <w:spacing w:after="0" w:line="18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Pro forma revenue and earnings amounts on a combined basis as if these acquisitions had been completed on January 1, 2017 are immaterial to the consolidated financial statements of the Company since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44"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On July 14, 2017, the Company acquired Lonestar West Inc. ("Lonestar"), a public company headquartered in Alberta, Canada, for approximately CAD $41.8 million, ($33.1 million USD), net of cash acquired, which included an equity payout of CAD $0.72 per share to Lonestar shareholders and the assumption of approximately CAD $21.3 million ($16.8 million USD) in outstanding debt, which Clean Harbors subsequently repaid. The acquisition supports the Company's growth in the daylighting and hydro excavation services markets. In addition to increasing the size of the Company's hydro vac fleet, Lonestar's network of locations provides the Company with direct access to key geographic markets in both the United States and Canada. The acquired company is included in the Environmental Services segment. In connection with this acquisition a goodwill amount of $2.8 million was recognized.</w:t>
      </w:r>
    </w:p>
    <w:p>
      <w:pPr>
        <w:spacing w:after="0" w:line="21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January 31, 2017, the Company acquired a privately held company for a purchase price of approximately $11.9 million in cash, net of cash acquired. The acquired business produces and distributes oil products and therefore complements the Company's closed loop model as it relates to the sale of its oil products. The acquired company is included in the Safety-Kleen segment. In connection with this acquisition a goodwill amount of $5.0 million was recognized.</w:t>
      </w:r>
    </w:p>
    <w:p>
      <w:pPr>
        <w:spacing w:after="0" w:line="106"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The combined amount of direct revenue from the acquisitions included in the Company's results of operations for the year ended December 31, 2017 was approximately $14.5 million. Pro forma revenue and earnings amounts on a combined basis as if these acquisitions had been completed on January 1, 2016 are immaterial to the consolidated financial statements of the Company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52"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27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2016, the Company acquired seven businesses that complement the strategy to create a closed loop model as it relates to the sale of the Company's oil products. These acquisitions provided the Company with three additional oil re-refineries while also expanding its used motor oil collection network and providing greater blending and packaging capabilities. These acquisitions also provide the Company with greater access to customers in the West Coast region of the United States and additional locations with Part B permits. Operations of these acquisitions were primarily integrated into the Safety-Kleen operating segment with certain operations also integrated into the Environmental Services segment.</w:t>
      </w:r>
    </w:p>
    <w:p>
      <w:pPr>
        <w:spacing w:after="0" w:line="227" w:lineRule="exact"/>
        <w:rPr>
          <w:sz w:val="20"/>
          <w:szCs w:val="20"/>
          <w:color w:val="auto"/>
        </w:rPr>
      </w:pPr>
    </w:p>
    <w:p>
      <w:pPr>
        <w:ind w:right="400" w:firstLine="405"/>
        <w:spacing w:after="0" w:line="255" w:lineRule="auto"/>
        <w:rPr>
          <w:sz w:val="20"/>
          <w:szCs w:val="20"/>
          <w:color w:val="auto"/>
        </w:rPr>
      </w:pPr>
      <w:r>
        <w:rPr>
          <w:rFonts w:ascii="Arial" w:cs="Arial" w:eastAsia="Arial" w:hAnsi="Arial"/>
          <w:sz w:val="18"/>
          <w:szCs w:val="18"/>
          <w:color w:val="auto"/>
        </w:rPr>
        <w:t>The combined purchase price for the seven acquisitions was $204.8 million paid in cash and subject to customary post-closing adjustments. The combined amount of direct revenue from the acquisitions included in the Company's results of operations for the year ended December 31, 2016 was approximately $69.8 million. Upon acquisition, the acquired entities were immediately integrated into the Company's operating segments. Therefore it is impracticable to measure earnings attributable to the acquired businesses. During the year ended December 31, 2016, the Company incurred acquisition-related costs of approximately $1.7 million in connection with the transactions which are included in selling, general and administrative expenses in the consolidated statements of operations.</w:t>
      </w:r>
    </w:p>
    <w:p>
      <w:pPr>
        <w:spacing w:after="0" w:line="247"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The allocation of the purchase price was based on estimates of the fair value of assets acquired and liabilities assumed as of the acquisition dates. The Company believes that such information provides a reasonable basis for estimating the fair values of assets acquired and liabilities assumed. The Company finalized the purchase accounting for the seven acquisitions in the second quarter of 2017.</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allocation of the purchase price consists of the following 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Final Allocation</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12,688</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143,916</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(19,905)</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Remedial liabilities, less current portion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(2,545)</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(20,219)</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156,781</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47,977</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purchase price, net of cash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204,758</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these acquisitions. Goodwill generated from the acquisitions was not deductible for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 OF BUSINESSES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Disposition</w:t>
      </w:r>
    </w:p>
    <w:p>
      <w:pPr>
        <w:spacing w:after="0" w:line="27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June 30, 2017, the Company completed the sale of its Transformer Services business, as part of its continuous focus on improving or divesting certain non-core operations. The Transformer Services business was a non-core business previously included within the former Technical Services operating segment and was sold for $45.5 million ($43.4 million net of $2.1 million in transactional related costs). As a result of the sale, the Company recognized during the year ended December 31,</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252" w:right="23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 OF BUSINESSES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2017, a pre-tax gain of $30.7 million which was included in gain on sale of business in the Company’s consolidated statement of operations.</w:t>
      </w:r>
    </w:p>
    <w:p>
      <w:pPr>
        <w:spacing w:after="0" w:line="279"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The following table presents the carrying amounts of the Company's Transformer Services business that was disposed of on June 30, 2017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8,773</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divested</w:t>
            </w: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17,695</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1,170</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divested</w:t>
            </w: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5,019</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Net carrying value divested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12,676</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Company evaluated the disposition and determined it did not meet the “major effect” criteria for classification as a discontinued operation largely due to the nature and size of the operations of the disposed entity. However, the Company determined that the disposition represented an individually significant component of the Company’s business. The following table presents income attributable to the Transformer Services business included in the Company's consolidated results of operations for each of the periods shown and through its disposition on June 30, 2017 (in thousands):</w:t>
      </w:r>
    </w:p>
    <w:p>
      <w:pPr>
        <w:spacing w:after="0" w:line="92"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p>
      <w:pPr>
        <w:ind w:left="8780"/>
        <w:spacing w:after="0"/>
        <w:tabs>
          <w:tab w:leader="none" w:pos="104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120" w:val="left"/>
          <w:tab w:leader="none" w:pos="9180" w:val="left"/>
          <w:tab w:leader="none" w:pos="9840" w:val="left"/>
          <w:tab w:leader="none" w:pos="10880" w:val="left"/>
        </w:tabs>
        <w:rPr>
          <w:sz w:val="20"/>
          <w:szCs w:val="20"/>
          <w:color w:val="auto"/>
        </w:rPr>
      </w:pPr>
      <w:r>
        <w:rPr>
          <w:rFonts w:ascii="Arial" w:cs="Arial" w:eastAsia="Arial" w:hAnsi="Arial"/>
          <w:sz w:val="18"/>
          <w:szCs w:val="18"/>
          <w:color w:val="auto"/>
        </w:rPr>
        <w:t>Income before provision (benefit)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2,771</w:t>
        <w:tab/>
        <w:t>$</w:t>
      </w:r>
      <w:r>
        <w:rPr>
          <w:sz w:val="20"/>
          <w:szCs w:val="20"/>
          <w:color w:val="auto"/>
        </w:rPr>
        <w:tab/>
      </w:r>
      <w:r>
        <w:rPr>
          <w:rFonts w:ascii="Arial" w:cs="Arial" w:eastAsia="Arial" w:hAnsi="Arial"/>
          <w:sz w:val="16"/>
          <w:szCs w:val="16"/>
          <w:color w:val="auto"/>
        </w:rPr>
        <w:t>4,187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Disposition</w:t>
      </w:r>
    </w:p>
    <w:p>
      <w:pPr>
        <w:spacing w:after="0" w:line="27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September 1, 2016, the Company completed the sale of its Catalyst Services business, which was a non-core business previously included within the former Industrial Services operating segment, for approximately $50.6 million ($49.2 million net of cash retained by the Catalyst Services business). As a result of the sale, the Company recognized during the year ended December 31, 2016, a pre-tax gain of $16.9 million which was included in gain on sale of business in the Company’s consolidated statement of operations. Inclusive within this gain was $1.6 million of transactional related costs. During the first quarter of 2017, the Company and the buyer of the Catalyst Services business agreed to final working capital amounts and as a result the Company received $2.0 million of final sale proceeds.</w:t>
      </w:r>
    </w:p>
    <w:p>
      <w:pPr>
        <w:sectPr>
          <w:pgSz w:w="11900" w:h="16838" w:orient="portrait"/>
          <w:cols w:equalWidth="0" w:num="1">
            <w:col w:w="11420"/>
          </w:cols>
          <w:pgMar w:left="240" w:top="252" w:right="239" w:bottom="7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252" w:right="239" w:bottom="771"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 OF BUSINESSES (Continued)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carrying amounts of the Company's Catalyst Services business immediately preceding the disposition on September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September 1, 2016</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11,154</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divested</w:t>
            </w:r>
          </w:p>
        </w:tc>
        <w:tc>
          <w:tcPr>
            <w:tcW w:w="3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36,673</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566</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divested</w:t>
            </w:r>
          </w:p>
        </w:tc>
        <w:tc>
          <w:tcPr>
            <w:tcW w:w="3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4,606</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Net carrying value divested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32,067</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Company evaluated the disposition and determined it did not meet the “major effect” criteria for classification as a discontinued operation largely due to the nature and size of the operations of the disposed of entity. However, the Company determined that the disposition did represent an individually significant component of its business. The following table presents income attributable to the Catalyst Services business included in the Company's consolidated results of operations for the period shown and through its disposition on September 1, 2016 (in thousands):</w:t>
      </w:r>
    </w:p>
    <w:p>
      <w:pPr>
        <w:spacing w:after="0" w:line="109" w:lineRule="exact"/>
        <w:rPr>
          <w:sz w:val="20"/>
          <w:szCs w:val="20"/>
          <w:color w:val="auto"/>
        </w:rPr>
      </w:pPr>
    </w:p>
    <w:p>
      <w:pPr>
        <w:ind w:left="9320"/>
        <w:spacing w:after="0"/>
        <w:rPr>
          <w:sz w:val="20"/>
          <w:szCs w:val="20"/>
          <w:color w:val="auto"/>
        </w:rPr>
      </w:pPr>
      <w:r>
        <w:rPr>
          <w:rFonts w:ascii="Arial" w:cs="Arial" w:eastAsia="Arial" w:hAnsi="Arial"/>
          <w:sz w:val="13"/>
          <w:szCs w:val="13"/>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31115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w:t>
            </w:r>
          </w:p>
        </w:tc>
      </w:tr>
      <w:tr>
        <w:trPr>
          <w:trHeight w:val="351"/>
        </w:trPr>
        <w:tc>
          <w:tcPr>
            <w:tcW w:w="7660" w:type="dxa"/>
            <w:vAlign w:val="bottom"/>
          </w:tcPr>
          <w:p>
            <w:pPr>
              <w:spacing w:after="0"/>
              <w:rPr>
                <w:sz w:val="20"/>
                <w:szCs w:val="20"/>
                <w:color w:val="auto"/>
              </w:rPr>
            </w:pPr>
            <w:r>
              <w:rPr>
                <w:rFonts w:ascii="Arial" w:cs="Arial" w:eastAsia="Arial" w:hAnsi="Arial"/>
                <w:sz w:val="18"/>
                <w:szCs w:val="18"/>
                <w:b w:val="1"/>
                <w:bCs w:val="1"/>
                <w:color w:val="auto"/>
              </w:rPr>
              <w:t>(6) INVENTORIES AND SUPPLIES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86"/>
        </w:trPr>
        <w:tc>
          <w:tcPr>
            <w:tcW w:w="7660" w:type="dxa"/>
            <w:vAlign w:val="bottom"/>
          </w:tcPr>
          <w:p>
            <w:pPr>
              <w:ind w:left="420"/>
              <w:spacing w:after="0"/>
              <w:rPr>
                <w:sz w:val="20"/>
                <w:szCs w:val="20"/>
                <w:color w:val="auto"/>
              </w:rPr>
            </w:pPr>
            <w:r>
              <w:rPr>
                <w:rFonts w:ascii="Arial" w:cs="Arial" w:eastAsia="Arial" w:hAnsi="Arial"/>
                <w:sz w:val="18"/>
                <w:szCs w:val="18"/>
                <w:color w:val="auto"/>
              </w:rPr>
              <w:t>Inventories and supplies consisted of the following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24"/>
                <w:szCs w:val="24"/>
                <w:color w:val="auto"/>
              </w:rPr>
            </w:pPr>
          </w:p>
        </w:tc>
        <w:tc>
          <w:tcPr>
            <w:tcW w:w="160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oil related products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58,142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Supplies and drums</w:t>
            </w:r>
          </w:p>
        </w:tc>
        <w:tc>
          <w:tcPr>
            <w:tcW w:w="22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104,609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94,242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Solvent and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Modular camp accommodations</w:t>
            </w:r>
          </w:p>
        </w:tc>
        <w:tc>
          <w:tcPr>
            <w:tcW w:w="220" w:type="dxa"/>
            <w:vAlign w:val="bottom"/>
          </w:tcPr>
          <w:p>
            <w:pPr>
              <w:spacing w:after="0"/>
              <w:rPr>
                <w:sz w:val="21"/>
                <w:szCs w:val="21"/>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1,826</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12,635</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inventories and supplies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199,479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176,012</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Supplies and drums consist primarily of drums and containers used in providing the Company's products and services as well as critical spare parts to support the Company's incinerator and re-refinery operations. Other inventories consisted primarily of parts washer components, cleaning fluids, absorbents and automotive fluids, such as windshield washer fluid and antifreeze.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52"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6"/>
                <w:szCs w:val="16"/>
                <w:color w:val="auto"/>
              </w:rPr>
            </w:pPr>
          </w:p>
        </w:tc>
        <w:tc>
          <w:tcPr>
            <w:tcW w:w="168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121,658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15,148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14,593</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440,188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414,384</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and lodging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Vehicles</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721,735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617,959</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1,644,102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5,708</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57,618</w:t>
            </w:r>
          </w:p>
        </w:tc>
      </w:tr>
      <w:tr>
        <w:trPr>
          <w:trHeight w:val="237"/>
        </w:trPr>
        <w:tc>
          <w:tcPr>
            <w:tcW w:w="7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3,332,595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3,190,573</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1,770,617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1,603,208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1,561,978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1,587,365</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Interest in the amount of $0.6 million, $0.6 million and $5.5 million was capitalized to property, plant and equipment during the years ended December 31, 2018, 2017 and 2016, respectively. Depreciation expense, inclusive of landfill amortization was $264.3 million, $251.4 million and $247.0 million for the years ended December 31, 2018, 2017 and 2016,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goodwill for the years ended December 31, 2018 and 2017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Environmental</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4"/>
                <w:szCs w:val="14"/>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465,154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Decrease from disposition of business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172,386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306,137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40,704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207,019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307,170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514,189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Company assesses goodwill for impairment on an annual basis as of December 31, or at an interim date when events or changes in the business environment would more likely than not reduce the fair value of a reporting unit below its carrying value.</w:t>
      </w:r>
    </w:p>
    <w:p>
      <w:pPr>
        <w:spacing w:after="0" w:line="22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conducted its annual impairment test of goodwill as of December 31, 2018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their carrying values.</w:t>
      </w:r>
    </w:p>
    <w:p>
      <w:pPr>
        <w:sectPr>
          <w:pgSz w:w="11900" w:h="16838" w:orient="portrait"/>
          <w:cols w:equalWidth="0" w:num="1">
            <w:col w:w="11420"/>
          </w:cols>
          <w:pgMar w:left="240" w:top="252"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252"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 (Continued)</w:t>
      </w:r>
    </w:p>
    <w:p>
      <w:pPr>
        <w:spacing w:after="0" w:line="14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annual and any interim date impairment tests are reasonable, but variations in any of the assumptions may result in different calculations of fair values.</w:t>
      </w:r>
    </w:p>
    <w:p>
      <w:pPr>
        <w:spacing w:after="0" w:line="10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impacts of any adverse business and market conditions which impact the overall performance of the Company's reporting units will continue to be monitored. If the Company's reporting units do not achieve the financial performance that the Company expects, it is possible that goodwill impairment charges may result. There can therefore be no assurance that future events will not result in an impairment of goodwill.</w:t>
      </w:r>
    </w:p>
    <w:p>
      <w:pPr>
        <w:spacing w:after="0" w:line="8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At December 31, 2018, the total of accumulated goodwill impairment charges was $189.4 million, of which $34.0 million was recorded during the year ended December 31, 2016 within the Environmental Services reporting unit, due to economic conditions in Western Canada's Oil Sands region and the impacts on the Company's lodging operations.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2018 and 2017, the Company's finite-lived and indefinite-lived intangible assets consisted of the following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December 31, 2018</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100,374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and supplier relationships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393,487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179,824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213,663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399,224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158,972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240,252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w w:val="93"/>
              </w:rPr>
              <w:t>Total amortizable permits and other intangible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608,332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288,925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319,407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610,711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264,911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345,800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122,468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122,468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123,328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123,328</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permits and other intangible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730,800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288,925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441,875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734,039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264,911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469,128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Company regularly monitors and assesses whether events or changes in circumstances relative to the Company's business might indicate that future cash flows attributable to the Company's asset groups may not be sufficient to recover the current value of those assets. During the year ended and as of December 31, 2018, there were no events or changes in circumstances which would indicate that the carrying values of the Company's asset groups would not be recoverable and thus no impairment charge was recorded related to the Company's long-lived assets. If expectations of future cash flows were to decrease in the future as a result of worse than expected or prolonged periods of depressed activity, future impairments may become evident.</w:t>
      </w:r>
    </w:p>
    <w:p>
      <w:pPr>
        <w:spacing w:after="0" w:line="25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Amortization expense of permits and other intangible assets for the years ended December 31, 2018, 2017 and 2016 were $34.4 million, $37.0 million and $40.0 million, respectively.</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amortization of the net carrying amount of finite-lived intangible assets at December 31, 2018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Years Ending December 31,</w:t>
            </w:r>
          </w:p>
        </w:tc>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right"/>
              <w:ind w:right="554"/>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58"/>
        </w:trPr>
        <w:tc>
          <w:tcPr>
            <w:tcW w:w="1740" w:type="dxa"/>
            <w:vAlign w:val="bottom"/>
            <w:gridSpan w:val="2"/>
            <w:vMerge w:val="continue"/>
          </w:tcPr>
          <w:p>
            <w:pPr>
              <w:spacing w:after="0"/>
              <w:rPr>
                <w:sz w:val="13"/>
                <w:szCs w:val="13"/>
                <w:color w:val="auto"/>
              </w:rPr>
            </w:pPr>
          </w:p>
        </w:tc>
        <w:tc>
          <w:tcPr>
            <w:tcW w:w="7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33,091</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30,195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27,553</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27,386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23,468</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7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177,714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319,407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bottom w:val="single" w:sz="8" w:color="CCEEFF"/>
            </w:tcBorders>
            <w:vMerge w:val="restart"/>
          </w:tcPr>
          <w:p>
            <w:pPr>
              <w:jc w:val="right"/>
              <w:ind w:right="3670"/>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2"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consisted of the following at December 31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6"/>
                <w:szCs w:val="16"/>
                <w:color w:val="auto"/>
              </w:rPr>
            </w:pPr>
          </w:p>
        </w:tc>
        <w:tc>
          <w:tcPr>
            <w:tcW w:w="168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57,889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12,660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real estate, sales and other taxes</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25,670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27,330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34,242</w:t>
            </w:r>
          </w:p>
        </w:tc>
      </w:tr>
      <w:tr>
        <w:trPr>
          <w:trHeight w:val="237"/>
        </w:trPr>
        <w:tc>
          <w:tcPr>
            <w:tcW w:w="74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233,405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187,982</w:t>
            </w:r>
          </w:p>
        </w:tc>
      </w:tr>
      <w:tr>
        <w:trPr>
          <w:trHeight w:val="27"/>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As of December 31, 2018 and 2017, accrued insurance included health insurance costs of $14.7 million and $9.0 million, respectively, and accruals for losses under our workers' compensation, comprehensive general liability and vehicle liability self-insurance programs of $53.9 million and $47.9 million, respectively. The increase in our self-insurance liabilities from the comparable period in 2017 was primarily due to the acquisition of the Veolia Business, for which the Company assumed workers' compensation, general liability and vehicle liability claims reserves.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Accrued compensation and benefits increased by $22.0 million from the comparable period in 2017 due to an increase in variable compensation, which was attributable to greater revenue and earnings achieved in 2018.</w:t>
      </w:r>
    </w:p>
    <w:p>
      <w:pPr>
        <w:spacing w:after="0" w:line="22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As of December 31, 2018 and 2017, other accrued expenses included accrued legal matters of $7.5 million and $1.4 million, respectively, and accrued severance charges of $2.7 million and $3.5 million, respectively. The increase in accrued legal matters was primarily due to the acquisition of the Veolia Business and certain liabilities assumed by the Company. Also included in the December 31, 2018 other accrued expenses balance was an $8.8 million derivative liability, recorded at fair value, related to the Company's cash flow hedges.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CLOSURE AND POST-CLOSURE LIABILITIES</w:t>
      </w:r>
    </w:p>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2017 through December 31,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Non-Landfill</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0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Liability</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Liabilities assumed in acquisitions</w:t>
            </w: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New asset retirement obligations</w:t>
            </w:r>
          </w:p>
        </w:tc>
        <w:tc>
          <w:tcPr>
            <w:tcW w:w="3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related to disposition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Accretion</w:t>
            </w:r>
          </w:p>
        </w:tc>
        <w:tc>
          <w:tcPr>
            <w:tcW w:w="3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3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3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61,037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Liabilities assumed in acquisitions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asset retirement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Accretion</w:t>
            </w:r>
          </w:p>
        </w:tc>
        <w:tc>
          <w:tcPr>
            <w:tcW w:w="3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3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37,809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69,931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252" w:right="2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CLOSURE AND POST-CLOSURE LIABILITIES (Continued)</w:t>
      </w:r>
    </w:p>
    <w:p>
      <w:pPr>
        <w:spacing w:after="0" w:line="283"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All of the landfill facilities included in the above table were active as of December 31, 2018 and 2017. The 2018 environmental change in estimate recorded to the statement of operations includes $1.2 million related to increased facility closure costs at one of our locations. There were no significant (benefits) charges in 2017 resulting from changes in estimates for closure and post-closure liabilities.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New asset retirement obligations incurred during 2018 and 2017 were discounted at the credit-adjusted risk-free rate of 5.66% and 6.32%, respectively.</w:t>
      </w:r>
    </w:p>
    <w:p>
      <w:pPr>
        <w:spacing w:after="0" w:line="30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10,574</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9,424</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10,941</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7,626</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9,264</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271,314</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closure and post-closure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319,143</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Less: Discount at credit-adjusted risk-free rate</w:t>
            </w: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(155,999)</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Undiscounted estimated closure and post-closure liabilities relating to airspace not yet consumed</w:t>
            </w: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(93,213)</w:t>
            </w:r>
          </w:p>
        </w:tc>
      </w:tr>
      <w:tr>
        <w:trPr>
          <w:trHeight w:val="257"/>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Present value of closure and post-closure liabilities</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69,931</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REMEDIAL LIABILITIES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changes to remedial liabilities from January 1, 2017 through December 31, 2018 were as follows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Remedial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Remedial</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Remedial</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(Including</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Liabilities for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Landfill Sites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Inactive Sites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Operations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57,326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124,468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Accretion</w:t>
            </w: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65,315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53,864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121,017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252"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REMEDIAL LIABILITIES (Continued)</w:t>
      </w:r>
    </w:p>
    <w:p>
      <w:pPr>
        <w:spacing w:after="0" w:line="28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There were no significant (benefits) charges in 2018 and 2017 resulting from changes in estimates for remedial liabilities. Anticipated payments at December 31, 2018 (based on current estimated costs and anticipated timing of necessary regulatory approvals to commence work on remedial activities) for each of the next five years and thereafter were as follows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13,975</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15,467</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14,593</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9,560</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8,688</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81,453</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remedial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143,736</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Less: Discount</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(22,719)</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remedial liabilities</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121,017</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Based on currently available facts and legal interpretations, existing technology, and presently enacted laws and regulations, the Company estimates that its aggregate liabilities as of December 31, 2018 for future remediation relating to all of its owned or leased facilities and the Superfund sites for which the Company has current or potential future liability is approximately $121.0 million. The Company also estimates that it is reasonably possible that the amount of such total liabilities could be as much as $22.8 million more. Future changes in either available technology or applicable laws or regulations could affect such estimates of remedial liabilities. Since the Company's satisfaction of the liabilities will occur over many years, the Company cannot now reasonably predict the nature or extent of future changes in either available technology or applicable laws or regulations and the impact that those changes, if any, might have on the current estimates of remedial liabilities.</w:t>
      </w:r>
    </w:p>
    <w:p>
      <w:pPr>
        <w:spacing w:after="0" w:line="23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tables show, respectively, (i) the amounts of such estimated liabilities associated with the types of facilities and sites involved and (ii) the amounts of such estimated liabilities associated with each facility or site which represents at least 5% of the total and with all other facilities and sites as a group and as of December 31, 2018.</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Estimates Based on Type of Facility or Site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Reasonably</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Remedial</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Possible</w:t>
            </w:r>
          </w:p>
        </w:tc>
        <w:tc>
          <w:tcPr>
            <w:tcW w:w="0" w:type="dxa"/>
            <w:vAlign w:val="bottom"/>
          </w:tcPr>
          <w:p>
            <w:pPr>
              <w:spacing w:after="0"/>
              <w:rPr>
                <w:sz w:val="1"/>
                <w:szCs w:val="1"/>
                <w:color w:val="auto"/>
              </w:rPr>
            </w:pPr>
          </w:p>
        </w:tc>
      </w:tr>
      <w:tr>
        <w:trPr>
          <w:trHeight w:val="149"/>
        </w:trPr>
        <w:tc>
          <w:tcPr>
            <w:tcW w:w="7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Facility or Site</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of Total</w:t>
            </w:r>
          </w:p>
        </w:tc>
        <w:tc>
          <w:tcPr>
            <w:tcW w:w="180" w:type="dxa"/>
            <w:vAlign w:val="bottom"/>
          </w:tcPr>
          <w:p>
            <w:pPr>
              <w:spacing w:after="0"/>
              <w:rPr>
                <w:sz w:val="12"/>
                <w:szCs w:val="12"/>
                <w:color w:val="auto"/>
              </w:rPr>
            </w:pPr>
          </w:p>
        </w:tc>
        <w:tc>
          <w:tcPr>
            <w:tcW w:w="10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92"/>
        </w:trPr>
        <w:tc>
          <w:tcPr>
            <w:tcW w:w="7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Liabilities(1)</w:t>
            </w:r>
          </w:p>
        </w:tc>
        <w:tc>
          <w:tcPr>
            <w:tcW w:w="0" w:type="dxa"/>
            <w:vAlign w:val="bottom"/>
          </w:tcPr>
          <w:p>
            <w:pPr>
              <w:spacing w:after="0"/>
              <w:rPr>
                <w:sz w:val="1"/>
                <w:szCs w:val="1"/>
                <w:color w:val="auto"/>
              </w:rPr>
            </w:pPr>
          </w:p>
        </w:tc>
      </w:tr>
      <w:tr>
        <w:trPr>
          <w:trHeight w:val="250"/>
        </w:trPr>
        <w:tc>
          <w:tcPr>
            <w:tcW w:w="7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now used in active conduct of the Company's business (41 facilities)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11,171</w:t>
            </w:r>
          </w:p>
        </w:tc>
        <w:tc>
          <w:tcPr>
            <w:tcW w:w="0" w:type="dxa"/>
            <w:vAlign w:val="bottom"/>
          </w:tcPr>
          <w:p>
            <w:pPr>
              <w:spacing w:after="0"/>
              <w:rPr>
                <w:sz w:val="1"/>
                <w:szCs w:val="1"/>
                <w:color w:val="auto"/>
              </w:rPr>
            </w:pPr>
          </w:p>
        </w:tc>
      </w:tr>
      <w:tr>
        <w:trPr>
          <w:trHeight w:val="229"/>
        </w:trPr>
        <w:tc>
          <w:tcPr>
            <w:tcW w:w="7340" w:type="dxa"/>
            <w:vAlign w:val="bottom"/>
          </w:tcPr>
          <w:p>
            <w:pPr>
              <w:ind w:left="40"/>
              <w:spacing w:after="0"/>
              <w:rPr>
                <w:sz w:val="20"/>
                <w:szCs w:val="20"/>
                <w:color w:val="auto"/>
              </w:rPr>
            </w:pPr>
            <w:r>
              <w:rPr>
                <w:rFonts w:ascii="Arial" w:cs="Arial" w:eastAsia="Arial" w:hAnsi="Arial"/>
                <w:sz w:val="18"/>
                <w:szCs w:val="18"/>
                <w:color w:val="auto"/>
                <w:w w:val="91"/>
              </w:rPr>
              <w:t>Inactive facilities not now used in active conduct of the Company's business but most of which were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0"/>
              <w:spacing w:after="0"/>
              <w:rPr>
                <w:sz w:val="20"/>
                <w:szCs w:val="20"/>
                <w:color w:val="auto"/>
              </w:rPr>
            </w:pPr>
            <w:r>
              <w:rPr>
                <w:rFonts w:ascii="Arial" w:cs="Arial" w:eastAsia="Arial" w:hAnsi="Arial"/>
                <w:sz w:val="18"/>
                <w:szCs w:val="18"/>
                <w:color w:val="auto"/>
                <w:w w:val="93"/>
              </w:rPr>
              <w:t>acquired because the assumption of remedial liabilities for such facilities was part of the purchase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40"/>
              <w:spacing w:after="0"/>
              <w:rPr>
                <w:sz w:val="20"/>
                <w:szCs w:val="20"/>
                <w:color w:val="auto"/>
              </w:rPr>
            </w:pPr>
            <w:r>
              <w:rPr>
                <w:rFonts w:ascii="Arial" w:cs="Arial" w:eastAsia="Arial" w:hAnsi="Arial"/>
                <w:sz w:val="18"/>
                <w:szCs w:val="18"/>
                <w:color w:val="auto"/>
              </w:rPr>
              <w:t>price for the CSD assets (35 facilities)</w:t>
            </w:r>
          </w:p>
        </w:tc>
        <w:tc>
          <w:tcPr>
            <w:tcW w:w="2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64,344</w:t>
            </w:r>
          </w:p>
        </w:tc>
        <w:tc>
          <w:tcPr>
            <w:tcW w:w="120" w:type="dxa"/>
            <w:vAlign w:val="bottom"/>
          </w:tcPr>
          <w:p>
            <w:pPr>
              <w:spacing w:after="0"/>
              <w:rPr>
                <w:sz w:val="20"/>
                <w:szCs w:val="20"/>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Superfund sites owned by third parties (17 sites)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8,167</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57"/>
        </w:trPr>
        <w:tc>
          <w:tcPr>
            <w:tcW w:w="73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121,017</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22,770</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(1) Amounts represent the high end of the range of management's best estimate of the reasonably possible additional liabilities.</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252" w:right="2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REMEDIAL LIABILITIES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Estimates Based on Amount of Potential Liability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Reasonably</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Remedial</w:t>
            </w: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3"/>
              </w:rPr>
              <w:t>Possible</w:t>
            </w:r>
          </w:p>
        </w:tc>
        <w:tc>
          <w:tcPr>
            <w:tcW w:w="0" w:type="dxa"/>
            <w:vAlign w:val="bottom"/>
          </w:tcPr>
          <w:p>
            <w:pPr>
              <w:spacing w:after="0"/>
              <w:rPr>
                <w:sz w:val="1"/>
                <w:szCs w:val="1"/>
                <w:color w:val="auto"/>
              </w:rPr>
            </w:pPr>
          </w:p>
        </w:tc>
      </w:tr>
      <w:tr>
        <w:trPr>
          <w:trHeight w:val="149"/>
        </w:trPr>
        <w:tc>
          <w:tcPr>
            <w:tcW w:w="1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502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Type of Facility or Site</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of Total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CCEEFF"/>
            </w:tcBorders>
            <w:vMerge w:val="continue"/>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Liability</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Liabilities(1)</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Baton Rouge, LA(2)</w:t>
            </w: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Closed incinerator and landfill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Bridgeport, NJ</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Closed incinerator</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18,616</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Mercier, Quebec(2)</w:t>
            </w: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Idled incinerator and legal proceedings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Linden, NJ</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Operating solvent recycling center</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Various(2)</w:t>
            </w:r>
          </w:p>
        </w:tc>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All other incinerators, landfills, wastewater treatment facilities and</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centers (72 facilities)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53,624</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Various(2)</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w w:val="96"/>
              </w:rPr>
              <w:t>Superfund sites (each representing less than 5% of total liabilities)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owned by third parties (17 sites)</w:t>
            </w:r>
          </w:p>
        </w:tc>
        <w:tc>
          <w:tcPr>
            <w:tcW w:w="2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8,167</w:t>
            </w:r>
          </w:p>
        </w:tc>
        <w:tc>
          <w:tcPr>
            <w:tcW w:w="120" w:type="dxa"/>
            <w:vAlign w:val="bottom"/>
          </w:tcPr>
          <w:p>
            <w:pPr>
              <w:spacing w:after="0"/>
              <w:rPr>
                <w:sz w:val="20"/>
                <w:szCs w:val="20"/>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121,017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22,770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the high end of the range of management's best estimate of the reasonably possible additional liabilities.</w:t>
      </w:r>
    </w:p>
    <w:p>
      <w:pPr>
        <w:spacing w:after="0" w:line="63"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$17.9 million of the $121.0 million remedial liabilities and $1.8 million of the $22.8 million reasonably possible additional liabilities include estimates of remediation liabilities related to the legal and administrative proceedings discussed in Note 18, "Commitments and Contingencies," as well as other such estimated remedial liabilities.</w:t>
      </w:r>
    </w:p>
    <w:p>
      <w:pPr>
        <w:spacing w:after="0" w:line="100" w:lineRule="exact"/>
        <w:rPr>
          <w:sz w:val="20"/>
          <w:szCs w:val="20"/>
          <w:color w:val="auto"/>
        </w:rPr>
      </w:pPr>
    </w:p>
    <w:p>
      <w:pPr>
        <w:ind w:right="360" w:firstLine="432"/>
        <w:spacing w:after="0" w:line="276" w:lineRule="auto"/>
        <w:rPr>
          <w:sz w:val="20"/>
          <w:szCs w:val="20"/>
          <w:color w:val="auto"/>
        </w:rPr>
      </w:pPr>
      <w:r>
        <w:rPr>
          <w:rFonts w:ascii="Arial" w:cs="Arial" w:eastAsia="Arial" w:hAnsi="Arial"/>
          <w:sz w:val="17"/>
          <w:szCs w:val="17"/>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technological, regulatory or enforcement developments, the results of environmental studies, or other factors could necessitate the recording of additional liabilities or the revision of currently recorded liabilities that could be material. The impact of such future events cannot be estimated at the current time.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Current Obligations:</w:t>
            </w:r>
          </w:p>
        </w:tc>
        <w:tc>
          <w:tcPr>
            <w:tcW w:w="2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9"/>
                <w:szCs w:val="19"/>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5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57"/>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Senior secured Term Loan Agreement ("Term Loan Agreement")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74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Long-Term Obligations:</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55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Senior secured Term Loan Agreement due June 30, 2024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734,697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394,000</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Senior unsecured notes, at 5.25%, due August 1, 2020 ("2020 Notes")</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Senior unsecured notes, at 5.125%, due June 1, 2021 ("2021 Notes")</w:t>
            </w: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845,000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845,000</w:t>
            </w: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obligations, at par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1,579,697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1,639,000</w:t>
            </w:r>
          </w:p>
        </w:tc>
      </w:tr>
      <w:tr>
        <w:trPr>
          <w:trHeight w:val="237"/>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Unamortized debt issuance costs and premium,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(13,463)</w:t>
            </w: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obligations, at carrying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1,565,021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1,625,537</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8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 xml:space="preserve">Senior Secured Term Loans. </w:t>
      </w:r>
      <w:r>
        <w:rPr>
          <w:rFonts w:ascii="Arial" w:cs="Arial" w:eastAsia="Arial" w:hAnsi="Arial"/>
          <w:sz w:val="18"/>
          <w:szCs w:val="18"/>
          <w:color w:val="auto"/>
        </w:rPr>
        <w:t>On April 17, 2018, the Company, and substantially all of the Company's domestic subsidiaries as guarantors,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amendment (the “First Amendment”) of the Term Loan Agreement. The First Amendment reduced the applicable interest rate margin for the Company’s initial term loans (the "Term Loans") outstanding under the Term Loan Agreement by 25 basis points for both Eurocurrency borrowings and base rate borrowings. After giving effect to the repricing, the applicable interest rate margins for the Term Loans are 1.75% for Eurocurrency borrowings and 0.75% for base rate borrowings.</w:t>
      </w:r>
    </w:p>
    <w:p>
      <w:pPr>
        <w:sectPr>
          <w:pgSz w:w="11900" w:h="16838" w:orient="portrait"/>
          <w:cols w:equalWidth="0" w:num="1">
            <w:col w:w="11420"/>
          </w:cols>
          <w:pgMar w:left="240" w:top="252"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252" w:right="23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 (Continued)</w:t>
      </w:r>
    </w:p>
    <w:p>
      <w:pPr>
        <w:spacing w:after="0" w:line="14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July 19, 2018, the Company, and substantially all of the Company’s domestic subsidiaries as guarantors, entered into an Incremental Facility Amendment (the “Incremental Facility Amendment”) to the Company’s Term Loan Agreement. The Incremental Facility Amendment increased the principal amount of the Term Loans outstanding under the Term Loan Agreement by $350.0 million. Term Loans under the Term Loan Agreement will mature on June 30, 2024 and may be prepaid at any time without premium or penalty other than customary breakage costs with respect to Eurodollar based loans. The Company’s obligations under the Term Loan Agreement are guaranteed by all of the Company’s domestic restricted subsidiaries and secured by liens on substantially all of the assets of the Company and the guarantors. The effective interest rate of the Term Loans on December 31, 2018 was 4.27%.</w:t>
      </w:r>
    </w:p>
    <w:p>
      <w:pPr>
        <w:spacing w:after="0" w:line="84"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Concurrently with the closing on July 19, 2018 of the Incremental Facility Amendment, the Company purchased $322.0 million aggregate principal of the 2020 Notes. The total amount paid in purchasing the 2020 Notes was $330.9 million inclusive of $7.9 million of accrued interest and $1.0 million of debt redemption fees. On August 1, 2018, the Company redeemed the remaining $78.0 million of outstanding 2020 Notes.</w:t>
      </w:r>
    </w:p>
    <w:p>
      <w:pPr>
        <w:spacing w:after="0" w:line="22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At December 31, 2018 and December 31, 2017, the fair value of the Term Loan Agreement debt was $707.0 million and $400.5 million, respectively, based on quoted market prices or other available market data. The fair value of the Term Loan Agreement debt is considered a Level 2 measure according to the fair value hierarchy.</w:t>
      </w:r>
    </w:p>
    <w:p>
      <w:pPr>
        <w:spacing w:after="0" w:line="23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 xml:space="preserve">Senior Unsecured Notes. </w:t>
      </w:r>
      <w:r>
        <w:rPr>
          <w:rFonts w:ascii="Arial" w:cs="Arial" w:eastAsia="Arial" w:hAnsi="Arial"/>
          <w:sz w:val="16"/>
          <w:szCs w:val="16"/>
          <w:color w:val="auto"/>
        </w:rPr>
        <w:t>In 2012, the Company issued $800.0 million aggregate principal amount of 5.25% senior unsecured notes due August 1, 2020</w:t>
      </w:r>
      <w:r>
        <w:rPr>
          <w:rFonts w:ascii="Arial" w:cs="Arial" w:eastAsia="Arial" w:hAnsi="Arial"/>
          <w:sz w:val="16"/>
          <w:szCs w:val="16"/>
          <w:i w:val="1"/>
          <w:iCs w:val="1"/>
          <w:color w:val="auto"/>
        </w:rPr>
        <w:t xml:space="preserve"> </w:t>
      </w:r>
      <w:r>
        <w:rPr>
          <w:rFonts w:ascii="Arial" w:cs="Arial" w:eastAsia="Arial" w:hAnsi="Arial"/>
          <w:sz w:val="16"/>
          <w:szCs w:val="16"/>
          <w:color w:val="auto"/>
        </w:rPr>
        <w:t>(the "2020 Notes") with semi-annual fixed interest payments on February 1 and August 1 of each year. The Company repurchased or redeemed $400.0 million principal amount of the 2020 Notes during 2017 and, as described above, the Company repurchased or redeemed the remaining $400.0 million principal amount of the 2020 Notes during 2018. At December 31, 2017, the fair value of the 2020 Notes was $404.6 million based on quoted market prices for the instrument. The fair value of the 2020 Notes was considered a Level 2 measure according to the fair value hierarchy.</w:t>
      </w:r>
    </w:p>
    <w:p>
      <w:pPr>
        <w:spacing w:after="0" w:line="21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2012, the Company issued $600.0 million aggregate principal amount of 5.125% senior unsecured notes due June 1, 2021 (the "2021 Notes") with semi-annual fixed interest payments on June 1 and December 1 of each year. The Company repurchased $5.0 million principal amount of 2021 Notes during 2014. On March 14, 2016, the Company issued an additional $250.0 million aggregate principal amount of 2021 Notes as additional notes under the related indenture. At December 31, 2018 and 2017, the fair value of the Company's 2021 Notes was $845.0 million and $855.7 million, respectively, based on quoted market prices or other available market data. The fair value of the 2021 Notes is considered a Level 2 measure according to the fair value hierarchy. Upon proper notice to the holders of the 2021 Notes, the Company may presently redeem some or all of the 2021 Notes at par value plus unpaid interest.</w:t>
      </w:r>
    </w:p>
    <w:p>
      <w:pPr>
        <w:spacing w:after="0" w:line="21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The 2021 Notes and the related indentures contain various customary non-financial covenants and are guaranteed by substantially all of the Company's current and future domestic restricted subsidiaries. The 2021 Notes are the Company's and the guarantors' senior unsecured obligations ranking equally with the Company's and the guarantors' existing and future senior unsecured obligations and senior to any future indebtedness that is expressly subordinated to the 2021 Notes and the guarantees. The 2021 Notes are effectively subordinated to all of the Company's and the Company subsidiaries' secured indebtedness under the Company's Term Loan Agreement, revolving credit facility and capital lease obligations to the extent of the value of the assets securing such secured indebtedness. The 2021 Notes are not guaranteed by the Company's existing and future Canadian or other foreign subsidiaries, and are structurally subordinated to all indebtedness and other liabilities, including trade payables, of the Company's subsidiaries that are not guarantors of the 2021 Notes.</w:t>
      </w:r>
    </w:p>
    <w:p>
      <w:pPr>
        <w:spacing w:after="0" w:line="22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On November 1, 2016, the Company and one of the Company's subsidiaries (the "Canadian Borrower")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credit agreement for the Company's revolving credit facility with Bank of America, N.A. (“BofA”), as agent for the lenders under the facility (the "Agent"). Under the amended and restated facility, the Company has the right to obtain revolving loans and letters of credit for a combined maximum of up to $300.0 million (with a sub-limit of $250.0 million for letters of credit) and the Canadian Borrower has the right to obtain revolving loans and letters of credit for a combined maximum of up to $100.0 million (with a $75.0 million sub-limit for letters of credit). Availability under the U.S. line is subject to a borrowing base basically comprised of 85% of the eligible accounts receivable of the Company and its U.S. subsidiaries plus 100% of cash deposited in a controlled account with the Agent, and availability under the Canadian line is subject to a borrowing base basically comprised of 85% of the eligible accounts receivable of the Company’s Canadian subsidiaries plus 100% of cash deposited in a controlled account with the Agent’s Canadian affiliate. Subject to certain conditions, the facility will expire on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52" w:right="2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 (Continued)</w:t>
      </w:r>
    </w:p>
    <w:p>
      <w:pPr>
        <w:spacing w:after="0" w:line="28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Borrowings under the revolving credit facility bear interest at a rate of, at the Company’s option, either (i) LIBOR plus an applicable margin ranging from 1.25% to 1.50% per annum based primarily on the level of the Company’s average liquidity for the most recent 30 day period or (ii) BofA’s base rate plus an applicable margin ranging from 0.25% to 0.50% per annum based primarily on such average liquidity. There is also an unused line fee, calculated on the then unused portion of the lenders’ $400.0 million maximum commitments, ranging from 0.25% to 0.30% per annum of the unused commitment. For outstanding letters of credit, the Company will pay to the lenders a fee equal to the then applicable LIBOR margin described above, and to the issuing banks a standard fronting fee and customary fees and charges in connection with all amendments, extensions, draws and other actions with respect to letters of credit.</w:t>
      </w:r>
    </w:p>
    <w:p>
      <w:pPr>
        <w:spacing w:after="0" w:line="219" w:lineRule="exact"/>
        <w:rPr>
          <w:sz w:val="20"/>
          <w:szCs w:val="20"/>
          <w:color w:val="auto"/>
        </w:rPr>
      </w:pPr>
    </w:p>
    <w:p>
      <w:pPr>
        <w:ind w:right="20" w:firstLine="447"/>
        <w:spacing w:after="0" w:line="259" w:lineRule="auto"/>
        <w:rPr>
          <w:sz w:val="20"/>
          <w:szCs w:val="20"/>
          <w:color w:val="auto"/>
        </w:rPr>
      </w:pPr>
      <w:r>
        <w:rPr>
          <w:rFonts w:ascii="Arial" w:cs="Arial" w:eastAsia="Arial" w:hAnsi="Arial"/>
          <w:sz w:val="18"/>
          <w:szCs w:val="18"/>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24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 Company utilizes letters of credit primarily as security for financial assurance which it has been required to provide to regulatory bodies for its hazardous waste facilities and which would be called only in the event that the Company fails to satisfy closure, post-closure and other obligations under the permits issued by those regulatory bodies for such licensed facilities. On August 1, 2018, the Company borrowed $50.0 million under the revolving credit facility in connection with the redemption of $78.0 million of 2020 Notes. The Company repaid the $50.0 million borrowing during the fourth quarter of 2018. At December 31, 2018 and 2017, the revolving credit facility had no outstanding loan balances, availability of $235.4 million and $217.8 million, respectively, and outstanding letters of credit of $130.1 million and $134.1 million, respectively.</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 Flow Hedges</w:t>
      </w:r>
    </w:p>
    <w:p>
      <w:pPr>
        <w:spacing w:after="0" w:line="28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Company’s strategy to hedge against fluctuations in variable interest rates involves entering into interest rate derivative agreements to hedge against adverse movements in interest rates. For interest rate derivatives deemed to be effective cash flow hedges, the change in fair value is recorded in stockholders’ equity as a component of accumulated other comprehensive loss and included in interest expense at the same time as interest expense is affected by the hedged transaction. Differences paid or received over the life of the agreements are recorded as additions to or reductions of interest expense on the underlying debt.</w:t>
      </w:r>
    </w:p>
    <w:p>
      <w:pPr>
        <w:spacing w:after="0" w:line="107"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Although the interest rate on all $742.2 million aggregate principal amount of Term Loans which were outstanding on December 31, 2018 is variable under the Term Loan Agreement, the Company has effectively fixed the interest rate on $350.0 million aggregate principal amount of the Term Loans outstanding by entering into interest rate swap agreements in 2018 with a notional amount of $350.0 million. Under the terms of the interest rate swap agreements, the Company receives interest based on the 1-month LIBOR index and pays interest at a weighted average rate of approximately 2.92%. When combined with the 1.75% interest rate margin for Eurocurrency borrowings, the effective annual interest rate on such $350.0 million aggregate principal amount of Term Loans is therefore approximately 4.67%.</w:t>
      </w:r>
    </w:p>
    <w:p>
      <w:pPr>
        <w:spacing w:after="0" w:line="11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10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December 31, 2018, the Company recorded a derivative liability with a fair value of $8.8 million within accrued expenses in connection with these cash flow hedges.</w:t>
      </w:r>
    </w:p>
    <w:p>
      <w:pPr>
        <w:spacing w:after="0" w:line="89" w:lineRule="exact"/>
        <w:rPr>
          <w:sz w:val="20"/>
          <w:szCs w:val="20"/>
          <w:color w:val="auto"/>
        </w:rPr>
      </w:pPr>
    </w:p>
    <w:p>
      <w:pPr>
        <w:ind w:right="540" w:firstLine="405"/>
        <w:spacing w:after="0" w:line="259" w:lineRule="auto"/>
        <w:rPr>
          <w:sz w:val="20"/>
          <w:szCs w:val="20"/>
          <w:color w:val="auto"/>
        </w:rPr>
      </w:pPr>
      <w:r>
        <w:rPr>
          <w:rFonts w:ascii="Arial" w:cs="Arial" w:eastAsia="Arial" w:hAnsi="Arial"/>
          <w:sz w:val="18"/>
          <w:szCs w:val="18"/>
          <w:color w:val="auto"/>
        </w:rPr>
        <w:t>The fair value of the interest rate swaps included in the Level 2 tier of the fair value hierarchy is calculated using discounted cash flow valuation methodologies based upon the one month LIBOR yield curves that are observable at commonly quoted intervals for the full term of the swaps. Level 2 utilizes quoted market prices in markets that are not active, broker or dealer quotations, or alternative pricing sources with reasonable levels of price transparency for similar assets and liabilities.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52"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domestic and foreign components of income before provision (benefit) for income taxes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3"/>
              </w:rPr>
              <w:t>For the Year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2016</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115,070</w:t>
            </w: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87,328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(20,588)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(78,612)</w:t>
            </w:r>
          </w:p>
        </w:tc>
      </w:tr>
      <w:tr>
        <w:trPr>
          <w:trHeight w:val="27"/>
        </w:trPr>
        <w:tc>
          <w:tcPr>
            <w:tcW w:w="5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94,482</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58,689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8,716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For the Year Ended December 31,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Federal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(7,677)</w:t>
            </w: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25,613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14,798</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Foreign</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9,844</w:t>
            </w: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41,285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33,405</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Deferred</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21,814</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State</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1,644</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(8,274)</w:t>
            </w:r>
          </w:p>
        </w:tc>
      </w:tr>
      <w:tr>
        <w:trPr>
          <w:trHeight w:val="237"/>
        </w:trPr>
        <w:tc>
          <w:tcPr>
            <w:tcW w:w="57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(83,335)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15,184</w:t>
            </w: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28,846</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48,589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Company's effective tax rate for fiscal years 2018, 2017 and 2016 was 30.5%, (71.6)% and 557.5%, respectively. The effective income tax rate varied from the amount computed using the statutory federal income tax rate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For the Year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 at US statutory rate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19,841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0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6,010</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0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10,466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16,552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22,564</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 interest and penalties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10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11,905</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1,306</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Tax Cuts and Jobs Act</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28,846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48,589</w:t>
            </w: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i w:val="1"/>
          <w:iCs w:val="1"/>
          <w:color w:val="auto"/>
        </w:rPr>
        <w:t xml:space="preserve">Effects of the Tax Cuts and Jobs Act. </w:t>
      </w:r>
      <w:r>
        <w:rPr>
          <w:rFonts w:ascii="Arial" w:cs="Arial" w:eastAsia="Arial" w:hAnsi="Arial"/>
          <w:sz w:val="17"/>
          <w:szCs w:val="17"/>
          <w:color w:val="auto"/>
        </w:rPr>
        <w:t>On December 22, 2017, the “Tax Cuts and Jobs Act” (the “Tax Act”) was signed into law, making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the federal tax law. Changes include, but are not limited to, a corporate tax rate decrease from 35% to 21% effective for tax years beginning after December 31, 2017, the transition of U.S. international taxation from a worldwide tax system to a territorial tax system, and a one-time transition tax on the mandatory deemed repatriation of cumulative foreign earnings as of December 31, 2017. For the year ended December 31, 2017, the Company calculated its best estimate of the impact of the Tax Act in its year end income tax provision in accordance with its understanding of the Tax Act and guidance available as of the date of the 2017 Form 10-K filing and as a result recorded a net benefit of $93.0 million as a component of the 2017 income tax expense. This provisional net income tax benefit was comprised of a $100.5 million tax benefit for the remeasurement of deferred tax assets and liabilities to the 21% rate at which they are expected to reverse, offset</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252" w:right="23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by a one-time tax expense on deemed repatriation of $7.5 million. This one-time charge was after the utilization of $7.5 million of foreign tax credits which had full valuation allowances applied to them previously.</w:t>
      </w:r>
    </w:p>
    <w:p>
      <w:pPr>
        <w:spacing w:after="0" w:line="89" w:lineRule="exact"/>
        <w:rPr>
          <w:sz w:val="20"/>
          <w:szCs w:val="20"/>
          <w:color w:val="auto"/>
        </w:rPr>
      </w:pPr>
    </w:p>
    <w:p>
      <w:pPr>
        <w:ind w:right="380" w:firstLine="405"/>
        <w:spacing w:after="0" w:line="302" w:lineRule="auto"/>
        <w:rPr>
          <w:sz w:val="20"/>
          <w:szCs w:val="20"/>
          <w:color w:val="auto"/>
        </w:rPr>
      </w:pPr>
      <w:r>
        <w:rPr>
          <w:rFonts w:ascii="Arial" w:cs="Arial" w:eastAsia="Arial" w:hAnsi="Arial"/>
          <w:sz w:val="16"/>
          <w:szCs w:val="16"/>
          <w:color w:val="auto"/>
        </w:rPr>
        <w:t>During 2018, the Company completed its analysis of impacts of the Tax Act and specific to the one-time deemed repatriation, adjusted the previous amount recorded of $7.5 million to $6.6 million resulting in a $0.9 million benefit to tax expense recorded in 2018. The Company also recorded the final remeasurement of its deferred tax assets and liabilities and adjusted the deferred tax benefit from $100.5 million to $99.9 million or approximately $0.6 million of deferred expense recorded in 2018. The total net impact of changes in tax law resulted in a net benefit of approximately $0.3 million in 2018.</w:t>
      </w:r>
    </w:p>
    <w:p>
      <w:pPr>
        <w:spacing w:after="0" w:line="154"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During 2018, the Company also completed an analysis of certain federal manufacturing and research and development credit benefits for tax years 2014 through 2017. Upon the filing of its 2017 tax return in October 2018, the Company recognized $3.3 million of tax benefits and recognized an additional $7.1 million upon the amendments of its 2014 through 2016 tax returns for a net benefit recorded as a component of the 2018 tax provision of $9.8 million.</w:t>
      </w:r>
    </w:p>
    <w:p>
      <w:pPr>
        <w:spacing w:after="0" w:line="66"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During the year ended December 31, 2018, the Company recorded $5.0 million of tax benefits related to tax deductible foreign currency losses to accumulated other comprehensive loss and as such these benefits are not included within the provision (benefit) for income taxes.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total net deferred tax assets and liabilities at December 31,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15,686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operating loss carryforwards(1)</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43,284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46,650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carryforwards(2)</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Uncertain tax positions accrued interest and federal benefit</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123,492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(164,246)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(144,325)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Permits and other intangible assets</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(103,539)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(107,407)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Prepaids</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(276,972)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(259,812)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liability before valuation allowance</w:t>
            </w:r>
          </w:p>
        </w:tc>
        <w:tc>
          <w:tcPr>
            <w:tcW w:w="1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(143,198)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(136,320)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(79,295)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(68,355)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liabilities</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(222,493)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(204,675)</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2018, the net operating loss carryforwards included (i) state net operating loss carryovers of $185.1 million which will begin to expire in 2019, (ii) federal net operating loss carryforwards of $49.8 million which will begin to expire in 2025, and (iii) foreign net operating loss carryforwards of $103.3 million which will begin to expire in 2019.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2018, the foreign tax credit carryforwards of $16.5 million will expire between 2020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52"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83" w:lineRule="exact"/>
        <w:rPr>
          <w:sz w:val="20"/>
          <w:szCs w:val="20"/>
          <w:color w:val="auto"/>
        </w:rPr>
      </w:pPr>
    </w:p>
    <w:p>
      <w:pPr>
        <w:ind w:right="640" w:firstLine="432"/>
        <w:spacing w:after="0" w:line="308" w:lineRule="auto"/>
        <w:rPr>
          <w:sz w:val="20"/>
          <w:szCs w:val="20"/>
          <w:color w:val="auto"/>
        </w:rPr>
      </w:pPr>
      <w:r>
        <w:rPr>
          <w:rFonts w:ascii="Arial" w:cs="Arial" w:eastAsia="Arial" w:hAnsi="Arial"/>
          <w:sz w:val="17"/>
          <w:szCs w:val="17"/>
          <w:color w:val="auto"/>
        </w:rPr>
        <w:t>The Company has not accrued for any remaining undistributed foreign earnings not subject to the one-time transition tax on mandatory deemed repatriation of cumulative foreign earnings. These amounts continue to be indefinitely reinvested in foreign operations.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valuation allowance is required to be established when, based on an evaluation of available evidence, it is more likely than not that some portion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 of the deferred tax assets will not be realized. Accordingly, as of December 31, 2018 and 2017, the Company had a valuation allowance of $79.3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$68.4 million, respectively. The total allowance as of December 31, 2018 consisted of $16.5 million of foreign tax credits, $0.8 million of acquired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federal net operating losses, $9.6 million of state net operating loss carryforwards, $22.7 million of foreign net operating loss carryforwards, $26.6 million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of a Canadian subsidiary and $3.1 million for tax attributes that if realized would generate capital losses. The allowance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consisted of $17.5 million of foreign tax credits, $3.9 million of acquired federal net operating losses, $11.9 million of state net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 carryforwards and $22.6 million of foreign net operating loss carryforwards and $12.5 million of deferred tax assets of a Canadian subsidiary.</w:t>
      </w:r>
    </w:p>
    <w:p>
      <w:pPr>
        <w:spacing w:after="0" w:line="27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changes to unrecognized tax benefits (excluding related penalties and interest) from January 1, 2016 through December 31, 2018,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151765</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January 1</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to current year tax positions</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additions to prior year tax positions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Expirations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Unrecognized tax benefits as of December 31</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1,738</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At December 31, 2018, 2017 and 2016, the Company had recorded $3.2 million, $5.1 million and $1.7 million, respectively, of unrecognized tax benefits that if recognized would affect the annual effective tax rate.</w:t>
      </w:r>
    </w:p>
    <w:p>
      <w:pPr>
        <w:spacing w:after="0" w:line="22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as a component of income tax expense. At December 31, 2018, 2017 and 2016 the Company has accrued interest of $0.8 million, $0.9 million and $0.3 million, respectively, relative to unrecognized tax benefits. Interest expense that is recorded as a tax expense against the liability for unrecognized tax benefits for the years ended December 31, 2018, 2017 and 2016 included interest and penalties of $(0.1) million, $0.5 million and $0.1 million, respectively.</w:t>
      </w:r>
    </w:p>
    <w:p>
      <w:pPr>
        <w:spacing w:after="0" w:line="24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files U.S. federal income tax returns as well as income tax returns in various states and foreign jurisdictions. The Company may be subject to examination by the Internal Revenue Service (the "IRS") for calendar years 2014 through 2017. Additionally, any net operating losses that were generated in prior years and utilized in these years may also be subject to examination by the IRS. The Company may also be subject to examinations by state and local revenue authorities for calendar years 2013 through 2017. The Company is currently not under examination by the IRS. The Company has ongoing U.S. state and local jurisdictional audits, as well as Canadian federal and provincial audits, all of which the Company believes will not result in material liabilities.</w:t>
      </w:r>
    </w:p>
    <w:p>
      <w:pPr>
        <w:spacing w:after="0" w:line="24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Due to expiring statute of limitation periods and the resolution of tax audits, the Company believes that total unrecognized tax benefits will decrease by approximately $0.6 million within the next 12 months.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52"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(LOSS) PER SHARE</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computations of basic and diluted earnings (loss) per share (in thousands except for per share amounts):</w:t>
      </w:r>
    </w:p>
    <w:p>
      <w:pPr>
        <w:spacing w:after="0" w:line="230"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basic and diluted earnings (loss)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65,636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100,739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(39,873)</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Weighted basic shares outstanding</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56,148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57,072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57,532</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equity-based compensation awards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 dilutive shares outstanding</w:t>
            </w:r>
          </w:p>
        </w:tc>
        <w:tc>
          <w:tcPr>
            <w:tcW w:w="9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56,340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57,200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57,532</w:t>
            </w:r>
          </w:p>
        </w:tc>
      </w:tr>
      <w:tr>
        <w:trPr>
          <w:trHeight w:val="257"/>
        </w:trPr>
        <w:tc>
          <w:tcPr>
            <w:tcW w:w="6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30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r>
      <w:tr>
        <w:trPr>
          <w:trHeight w:val="25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For the years ended December 31, 2018 and 2017, all then outstanding performance awards and restricted stock awards were included in the calculation of diluted earnings per share except for 79,390 and 152,831, respectively, of performance stock awards for which the performance criteria were not attained at the time and 121,803 and 49,373, respectively, of restricted stock awards which were excluded as their inclusion would have an antidilutive effect. As a result of the net loss reported for the year ended December 31, 2016, all outstanding stock options, restricted stock awards and performance awards, totaling 730,929 potentially dilutive shares, were excluded from the calculation of diluted loss per share as their inclusion would have an antidilutive effect.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83"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The Company's board of directors has authorized the repurchase of up to $600 million of the Company's common stock. The Company has funded and intends to continue to fund the repurchases through available cash resources.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 During the years ended December 31, 2018, 2017 and 2016, the Company repurchased and retired a total of approximately 0.8 million, 0.9 million and 0.5 million shares, respectively, of the Company's common stock for total costs of approximately $45.1 million, $49.0 million and $22.2 million, respectively. Through December 31, 2018, the Company has repurchased and retired a total of approximately 5.6 million shares of its common stock for approximately $293.9 million under this program. As of December 31, 2018, an additional $306.1 million remained available for repurchase of shares under this program.</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52"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28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years ended December 31, 2018, 2017 and 2016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Unrealized</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(Losses) Gains on</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 on</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Unfunded Pension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14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8"/>
              </w:rPr>
              <w:t>Sale Securities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Interest Rate Hedge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Liability</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23,967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Amounts reclassified out of 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Tax benefit (loss)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16,918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40,566</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b w:val="1"/>
                <w:bCs w:val="1"/>
                <w:color w:val="auto"/>
              </w:rPr>
              <w:t>Balance at December 31, 2016</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(214,326)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41,966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w w:val="93"/>
              </w:rPr>
              <w:t>Amounts reclassified out of accumulated other comprehensive loss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loss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41,636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41,919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Other comprehensive (loss) income before tax effects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(47,374)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Amounts reclassified out of 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Tax benefit (loss)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(50,964)</w:t>
            </w: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(212,925)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(223,371)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firstLine="392"/>
        <w:spacing w:after="0" w:line="254" w:lineRule="auto"/>
        <w:rPr>
          <w:sz w:val="20"/>
          <w:szCs w:val="20"/>
          <w:color w:val="auto"/>
        </w:rPr>
      </w:pPr>
      <w:r>
        <w:rPr>
          <w:rFonts w:ascii="Arial" w:cs="Arial" w:eastAsia="Arial" w:hAnsi="Arial"/>
          <w:sz w:val="18"/>
          <w:szCs w:val="18"/>
          <w:color w:val="auto"/>
        </w:rPr>
        <w:t>During the years ended December 31, 2018 and December 31, 2016, the Company converted intercompany loans with a foreign subsidiary to equity, which resulted in losses for tax purposes. The loans had been historically treated as components of the Company’s investments in that subsidiary, and as a result, foreign currency gains and losses on the loans had been accumulated as a component of other comprehensive (loss) income. The subsidiary continues to operate as part of the</w:t>
      </w:r>
    </w:p>
    <w:p>
      <w:pPr>
        <w:spacing w:after="0" w:line="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Company. The tax benefits of $5.0 million and $16.8 million, respectively, which were triggered by the conversion, were therefore allocated to other comprehensive (loss) income rather than net income (loss).</w:t>
      </w:r>
    </w:p>
    <w:p>
      <w:pPr>
        <w:spacing w:after="0" w:line="10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operations, with presentation location, during the years ended December 31, 2018 and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3"/>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3080" w:type="dxa"/>
            <w:vAlign w:val="bottom"/>
          </w:tcPr>
          <w:p>
            <w:pPr>
              <w:spacing w:after="0"/>
              <w:rPr>
                <w:sz w:val="16"/>
                <w:szCs w:val="16"/>
                <w:color w:val="auto"/>
              </w:rPr>
            </w:pPr>
          </w:p>
        </w:tc>
      </w:tr>
      <w:tr>
        <w:trPr>
          <w:trHeight w:val="250"/>
        </w:trPr>
        <w:tc>
          <w:tcPr>
            <w:tcW w:w="51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Comprehensive Income Components</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Location</w:t>
            </w: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(losses) gains on available-for-sale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Unrealized loss on interest rate hedge</w:t>
            </w:r>
          </w:p>
        </w:tc>
        <w:tc>
          <w:tcPr>
            <w:tcW w:w="280" w:type="dxa"/>
            <w:vAlign w:val="bottom"/>
          </w:tcPr>
          <w:p>
            <w:pPr>
              <w:spacing w:after="0"/>
              <w:rPr>
                <w:sz w:val="21"/>
                <w:szCs w:val="21"/>
                <w:color w:val="auto"/>
              </w:rPr>
            </w:pPr>
          </w:p>
        </w:tc>
        <w:tc>
          <w:tcPr>
            <w:tcW w:w="1560" w:type="dxa"/>
            <w:vAlign w:val="bottom"/>
          </w:tcPr>
          <w:p>
            <w:pPr>
              <w:jc w:val="right"/>
              <w:ind w:right="319"/>
              <w:spacing w:after="0"/>
              <w:rPr>
                <w:sz w:val="20"/>
                <w:szCs w:val="20"/>
                <w:color w:val="auto"/>
              </w:rPr>
            </w:pPr>
            <w:r>
              <w:rPr>
                <w:rFonts w:ascii="Arial" w:cs="Arial" w:eastAsia="Arial" w:hAnsi="Arial"/>
                <w:sz w:val="18"/>
                <w:szCs w:val="18"/>
                <w:color w:val="auto"/>
              </w:rPr>
              <w:t>(806)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80" w:type="dxa"/>
            <w:vAlign w:val="bottom"/>
          </w:tcPr>
          <w:p>
            <w:pPr>
              <w:ind w:left="20"/>
              <w:spacing w:after="0"/>
              <w:rPr>
                <w:sz w:val="20"/>
                <w:szCs w:val="20"/>
                <w:color w:val="auto"/>
              </w:rPr>
            </w:pPr>
            <w:r>
              <w:rPr>
                <w:rFonts w:ascii="Arial" w:cs="Arial" w:eastAsia="Arial" w:hAnsi="Arial"/>
                <w:sz w:val="18"/>
                <w:szCs w:val="18"/>
                <w:color w:val="auto"/>
                <w:w w:val="96"/>
              </w:rPr>
              <w:t>Interest expense, net of interest income</w:t>
            </w: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reclassifications out of accumulated other comprehensive loss during the year ended December 31,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2010, the Company adopted an equity incentive plan (the "2010 Plan"), which provides for awards of up to 6,000,000 shares of common stock</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(subject to certain anti-dilution adjustments) in the form of (i) stock options, (ii) stock appreciation rights, (iii) restricted stock, (iv) restricted stock units,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 certain other stock-based awards. The Company ceased issuing</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252" w:right="239" w:bottom="1440" w:gutter="0" w:footer="0" w:header="0"/>
          <w:type w:val="continuous"/>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 (Continued)</w:t>
      </w:r>
    </w:p>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stock options in 2008, and all awards issued to date under the 2010 Plan have been in the form of restricted stock awards and performance stock awards as described below.</w:t>
      </w:r>
    </w:p>
    <w:p>
      <w:pPr>
        <w:spacing w:after="0" w:line="89"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As of December 31, 2018 and 2017, the Company had the following types of stock-based compensation awards outstanding under the 2010 Plan: restricted stock awards and performance stock awards. The restricted stock awards generally vest over three to five years subject to continued employment. The performance stock awards vest depending on the satisfaction of certain performance criteria and continued service conditions as described below.</w:t>
      </w:r>
    </w:p>
    <w:p>
      <w:pPr>
        <w:spacing w:after="0" w:line="201"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Total stock-based compensation cost charged to selling, general and administrative expenses for the years ended December 31, 2018, 2017 and 2016 was $16.8 million, $13.1 million and $10.5 million, respectively. The total income tax benefit recognized in the consolidated statements of operations from stock-based compensation was $3.2 million, $3.7 million and $2.8 million for the years ended December 31, 2018, 2017 and 2016, respectively.</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information relates to restricted stock awards that have been granted to employees and directors under the Company's 2010 Plan. The restricted stock awards are not transferable until vested and the restrictions generally lapse upon the achievement of continued employment over a three-to-five-year period or service as a director until the following annual meeting of shareholders. The fair value of each restricted stock grant is based on the closing price of the Company's common stock on the date of grant and is amortized to expense over its vesting period.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restricted stock awards for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5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2018</w:t>
            </w:r>
          </w:p>
        </w:tc>
        <w:tc>
          <w:tcPr>
            <w:tcW w:w="17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604,933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327,466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(76,486)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657,240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of December 31, 2018, there was $24.9 million of total unrecognized compensation cost arising from restricted stock awards. This cost is expected to be recognized over a weighted average period of 2.6 years. The total fair value of restricted stock vested during 2018, 2017 and 2016 was $10.8 million, $7.3 million and $8.3 million, respectively.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27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following information relates to performance stock awards that have been granted to employees. The compensation committee of the Company's board of directors established two-year performance targets which could potentially be achieved in the year granted or one year thereafter. Performance stock awards are subject to performance criteria established by the compensation committee of the Company's board of directors. The vesting of the performance stock awards is based on achieving such targets typically based on revenue, Adjusted EBITDA margin, free cash flow and a measure of workplace safety. In addition, performance stock awards include continued service conditions.</w:t>
      </w:r>
    </w:p>
    <w:p>
      <w:pPr>
        <w:spacing w:after="0" w:line="22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fair value of each performance stock award is based on the closing price of the Company's common stock on the date of grant and is amortized to expense over the service period if achievement of performance measures is then considered probable.</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252" w:right="239" w:bottom="1440" w:gutter="0" w:footer="0" w:header="0"/>
          <w:type w:val="continuous"/>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 (Continued)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performance stock awards for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58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w:t>
            </w: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580" w:type="dxa"/>
            <w:vAlign w:val="bottom"/>
          </w:tcPr>
          <w:p>
            <w:pPr>
              <w:jc w:val="center"/>
              <w:ind w:right="1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2018</w:t>
            </w:r>
          </w:p>
        </w:tc>
        <w:tc>
          <w:tcPr>
            <w:tcW w:w="1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171,584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(126,807)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213,490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December 31, 2018, there was $3.2 million of total unrecognized compensation cost arising from non-vested compensation related to performance stock awards then deemed probable of vesting under the Company's 2010 Plan. The total fair value of performance awards vested during 2018, 2017 and 2016 was $1.2 million, $3.0 million and $1.0 million,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w:t>
      </w:r>
    </w:p>
    <w:p>
      <w:pPr>
        <w:spacing w:after="0" w:line="252" w:lineRule="auto"/>
        <w:rPr>
          <w:sz w:val="20"/>
          <w:szCs w:val="20"/>
          <w:color w:val="auto"/>
        </w:rPr>
      </w:pPr>
      <w:r>
        <w:rPr>
          <w:rFonts w:ascii="Arial" w:cs="Arial" w:eastAsia="Arial" w:hAnsi="Arial"/>
          <w:sz w:val="18"/>
          <w:szCs w:val="18"/>
          <w:color w:val="auto"/>
        </w:rPr>
        <w:t>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wastes.</w:t>
      </w:r>
    </w:p>
    <w:p>
      <w:pPr>
        <w:spacing w:after="0" w:line="112"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At December 31, 2018 and December 31, 2017, the Company had recorded reserves of $25.4 million and $19.3 million, respectively, in the Company's financial statements for actual or probable liabilities related to the legal and administrative proceedings in which the Company was then involved, the principal of which are described below. At December 31, 2018 and December 31, 2017, the Company also believed that it was reasonably possible that the amount of these potential liabilities could be as much as $1.8 million more. The Company periodically adjusts the aggregate amount of these reserves when actual or probable liabilities are paid or otherwise discharged, new claims arise, or additional relevant information about existing or probable claims becomes available. As of December 31, 2018 and December 31, 2017, the $25.4 million and $19.3 million, respectively, of reserves consisted of (i) $17.9 million for each of the periods presented related to pending legal or administrative proceedings, including Superfund liabilities, which were included in remedial liabilities on the consolidated balance sheets, and (ii) $7.5 million and $1.4 million, respectively, primarily related to federal, state and provincial enforcement actions, which were included in accrued expenses on the consolidated balance sheets.</w:t>
      </w:r>
    </w:p>
    <w:p>
      <w:pPr>
        <w:spacing w:after="0" w:line="2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December 31, 2018, the principal legal and administrative proceedings in which the Company was involved, or which had been terminated during 2018, were as follows:</w:t>
      </w:r>
    </w:p>
    <w:p>
      <w:pPr>
        <w:spacing w:after="0" w:line="22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i w:val="1"/>
          <w:iCs w:val="1"/>
          <w:color w:val="auto"/>
        </w:rPr>
        <w:t xml:space="preserve">Ville Mercier. </w:t>
      </w:r>
      <w:r>
        <w:rPr>
          <w:rFonts w:ascii="Arial" w:cs="Arial" w:eastAsia="Arial" w:hAnsi="Arial"/>
          <w:sz w:val="16"/>
          <w:szCs w:val="16"/>
          <w:color w:val="auto"/>
        </w:rPr>
        <w:t>In September 2002, the Company acquired the stock of a subsidiary (the "Mercier Subsidiary") which owns a hazardous waste incinerator</w:t>
      </w:r>
      <w:r>
        <w:rPr>
          <w:rFonts w:ascii="Arial" w:cs="Arial" w:eastAsia="Arial" w:hAnsi="Arial"/>
          <w:sz w:val="16"/>
          <w:szCs w:val="16"/>
          <w:i w:val="1"/>
          <w:iCs w:val="1"/>
          <w:color w:val="auto"/>
        </w:rPr>
        <w:t xml:space="preserve"> </w:t>
      </w:r>
      <w:r>
        <w:rPr>
          <w:rFonts w:ascii="Arial" w:cs="Arial" w:eastAsia="Arial" w:hAnsi="Arial"/>
          <w:sz w:val="16"/>
          <w:szCs w:val="16"/>
          <w:color w:val="auto"/>
        </w:rPr>
        <w:t>in Ville Mercier, Quebec (the "Mercier Facility"). The property adjacent to the Mercier Facility, which is also owned by the Mercier Subsidiary, is now contaminated as a result of actions dating back to 1968, when the Government of Quebec issued to a company unrelated to the Mercier</w:t>
      </w:r>
    </w:p>
    <w:p>
      <w:pPr>
        <w:spacing w:after="0" w:line="253" w:lineRule="auto"/>
        <w:rPr>
          <w:sz w:val="20"/>
          <w:szCs w:val="20"/>
          <w:color w:val="auto"/>
        </w:rPr>
      </w:pPr>
      <w:r>
        <w:rPr>
          <w:rFonts w:ascii="Arial" w:cs="Arial" w:eastAsia="Arial" w:hAnsi="Arial"/>
          <w:sz w:val="18"/>
          <w:szCs w:val="18"/>
          <w:color w:val="auto"/>
        </w:rPr>
        <w:t>Subsidiary two permits to dump organic liquids into lagoons on the property. In 1999, Ville Mercier and three neighboring municipalities filed separate legal proceedings against the Mercier Subsidiary and the Government of Quebec. In 2012, the municipalities amended their existing statement of claim to seek $2.9 million (CAD $) in general damages and $10.0 million (CAD $)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w:t>
      </w:r>
    </w:p>
    <w:p>
      <w:pPr>
        <w:sectPr>
          <w:pgSz w:w="11900" w:h="16838" w:orient="portrait"/>
          <w:cols w:equalWidth="0" w:num="1">
            <w:col w:w="11420"/>
          </w:cols>
          <w:pgMar w:left="240" w:top="25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252" w:right="239" w:bottom="1440" w:gutter="0" w:footer="0" w:header="0"/>
          <w:type w:val="continuous"/>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 (Continued)</w:t>
      </w:r>
    </w:p>
    <w:p>
      <w:pPr>
        <w:spacing w:after="0" w:line="2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22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December 31, 2018 were as follows:</w:t>
      </w:r>
    </w:p>
    <w:p>
      <w:pPr>
        <w:spacing w:after="0" w:line="24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 jurisdictions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United States, including approximately 67 proceedings (excluding cases which have been settled but not formally dismissed) as of December 31, 2018,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24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Safety-Kleen is unable to ascertain the ultimate aggregate amount of monetary liability or financial impact with respect to these matters as of December 31, 2018. From January 1, 2018 to December 31, 2018, 10 product liability claims were settled or dismissed. Due to the nature of these claims and the related insurance, the Company did not incur any expense as Safety-Kleen's insurance provided coverage in full for all such claims. Safety-Kleen may be named in similar, additional lawsuits in the future, including claims for which insurance coverage may not be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jc w:val="both"/>
        <w:ind w:right="80" w:firstLine="405"/>
        <w:spacing w:after="0" w:line="256" w:lineRule="auto"/>
        <w:rPr>
          <w:sz w:val="20"/>
          <w:szCs w:val="20"/>
          <w:color w:val="auto"/>
        </w:rPr>
      </w:pPr>
      <w:r>
        <w:rPr>
          <w:rFonts w:ascii="Arial" w:cs="Arial" w:eastAsia="Arial" w:hAnsi="Arial"/>
          <w:sz w:val="18"/>
          <w:szCs w:val="18"/>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128 sites which are subject to or</w:t>
      </w:r>
    </w:p>
    <w:p>
      <w:pPr>
        <w:ind w:right="60"/>
        <w:spacing w:after="0" w:line="254" w:lineRule="auto"/>
        <w:rPr>
          <w:sz w:val="20"/>
          <w:szCs w:val="20"/>
          <w:color w:val="auto"/>
        </w:rPr>
      </w:pPr>
      <w:r>
        <w:rPr>
          <w:rFonts w:ascii="Arial" w:cs="Arial" w:eastAsia="Arial" w:hAnsi="Arial"/>
          <w:sz w:val="18"/>
          <w:szCs w:val="18"/>
          <w:color w:val="auto"/>
        </w:rPr>
        <w:t>are proposed to become subject to proceedings under federal or state Superfund laws. Of the 128 sites, five (including the BR Facility described below) involve facilities that are now owned or leased by the Company and 123 involve third-party sites to which either the Company or the prior owners of certain of the Company’s facilities shipped wastes. Of the 123 third-party sites, 30 are now settled, 16 are currently requiring expenditures on remediation and 77 are not currently requiring expenditures on remediation.</w:t>
      </w:r>
    </w:p>
    <w:p>
      <w:pPr>
        <w:spacing w:after="0" w:line="10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12 of the 123 third-party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52" w:right="2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 (Continued)</w:t>
      </w:r>
    </w:p>
    <w:p>
      <w:pPr>
        <w:spacing w:after="0" w:line="28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BR Facility. </w:t>
      </w:r>
      <w:r>
        <w:rPr>
          <w:rFonts w:ascii="Arial" w:cs="Arial" w:eastAsia="Arial" w:hAnsi="Arial"/>
          <w:sz w:val="17"/>
          <w:szCs w:val="17"/>
          <w:color w:val="auto"/>
        </w:rPr>
        <w:t>The Company acquired in 2002 a former hazardous waste incinerator and landfill in Baton Rouge (the "BR Facility"),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had been previously discontinued by the prior owner. In September 2007,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and feasibility study for Devil's Swamp under an order issued by the EPA. The Company cannot presently estimate the potential additional liability for the Devil's Swamp cleanup until a final remedy is selected by the EPA with issuance of a Record of Decision.</w:t>
      </w:r>
    </w:p>
    <w:p>
      <w:pPr>
        <w:spacing w:after="0" w:line="23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123 third-party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123 third-party sites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27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December 31, 2018 and 2017, there were ten and five proceedings, respectively,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leases facilities, service centers and personal property under certain operating leases. Some of these lease agreements contain an escalation clause for increased taxes and operating expenses and are renewable at the option of the Company. Lease terms range from 1 to 25 years. The following is a summary of future minimum payments under operating leases that have initial or remaining non-cancelable lease terms in excess of one year at December 31, 2018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9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2"/>
                <w:szCs w:val="12"/>
                <w:color w:val="auto"/>
              </w:rPr>
            </w:pPr>
          </w:p>
        </w:tc>
        <w:tc>
          <w:tcPr>
            <w:tcW w:w="138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56,480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45,467</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24,509</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15,253</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35,778</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211,051</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During the years ended December 31, 2018, 2017 and 2016, rent expense including short-term rentals was approximately $141.1 million, $125.4 million, and $121.9 million, respectively.</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252" w:right="239" w:bottom="1440"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79"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health insurance, comprehensive general liability and vehicle liability. A portion of these self-insured liabilities are managed through its wholly-owned captive insurance subsidiary.</w:t>
      </w:r>
    </w:p>
    <w:p>
      <w:pPr>
        <w:spacing w:after="0" w:line="20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Provisions for losses expected under these programs are recorded based upon the Company's estimates of the aggregate liability for claims. The current deductible per participant per year for the health insurance policy is $0.7 million. The current deductible per occurrence for workers' compensation is $1.0 million, general liability is $2.0 million and vehicle liability is $2.0 million. The retention per claim for the environmental impairment policy is $1.0 million. At December 31, 2018 and 2017, the Company had accrued $53.9 million and $47.9 million, respectively, for its self-insurance liabilities (exclusive of health insurance) using a risk-free discount rate of 2.96% and 1.87%, respectively. A significant portion of the increase in the liabilities as of December 31, 2018 is attributable to amounts assumed in connection with the acquisition of the Veolia Business which occurred in 2018. Actual expenditures in future periods can differ materially from accruals based on estimates.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Anticipated payments for contingencies related to workers' compensation, comprehensive general liability and vehicle liability related claims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for each of the next five years and thereafter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20,171</w:t>
            </w: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12,799</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7,964</w:t>
            </w: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4,992</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6,385</w:t>
            </w: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self-insurance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56,393</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Less: Discount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2,492</w:t>
            </w: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self-insurance liabilities (included in accrued expenses)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53,901</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w:t>
      </w:r>
    </w:p>
    <w:p>
      <w:pPr>
        <w:spacing w:after="0" w:line="148"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Segment reporting is prepared on the same basis that the Company's chief executive officer, who is the Company's chief operating decision maker, manages the business, makes operating decisions and assesses performance. During the first quarter of fiscal year 2018, certain of the Company's businesses undertook a reorganization which included changes to the underlying business and management structures. The reorganization resulted in combining the Environmental Services businesses from an operational and management perspective, deepening customer relationships and allowing for efficiencies across the Company's operations through the sharing of resources, namely labor and equipment, which will reduce third party spending and promote cross selling of such business offerings. In connection with this reorganization, the Company’s chief operating decision maker requested changes in the information that he regularly reviews for purposes of allocating resources and assessing performance. These changes required a reconsideration of the Company’s operating segments in the first quarter of 2018 and resulted in a change in the Company’s assessment of its operating segments. Upon reconsideration of the identification of the Company’s operating segments, the Company concluded that there are now two operating segments for disclosure purposes</w:t>
      </w:r>
      <w:r>
        <w:rPr>
          <w:rFonts w:ascii="Arial" w:cs="Arial" w:eastAsia="Arial" w:hAnsi="Arial"/>
          <w:sz w:val="16"/>
          <w:szCs w:val="16"/>
          <w:i w:val="1"/>
          <w:iCs w:val="1"/>
          <w:color w:val="auto"/>
        </w:rPr>
        <w:t>;</w:t>
      </w:r>
      <w:r>
        <w:rPr>
          <w:rFonts w:ascii="Arial" w:cs="Arial" w:eastAsia="Arial" w:hAnsi="Arial"/>
          <w:sz w:val="16"/>
          <w:szCs w:val="16"/>
          <w:color w:val="auto"/>
        </w:rPr>
        <w:t xml:space="preserve"> (i) the Environmental Services segment which consists of the Company’s historical Technical Services, Industrial Services, Field Services and Oil, Gas and Lodging businesses, and (ii) the Safety-Kleen segment. The amounts presented for the years ended December 31, 2017 and 2016 have been reclassified to conform to the new segment presentation. These reclassifications and adjustments had no effect on the consolidated statements of operations, consolidated statements of comprehensive income, consolidated statements of cash flows or consolidated statements of stockholders' equity for any of the periods presented.</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252" w:right="23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 (Continued)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reconciles third-party revenues to direct revenues for the years ended December 31, 2018, 2017 and 2016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 2018</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Environmental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2,003,843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1,295,355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3,300,303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134,104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2,141,194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1,161,282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3,300,303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Environmental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1,728,700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1,213,703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2,944,978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125,822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1,857,474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1,087,886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2,944,978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Environmental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1,641,432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1,110,727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2,755,226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115,013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1,758,833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996,083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2,755,226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(loss) plus accretion of environmental liabilities, depreciation and amortization, net interest expense, loss on early extinguishment of debt, provision (benefit) for income taxes, other gains or non-cash charges (including gain on sale of businesses and goodwill impairment charge) not deemed representative of fundamental segment results and excludes other expense (income), net. Transactions between the segments are accounted for at the Company’s best estimate based on similar transactions with outside customers.</w:t>
      </w:r>
    </w:p>
    <w:p>
      <w:pPr>
        <w:sectPr>
          <w:pgSz w:w="11900" w:h="16838" w:orient="portrait"/>
          <w:cols w:equalWidth="0" w:num="1">
            <w:col w:w="11420"/>
          </w:cols>
          <w:pgMar w:left="240" w:top="252" w:right="239" w:bottom="8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252" w:right="239" w:bottom="865" w:gutter="0" w:footer="0" w:header="0"/>
          <w:type w:val="continuous"/>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380,856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321,310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319,075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219,546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(145,464)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(138,267)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425,657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400,354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Reconciliation to Consolidated Statements of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298,625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288,422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287,002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 charge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34,013</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182,574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127,775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81,094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85,808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83,525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 before provision (benefit)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94,482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58,689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8,716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Geographical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years ended December 31, 2018, 2017, and 2016, the Company generated direct revenues in the following geographic locations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58"/>
        </w:trPr>
        <w:tc>
          <w:tcPr>
            <w:tcW w:w="3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0" w:type="dxa"/>
            <w:vAlign w:val="bottom"/>
            <w:gridSpan w:val="3"/>
          </w:tcPr>
          <w:p>
            <w:pPr>
              <w:jc w:val="right"/>
              <w:ind w:right="1048"/>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gridSpan w:val="3"/>
          </w:tcPr>
          <w:p>
            <w:pPr>
              <w:jc w:val="right"/>
              <w:ind w:right="1048"/>
              <w:spacing w:after="0"/>
              <w:rPr>
                <w:sz w:val="20"/>
                <w:szCs w:val="20"/>
                <w:color w:val="auto"/>
              </w:rPr>
            </w:pPr>
            <w:r>
              <w:rPr>
                <w:rFonts w:ascii="Arial" w:cs="Arial" w:eastAsia="Arial" w:hAnsi="Arial"/>
                <w:sz w:val="14"/>
                <w:szCs w:val="14"/>
                <w:b w:val="1"/>
                <w:bCs w:val="1"/>
                <w:color w:val="auto"/>
                <w:w w:val="89"/>
              </w:rPr>
              <w:t>2016</w:t>
            </w:r>
          </w:p>
        </w:tc>
      </w:tr>
      <w:tr>
        <w:trPr>
          <w:trHeight w:val="276"/>
        </w:trPr>
        <w:tc>
          <w:tcPr>
            <w:tcW w:w="35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2,721,814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2,392,000</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2,213,355</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578,489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552,978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541,871</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3,300,303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2,944,978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2,755,226</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As of December 31, 2018 and 2017, the Company had property, plant and equipment, net of depreciation and amortization and permits and other intangible assets in the following geographic locations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For the Year Ended December 31,</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58"/>
        </w:trPr>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gridSpan w:val="3"/>
          </w:tcPr>
          <w:p>
            <w:pPr>
              <w:jc w:val="right"/>
              <w:ind w:right="120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60" w:type="dxa"/>
            <w:vAlign w:val="bottom"/>
            <w:gridSpan w:val="2"/>
          </w:tcPr>
          <w:p>
            <w:pPr>
              <w:jc w:val="right"/>
              <w:ind w:right="1279"/>
              <w:spacing w:after="0"/>
              <w:rPr>
                <w:sz w:val="20"/>
                <w:szCs w:val="20"/>
                <w:color w:val="auto"/>
              </w:rPr>
            </w:pPr>
            <w:r>
              <w:rPr>
                <w:rFonts w:ascii="Arial" w:cs="Arial" w:eastAsia="Arial" w:hAnsi="Arial"/>
                <w:sz w:val="14"/>
                <w:szCs w:val="14"/>
                <w:b w:val="1"/>
                <w:bCs w:val="1"/>
                <w:color w:val="auto"/>
                <w:w w:val="89"/>
              </w:rPr>
              <w:t>2017</w:t>
            </w:r>
          </w:p>
        </w:tc>
      </w:tr>
      <w:tr>
        <w:trPr>
          <w:trHeight w:val="276"/>
        </w:trPr>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24"/>
                <w:szCs w:val="2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1,233,949</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1,175,437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328,029</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411,928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97"/>
        </w:trPr>
        <w:tc>
          <w:tcPr>
            <w:tcW w:w="54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1,561,978</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1,587,365</w:t>
            </w:r>
          </w:p>
        </w:tc>
        <w:tc>
          <w:tcPr>
            <w:tcW w:w="10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Permits and other intangibles, net</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393,045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408,654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48,830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60,474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permits and other intangibles,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441,875</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469,128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52"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9019"/>
          </w:cols>
          <w:pgMar w:left="1440" w:top="854" w:right="144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assets by reported segment and in the aggregate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December 31, 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951,867</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927,139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553,220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582,162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56,891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78,064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1,561,978</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1,587,365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Environmental Services</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207,019</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172,386</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Permits and other intangibles, net</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93,313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97,519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Environmental Services</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300,332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269,905</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Safety-Kleen</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307,170</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306,137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348,562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371,609</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Safety-Kleen</w:t>
            </w:r>
          </w:p>
        </w:tc>
        <w:tc>
          <w:tcPr>
            <w:tcW w:w="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655,732</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677,746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956,064</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947,651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20"/>
              <w:spacing w:after="0"/>
              <w:rPr>
                <w:sz w:val="20"/>
                <w:szCs w:val="20"/>
                <w:color w:val="auto"/>
              </w:rPr>
            </w:pPr>
            <w:r>
              <w:rPr>
                <w:rFonts w:ascii="Arial" w:cs="Arial" w:eastAsia="Arial" w:hAnsi="Arial"/>
                <w:sz w:val="18"/>
                <w:szCs w:val="18"/>
                <w:color w:val="auto"/>
              </w:rPr>
              <w:t>The following table presents the total assets by reported segment (in thousands):</w:t>
            </w: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7440" w:type="dxa"/>
            <w:vAlign w:val="bottom"/>
          </w:tcPr>
          <w:p>
            <w:pPr>
              <w:spacing w:after="0"/>
              <w:rPr>
                <w:sz w:val="24"/>
                <w:szCs w:val="2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ind w:right="293"/>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Services</w:t>
            </w:r>
          </w:p>
        </w:tc>
        <w:tc>
          <w:tcPr>
            <w:tcW w:w="460" w:type="dxa"/>
            <w:vAlign w:val="bottom"/>
            <w:tcBorders>
              <w:top w:val="single" w:sz="8" w:color="auto"/>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1,541,241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Safety-Kleen</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1,431,381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1,471,291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4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666,234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694,038</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3,738,321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20"/>
              <w:spacing w:after="0"/>
              <w:rPr>
                <w:sz w:val="20"/>
                <w:szCs w:val="20"/>
                <w:color w:val="auto"/>
              </w:rPr>
            </w:pPr>
            <w:r>
              <w:rPr>
                <w:rFonts w:ascii="Arial" w:cs="Arial" w:eastAsia="Arial" w:hAnsi="Arial"/>
                <w:sz w:val="18"/>
                <w:szCs w:val="18"/>
                <w:color w:val="auto"/>
              </w:rPr>
              <w:t>The following table presents the total assets by geographical area (in thousands):</w:t>
            </w: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Pr>
          <w:p>
            <w:pPr>
              <w:spacing w:after="0"/>
              <w:rPr>
                <w:sz w:val="24"/>
                <w:szCs w:val="2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ind w:right="293"/>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60" w:type="dxa"/>
            <w:vAlign w:val="bottom"/>
            <w:tcBorders>
              <w:top w:val="single" w:sz="8" w:color="auto"/>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2,985,394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648,010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721,176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3,738,321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w:t>
      </w:r>
    </w:p>
    <w:p>
      <w:pPr>
        <w:spacing w:after="0" w:line="14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previously outstanding 2020 Notes and the currently outstanding 2021 Notes (collectively, the "Senior Unsecured Notes") and the Company's obligations under its Term Loan Agreement were or are guaranteed by substantially all of the Company’s subsidiaries organized in the United States. Each guarantor was or is a 100% owned subsidiary of Clean Harbors, Inc. and its guarantee was or is both full and unconditional and joint and several. The guarantees were or are, however, subject to customary release provisions under which, in particular, the guarantee of any domestic restricted subsidiary will be released if the Company sells such subsidiary to an unrelated third party in accordance with the terms of the indentures which govern the Senior Unsecured Notes and of the Term Loan Agreement. The Senior Unsecured Notes and the Company's obligations under its Term Loan Agreement are not guaranteed by the Company’s subsidiaries organized outside the United States. The following supplemental condensed consolidating financial information for the parent company, the guarantor subsidiaries and the non-guarantor subsidiaries, respectively, is presented in conformity with the requirements of Rule 3-10 of SEC Regulation S-X (“Rule 3-10”).</w:t>
      </w:r>
    </w:p>
    <w:p>
      <w:pPr>
        <w:sectPr>
          <w:pgSz w:w="11900" w:h="16838" w:orient="portrait"/>
          <w:cols w:equalWidth="0" w:num="1">
            <w:col w:w="11420"/>
          </w:cols>
          <w:pgMar w:left="240" w:top="252" w:right="239"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252" w:right="239" w:bottom="595" w:gutter="0" w:footer="0" w:header="0"/>
          <w:type w:val="continuous"/>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balance sheet at December 31, 2018 (in thousands):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Clean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Harbors, Inc.</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27,308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101,302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97,897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226,507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52,856</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Intercompany receivables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262,475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721,521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60,693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606,952</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289,869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49,631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315,843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1,561,978</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Investments in subsidiaries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3,162,704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571,304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(3,734,008)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debt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456,307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514,189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441,875</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18,121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3,454,105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4,315,925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806,314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(4,838,023)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3,738,321</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602,278</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Intercompany payables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699,158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321,846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Closure, post-closure and remedial liabilities,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167,914</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Long-term obligations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1,565,021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1,565,021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debt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212,924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233,352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2,284,349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2,568,565</w:t>
            </w:r>
          </w:p>
        </w:tc>
        <w:tc>
          <w:tcPr>
            <w:tcW w:w="0" w:type="dxa"/>
            <w:vAlign w:val="bottom"/>
          </w:tcPr>
          <w:p>
            <w:pPr>
              <w:spacing w:after="0"/>
              <w:rPr>
                <w:sz w:val="1"/>
                <w:szCs w:val="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1,169,756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3,151,511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582,497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(3,734,008)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1,169,756</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3,454,105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4,315,925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806,314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(4,838,023)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3,738,321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52" w:right="259" w:bottom="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252" w:right="259" w:bottom="163" w:gutter="0" w:footer="0" w:header="0"/>
          <w:type w:val="continuous"/>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balance sheet at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20" w:type="dxa"/>
            <w:vAlign w:val="bottom"/>
          </w:tcPr>
          <w:p>
            <w:pPr>
              <w:spacing w:after="0"/>
              <w:rPr>
                <w:sz w:val="14"/>
                <w:szCs w:val="14"/>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51,638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207,777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59,984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receivables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238,339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590,100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433,042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528,924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233,602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267,554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1,174,975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1,587,365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Investments in subsidiaries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3,112,547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569,568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415,641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408,655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469,128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17,498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3,405,505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4,137,954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859,996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3,706,570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503,817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payables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574,812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289,531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165,723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Long-term obligations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1,625,537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1,625,537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201,086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223,291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2,217,303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1,031,624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2,518,368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1,188,202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3,106,330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575,785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1,188,202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3,405,505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4,137,954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859,996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3,706,570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252" w:right="239" w:bottom="217" w:gutter="0" w:footer="0" w:header="0"/>
          <w:type w:val="continuous"/>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consolidating statement of operations for the year ended December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Harbors, Inc.</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2,145,310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621,435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(57,506)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2,709,239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591,064</w:t>
            </w:r>
          </w:p>
        </w:tc>
        <w:tc>
          <w:tcPr>
            <w:tcW w:w="0" w:type="dxa"/>
            <w:vAlign w:val="bottom"/>
          </w:tcPr>
          <w:p>
            <w:pPr>
              <w:spacing w:after="0"/>
              <w:rPr>
                <w:sz w:val="1"/>
                <w:szCs w:val="1"/>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2,682,710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687,645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3,300,303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Cost of revenues (exclusive of items shown separately below)</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1,421,693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497,788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1,861,975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419,377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443,576</w:t>
            </w:r>
          </w:p>
        </w:tc>
        <w:tc>
          <w:tcPr>
            <w:tcW w:w="0" w:type="dxa"/>
            <w:vAlign w:val="bottom"/>
          </w:tcPr>
          <w:p>
            <w:pPr>
              <w:spacing w:after="0"/>
              <w:rPr>
                <w:sz w:val="1"/>
                <w:szCs w:val="1"/>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1,841,070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534,533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2,305,551</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503,747</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219,530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298,625</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193,329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182,574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(81,094)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Equity in earnings of subsidiaries, net of tax</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129,082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interest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Income (loss) before (benefit) provision for income taxes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41,501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170,373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(103,317)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94,482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28,846</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65,636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124,106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(103,317)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65,636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(50,964)</w:t>
            </w: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73,142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14,672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52" w:right="259" w:bottom="9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252" w:right="259" w:bottom="946" w:gutter="0" w:footer="0" w:header="0"/>
          <w:type w:val="continuous"/>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consolidating statement of operations for the year ended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Harbors, Inc.</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1,870,256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582,042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(53,648)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2,398,650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492,036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546,328</w:t>
            </w:r>
          </w:p>
        </w:tc>
        <w:tc>
          <w:tcPr>
            <w:tcW w:w="0" w:type="dxa"/>
            <w:vAlign w:val="bottom"/>
          </w:tcPr>
          <w:p>
            <w:pPr>
              <w:spacing w:after="0"/>
              <w:rPr>
                <w:sz w:val="1"/>
                <w:szCs w:val="1"/>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2,362,292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648,553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2,944,978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Cost of revenues (exclusive of items shown separately below)</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1,224,326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471,120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1,641,798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386,455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420,875</w:t>
            </w:r>
          </w:p>
        </w:tc>
        <w:tc>
          <w:tcPr>
            <w:tcW w:w="0" w:type="dxa"/>
            <w:vAlign w:val="bottom"/>
          </w:tcPr>
          <w:p>
            <w:pPr>
              <w:spacing w:after="0"/>
              <w:rPr>
                <w:sz w:val="1"/>
                <w:szCs w:val="1"/>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1,610,781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517,759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2,062,673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456,648</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288,422</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164,948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127,775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30,732</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(85,808)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(benefit)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58,689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(42,050)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100,739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41,919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41,919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41,919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142,658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200,688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142,658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52" w:right="259" w:bottom="6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252" w:right="259" w:bottom="676"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consolidating statement of operations for the year ended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Consolidating</w:t>
            </w:r>
          </w:p>
        </w:tc>
        <w:tc>
          <w:tcPr>
            <w:tcW w:w="320" w:type="dxa"/>
            <w:vAlign w:val="bottom"/>
          </w:tcPr>
          <w:p>
            <w:pPr>
              <w:spacing w:after="0"/>
              <w:rPr>
                <w:sz w:val="14"/>
                <w:szCs w:val="14"/>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Harbors, Inc.</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1,747,985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582,075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(49,251)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2,280,809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410,868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474,417</w:t>
            </w:r>
          </w:p>
        </w:tc>
        <w:tc>
          <w:tcPr>
            <w:tcW w:w="0" w:type="dxa"/>
            <w:vAlign w:val="bottom"/>
          </w:tcPr>
          <w:p>
            <w:pPr>
              <w:spacing w:after="0"/>
              <w:rPr>
                <w:sz w:val="1"/>
                <w:szCs w:val="1"/>
                <w:color w:val="auto"/>
              </w:rPr>
            </w:pPr>
          </w:p>
        </w:tc>
      </w:tr>
      <w:tr>
        <w:trPr>
          <w:trHeight w:val="237"/>
        </w:trPr>
        <w:tc>
          <w:tcPr>
            <w:tcW w:w="420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2,158,853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655,868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2,755,226</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Cost of revenues (exclusive of items shown separately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1,116,132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476,329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1,543,210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349,069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389,647</w:t>
            </w:r>
          </w:p>
        </w:tc>
        <w:tc>
          <w:tcPr>
            <w:tcW w:w="0" w:type="dxa"/>
            <w:vAlign w:val="bottom"/>
          </w:tcPr>
          <w:p>
            <w:pPr>
              <w:spacing w:after="0"/>
              <w:rPr>
                <w:sz w:val="1"/>
                <w:szCs w:val="1"/>
                <w:color w:val="auto"/>
              </w:rPr>
            </w:pPr>
          </w:p>
        </w:tc>
      </w:tr>
      <w:tr>
        <w:trPr>
          <w:trHeight w:val="237"/>
        </w:trPr>
        <w:tc>
          <w:tcPr>
            <w:tcW w:w="420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1,465,201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527,151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1,932,857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422,015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287,002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69,162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7,713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(83,525)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before (benefit) provision for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82,643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40,566</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53,617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252" w:right="299" w:bottom="2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60"/>
          </w:cols>
          <w:pgMar w:left="240" w:top="252" w:right="299" w:bottom="271" w:gutter="0" w:footer="0" w:header="0"/>
          <w:type w:val="continuous"/>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statement of cash flows for the year ended December 31, 2018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Clean</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Adjustments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260,101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373,210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(193,344)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(151,023)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Additions to intangible assets, including costs to obtain or renew</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54,114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(349,659)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Tax payments related to withholdings on vested restricted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Deferred financing costs paid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Principal payments on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(405,768)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(405,768)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Premium paid on early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Issuance of senior secured notes, net of discount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348,250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348,250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 from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Payment on revolving credit facility</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cash (used in) from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27,308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101,302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97,897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226,507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252" w:right="239"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 (Continued)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statement of cash flows for the year ended December 31, 2017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Adjustments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285,698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7"/>
              </w:rPr>
              <w:t>Proceeds from sale of business, net of transactional costs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45,426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8"/>
              </w:rPr>
              <w:t>Additions to intangible assets, including costs to obtain or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renew permits</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54,074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Net cash from (used in)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Change in uncashed checks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7"/>
              </w:rPr>
              <w:t>Tax payments related to withholdings on vested restricted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 paid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(402,000)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Premium paid on early extinguishment of debt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senior secured notes, net of discount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399,000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51,638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207,777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59,984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252" w:right="239" w:bottom="1440" w:gutter="0" w:footer="0" w:header="0"/>
          <w:type w:val="continuous"/>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statement of cash flows for the year ended December 31, 2016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Adjustments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(219,384)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12,926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20,817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on sale of business, net of transactional costs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47,134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(196,915)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(206,915)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Additions to intangible assets including costs to obtain or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renew permits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257,125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(257,227)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(321,101)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238,189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(361,777)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Change in uncashed checks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7"/>
              </w:rPr>
              <w:t>Tax payments related to withholdings on vested restricted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 paid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of 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Issuance of senior unsecured notes, including premium</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250,625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250,625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from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83,479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184,708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155,943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99,637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2"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DATA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jc w:val="center"/>
              <w:ind w:right="354"/>
              <w:spacing w:after="0"/>
              <w:rPr>
                <w:sz w:val="20"/>
                <w:szCs w:val="20"/>
                <w:color w:val="auto"/>
              </w:rPr>
            </w:pPr>
            <w:r>
              <w:rPr>
                <w:rFonts w:ascii="Arial" w:cs="Arial" w:eastAsia="Arial" w:hAnsi="Arial"/>
                <w:sz w:val="14"/>
                <w:szCs w:val="14"/>
                <w:b w:val="1"/>
                <w:bCs w:val="1"/>
                <w:color w:val="auto"/>
                <w:w w:val="92"/>
              </w:rPr>
              <w:t>First</w:t>
            </w:r>
          </w:p>
        </w:tc>
        <w:tc>
          <w:tcPr>
            <w:tcW w:w="440" w:type="dxa"/>
            <w:vAlign w:val="bottom"/>
          </w:tcPr>
          <w:p>
            <w:pPr>
              <w:spacing w:after="0"/>
              <w:rPr>
                <w:sz w:val="14"/>
                <w:szCs w:val="14"/>
                <w:color w:val="auto"/>
              </w:rPr>
            </w:pPr>
          </w:p>
        </w:tc>
        <w:tc>
          <w:tcPr>
            <w:tcW w:w="1480" w:type="dxa"/>
            <w:vAlign w:val="bottom"/>
          </w:tcPr>
          <w:p>
            <w:pPr>
              <w:jc w:val="right"/>
              <w:ind w:right="635"/>
              <w:spacing w:after="0"/>
              <w:rPr>
                <w:sz w:val="20"/>
                <w:szCs w:val="20"/>
                <w:color w:val="auto"/>
              </w:rPr>
            </w:pPr>
            <w:r>
              <w:rPr>
                <w:rFonts w:ascii="Arial" w:cs="Arial" w:eastAsia="Arial" w:hAnsi="Arial"/>
                <w:sz w:val="14"/>
                <w:szCs w:val="14"/>
                <w:b w:val="1"/>
                <w:bCs w:val="1"/>
                <w:color w:val="auto"/>
              </w:rPr>
              <w:t>Second</w:t>
            </w:r>
          </w:p>
        </w:tc>
        <w:tc>
          <w:tcPr>
            <w:tcW w:w="460" w:type="dxa"/>
            <w:vAlign w:val="bottom"/>
          </w:tcPr>
          <w:p>
            <w:pPr>
              <w:spacing w:after="0"/>
              <w:rPr>
                <w:sz w:val="14"/>
                <w:szCs w:val="14"/>
                <w:color w:val="auto"/>
              </w:rPr>
            </w:pPr>
          </w:p>
        </w:tc>
        <w:tc>
          <w:tcPr>
            <w:tcW w:w="1480" w:type="dxa"/>
            <w:vAlign w:val="bottom"/>
          </w:tcPr>
          <w:p>
            <w:pPr>
              <w:jc w:val="center"/>
              <w:ind w:right="354"/>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1420" w:type="dxa"/>
            <w:vAlign w:val="bottom"/>
          </w:tcPr>
          <w:p>
            <w:pPr>
              <w:jc w:val="center"/>
              <w:ind w:right="2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rPr>
              <w:t>Quarter</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Quarter</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8"/>
              </w:rPr>
              <w:t>Quarter</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8"/>
              </w:rPr>
              <w:t>Quarter</w:t>
            </w: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 except per share amounts)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749,778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849,140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843,181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858,204</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 (1)</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546,425</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583,584</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580,685</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594,857</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10,991</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64,353</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65,745</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41,485</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846</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Net (loss) income (2)</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(12,631)</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30,747</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31,089</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16,431</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(loss) earnings per share (3)</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(0.22)</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0.55</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0.55</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0.29</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Diluted (loss) earnings per share (3)</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0.54</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0.55</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0.29</w:t>
            </w:r>
          </w:p>
        </w:tc>
      </w:tr>
      <w:tr>
        <w:trPr>
          <w:trHeight w:val="58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center"/>
              <w:ind w:right="354"/>
              <w:spacing w:after="0"/>
              <w:rPr>
                <w:sz w:val="20"/>
                <w:szCs w:val="20"/>
                <w:color w:val="auto"/>
              </w:rPr>
            </w:pPr>
            <w:r>
              <w:rPr>
                <w:rFonts w:ascii="Arial" w:cs="Arial" w:eastAsia="Arial" w:hAnsi="Arial"/>
                <w:sz w:val="14"/>
                <w:szCs w:val="14"/>
                <w:b w:val="1"/>
                <w:bCs w:val="1"/>
                <w:color w:val="auto"/>
                <w:w w:val="92"/>
              </w:rPr>
              <w:t>First</w:t>
            </w:r>
          </w:p>
        </w:tc>
        <w:tc>
          <w:tcPr>
            <w:tcW w:w="440" w:type="dxa"/>
            <w:vAlign w:val="bottom"/>
          </w:tcPr>
          <w:p>
            <w:pPr>
              <w:spacing w:after="0"/>
              <w:rPr>
                <w:sz w:val="24"/>
                <w:szCs w:val="24"/>
                <w:color w:val="auto"/>
              </w:rPr>
            </w:pPr>
          </w:p>
        </w:tc>
        <w:tc>
          <w:tcPr>
            <w:tcW w:w="1480" w:type="dxa"/>
            <w:vAlign w:val="bottom"/>
          </w:tcPr>
          <w:p>
            <w:pPr>
              <w:jc w:val="right"/>
              <w:ind w:right="635"/>
              <w:spacing w:after="0"/>
              <w:rPr>
                <w:sz w:val="20"/>
                <w:szCs w:val="20"/>
                <w:color w:val="auto"/>
              </w:rPr>
            </w:pPr>
            <w:r>
              <w:rPr>
                <w:rFonts w:ascii="Arial" w:cs="Arial" w:eastAsia="Arial" w:hAnsi="Arial"/>
                <w:sz w:val="14"/>
                <w:szCs w:val="14"/>
                <w:b w:val="1"/>
                <w:bCs w:val="1"/>
                <w:color w:val="auto"/>
              </w:rPr>
              <w:t>Second</w:t>
            </w:r>
          </w:p>
        </w:tc>
        <w:tc>
          <w:tcPr>
            <w:tcW w:w="460" w:type="dxa"/>
            <w:vAlign w:val="bottom"/>
          </w:tcPr>
          <w:p>
            <w:pPr>
              <w:spacing w:after="0"/>
              <w:rPr>
                <w:sz w:val="24"/>
                <w:szCs w:val="24"/>
                <w:color w:val="auto"/>
              </w:rPr>
            </w:pPr>
          </w:p>
        </w:tc>
        <w:tc>
          <w:tcPr>
            <w:tcW w:w="1480" w:type="dxa"/>
            <w:vAlign w:val="bottom"/>
          </w:tcPr>
          <w:p>
            <w:pPr>
              <w:jc w:val="center"/>
              <w:ind w:right="354"/>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24"/>
                <w:szCs w:val="24"/>
                <w:color w:val="auto"/>
              </w:rPr>
            </w:pPr>
          </w:p>
        </w:tc>
        <w:tc>
          <w:tcPr>
            <w:tcW w:w="1420" w:type="dxa"/>
            <w:vAlign w:val="bottom"/>
          </w:tcPr>
          <w:p>
            <w:pPr>
              <w:jc w:val="center"/>
              <w:ind w:right="2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rPr>
              <w:t>Quarter</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Quarter</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8"/>
              </w:rPr>
              <w:t>Quarter</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8"/>
              </w:rPr>
              <w:t>Quarter</w:t>
            </w: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 except per share amounts)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688,941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752,788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755,846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747,403</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 (1)</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496,585</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519,803</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519,595</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526,690</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5,433</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46,744</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47,663</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27,935</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Net (loss) income (2)</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(21,393)</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25,880</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12,058</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84,194</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(loss) earnings per share (3)</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0.45</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0.21</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Diluted (loss) earnings per share (3)</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(0.37)</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0.45</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0.21</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1.48</w:t>
            </w:r>
          </w:p>
        </w:tc>
      </w:tr>
      <w:tr>
        <w:trPr>
          <w:trHeight w:val="243"/>
        </w:trPr>
        <w:tc>
          <w:tcPr>
            <w:tcW w:w="3780" w:type="dxa"/>
            <w:vAlign w:val="bottom"/>
            <w:gridSpan w:val="2"/>
          </w:tcPr>
          <w:p>
            <w:pPr>
              <w:jc w:val="right"/>
              <w:ind w:right="270"/>
              <w:spacing w:after="0"/>
              <w:rPr>
                <w:sz w:val="20"/>
                <w:szCs w:val="20"/>
                <w:color w:val="auto"/>
              </w:rPr>
            </w:pPr>
            <w:r>
              <w:rPr>
                <w:rFonts w:ascii="Arial" w:cs="Arial" w:eastAsia="Arial" w:hAnsi="Arial"/>
                <w:sz w:val="18"/>
                <w:szCs w:val="18"/>
                <w:color w:val="auto"/>
                <w:w w:val="89"/>
              </w:rPr>
              <w:t>______________________________________</w:t>
            </w: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Items shown separately on the statements of operations consist of (i) accretion of environmental liabilities and (ii) depreciation and amortization.</w:t>
      </w:r>
    </w:p>
    <w:p>
      <w:pPr>
        <w:spacing w:after="0" w:line="152"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second quarter of 2017 net income includes a $31.7 million pre-tax gain on the sale of a non-core line of business within the Company's Environmental Services segment and a $6.0 million loss on early extinguishment of debt. The third quarter of 2018 and 2017 net income had a $2.5 million and $1.9 million loss on early extinguishment of debt, respectively. As a result of the Tax Act, the fourth quarter of 2017 net income includes a $93.0 million tax benefit related to a reduction of the Company's net deferred tax liability.</w:t>
      </w:r>
    </w:p>
    <w:p>
      <w:pPr>
        <w:spacing w:after="0" w:line="10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earnings per share are computed independently for each of the quarters presented. Accordingly, the quarterly basic and diluted (loss) earnings per share may not equal the total computed for the year.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52" w:right="2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Additions Charged to</w:t>
            </w:r>
          </w:p>
        </w:tc>
        <w:tc>
          <w:tcPr>
            <w:tcW w:w="300" w:type="dxa"/>
            <w:vAlign w:val="bottom"/>
          </w:tcPr>
          <w:p>
            <w:pPr>
              <w:spacing w:after="0"/>
              <w:rPr>
                <w:sz w:val="14"/>
                <w:szCs w:val="14"/>
                <w:color w:val="auto"/>
              </w:rPr>
            </w:pPr>
          </w:p>
        </w:tc>
        <w:tc>
          <w:tcPr>
            <w:tcW w:w="17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Deductions from</w:t>
            </w:r>
          </w:p>
        </w:tc>
        <w:tc>
          <w:tcPr>
            <w:tcW w:w="240" w:type="dxa"/>
            <w:vAlign w:val="bottom"/>
          </w:tcPr>
          <w:p>
            <w:pPr>
              <w:spacing w:after="0"/>
              <w:rPr>
                <w:sz w:val="14"/>
                <w:szCs w:val="14"/>
                <w:color w:val="auto"/>
              </w:rPr>
            </w:pP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3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Operating Expense</w:t>
            </w:r>
          </w:p>
        </w:tc>
        <w:tc>
          <w:tcPr>
            <w:tcW w:w="30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Reserves(a)</w:t>
            </w:r>
          </w:p>
        </w:tc>
        <w:tc>
          <w:tcPr>
            <w:tcW w:w="240" w:type="dxa"/>
            <w:vAlign w:val="bottom"/>
          </w:tcPr>
          <w:p>
            <w:pPr>
              <w:spacing w:after="0"/>
              <w:rPr>
                <w:sz w:val="16"/>
                <w:szCs w:val="16"/>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15,046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15,046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7,901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8"/>
              </w:rPr>
              <w:t>________________________________________</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20"/>
              <w:spacing w:after="0"/>
              <w:rPr>
                <w:sz w:val="20"/>
                <w:szCs w:val="20"/>
                <w:color w:val="auto"/>
              </w:rPr>
            </w:pPr>
            <w:r>
              <w:rPr>
                <w:rFonts w:ascii="Arial" w:cs="Arial" w:eastAsia="Arial" w:hAnsi="Arial"/>
                <w:sz w:val="18"/>
                <w:szCs w:val="18"/>
                <w:color w:val="auto"/>
                <w:w w:val="93"/>
              </w:rPr>
              <w:t>(a)  Amounts deemed uncollectible, net of recoveries.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24"/>
                <w:szCs w:val="2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Additions Charged to</w:t>
            </w:r>
          </w:p>
        </w:tc>
        <w:tc>
          <w:tcPr>
            <w:tcW w:w="300" w:type="dxa"/>
            <w:vAlign w:val="bottom"/>
          </w:tcPr>
          <w:p>
            <w:pPr>
              <w:spacing w:after="0"/>
              <w:rPr>
                <w:sz w:val="24"/>
                <w:szCs w:val="24"/>
                <w:color w:val="auto"/>
              </w:rPr>
            </w:pPr>
          </w:p>
        </w:tc>
        <w:tc>
          <w:tcPr>
            <w:tcW w:w="17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Deductions from</w:t>
            </w:r>
          </w:p>
        </w:tc>
        <w:tc>
          <w:tcPr>
            <w:tcW w:w="240" w:type="dxa"/>
            <w:vAlign w:val="bottom"/>
          </w:tcPr>
          <w:p>
            <w:pPr>
              <w:spacing w:after="0"/>
              <w:rPr>
                <w:sz w:val="24"/>
                <w:szCs w:val="24"/>
                <w:color w:val="auto"/>
              </w:rPr>
            </w:pP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Allowance(b)</w:t>
            </w:r>
          </w:p>
        </w:tc>
        <w:tc>
          <w:tcPr>
            <w:tcW w:w="3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Revenue</w:t>
            </w:r>
          </w:p>
        </w:tc>
        <w:tc>
          <w:tcPr>
            <w:tcW w:w="30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Reserves</w:t>
            </w:r>
          </w:p>
        </w:tc>
        <w:tc>
          <w:tcPr>
            <w:tcW w:w="240" w:type="dxa"/>
            <w:vAlign w:val="bottom"/>
          </w:tcPr>
          <w:p>
            <w:pPr>
              <w:spacing w:after="0"/>
              <w:rPr>
                <w:sz w:val="16"/>
                <w:szCs w:val="16"/>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14,203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24,862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27,439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8"/>
              </w:rPr>
              <w:t>________________________________________</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20" w:hanging="328"/>
        <w:spacing w:after="0" w:line="267"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can either generate credits or debits when the actual revenue amount is known. Based on industry knowledge and historical trends, the Company records a revenue allowance accordingly. This practice causes the volume of activity flowing through the revenue allowance during the year to be higher than the balance at the end of the year. Increases in overall sales volumes and the expansion of the customer base in recent years have also increased the volume of additions and deductions to the allowance during the year. The revenue allowance is intended to cover the net amount of revenue adjustments that may need to be credited to customers' accounts in future periods. Management determines the appropriate total revenue allowance by evaluating the following factors on a customer-by-customer basis as well as on a consolidated level: trends in adjustments to previously billed amounts, existing economic conditions and other information as deemed applicable. Revenue allowance estimates can differ materially from the actual adjustments, but historically the revenue allowance has been sufficient to cover the net amount of the reserve adjustments issued in subsequent reporting periods.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Balance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Changes</w:t>
            </w:r>
          </w:p>
        </w:tc>
        <w:tc>
          <w:tcPr>
            <w:tcW w:w="240" w:type="dxa"/>
            <w:vAlign w:val="bottom"/>
          </w:tcPr>
          <w:p>
            <w:pPr>
              <w:spacing w:after="0"/>
              <w:rPr>
                <w:sz w:val="14"/>
                <w:szCs w:val="14"/>
                <w:color w:val="auto"/>
              </w:rPr>
            </w:pPr>
          </w:p>
        </w:tc>
        <w:tc>
          <w:tcPr>
            <w:tcW w:w="13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Valuation Allowance on Deferred Tax Assets</w:t>
            </w:r>
          </w:p>
        </w:tc>
        <w:tc>
          <w:tcPr>
            <w:tcW w:w="280" w:type="dxa"/>
            <w:vAlign w:val="bottom"/>
          </w:tcPr>
          <w:p>
            <w:pPr>
              <w:spacing w:after="0"/>
              <w:rPr>
                <w:sz w:val="12"/>
                <w:szCs w:val="12"/>
                <w:color w:val="auto"/>
              </w:rPr>
            </w:pPr>
          </w:p>
        </w:tc>
        <w:tc>
          <w:tcPr>
            <w:tcW w:w="13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Charged to Income</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Period</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1"/>
              </w:rPr>
              <w:t>Tax Expense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to Reserves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30,916</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55,189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55,189</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9"/>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68,355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68,355</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79,295</w:t>
            </w:r>
          </w:p>
        </w:tc>
        <w:tc>
          <w:tcPr>
            <w:tcW w:w="0" w:type="dxa"/>
            <w:vAlign w:val="bottom"/>
          </w:tcPr>
          <w:p>
            <w:pPr>
              <w:spacing w:after="0"/>
              <w:rPr>
                <w:sz w:val="1"/>
                <w:szCs w:val="1"/>
                <w:color w:val="auto"/>
              </w:rPr>
            </w:pPr>
          </w:p>
        </w:tc>
      </w:tr>
      <w:tr>
        <w:trPr>
          <w:trHeight w:val="72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96</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Annual Report on Form 10-K, our Chief Executive Officer and Chief Financial Officer have concluded that our disclosure controls and procedures (as defined under Rule 13a-15(e) and 15d-15(e) under the Securities Exchange Act of 1934, as amended (the “Exchange Act”)) were effective as of December 31, 2018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Chief Executive Officer and Chief Financial Officer, the Company conducted an evaluation of its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The Company's management evaluated the effectiveness of Clean Harbors internal control over financial reporting as of December 31, 2018. Based on their evaluation under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the Company's management concluded that the Company maintained effective internal control over financial reporting as of December 31, 2018 based on the criteria in the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w:t>
      </w:r>
    </w:p>
    <w:p>
      <w:pPr>
        <w:spacing w:after="0" w:line="1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2018, which is included below in this Item 9A of this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was conducted during the quarter ended December 31, 2018 that have materially affected, or are reasonably likely to materially affect, the Company’s internal control over financial reporting.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management, including the Chief Executive Officer and Chief Financial Officer, does not expect that the Company's disclosure controls and procedures or the Company's internal control over financial reporting will prevent all errors and all fraud.</w:t>
      </w:r>
    </w:p>
    <w:p>
      <w:pPr>
        <w:spacing w:after="0" w:line="1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18" w:right="2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right="2580" w:firstLine="2624"/>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Clean Harbors, Inc.</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Clean Harbors, Inc.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27, 2019 expressed an unqualified opinion on those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18" w:right="27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Except for the information set forth below under Item 12 with respect to securities authorized for issuance under the registrant's equity compensation plans, 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registrant's definitive proxy statement for its 2019 annual meeting of shareholders, which definitive proxy statement will be filed with the Securities and Exchange Commission by April 30, 2019.</w:t>
      </w:r>
    </w:p>
    <w:p>
      <w:pPr>
        <w:spacing w:after="0" w:line="24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For the purpose of calculating the aggregate market value of the voting stock of the registrant held by non-affiliates as shown on the cover page of this report, it has been assumed that the directors and executive officers of the registrant, as will be set forth in the Company's definitive proxy statement for its 2019 annual meeting of shareholders, are the only affiliates of the registrant. However, this should not be deemed to constitute an admission that all of such persons are, in fact, affiliates or that there are not other persons who may be deemed affiliates of the registrant.</w:t>
      </w:r>
    </w:p>
    <w:p>
      <w:pPr>
        <w:spacing w:after="0" w:line="22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In addition to the information about the security ownership of certain beneficial owners and management and related stockholder matters which is incorporated herein by reference to the Company's definitive proxy statement for the Company's 2019 annual meeting of shareholders, the following table includes information as of December 31, 2018 regarding shares of common stock authorized for issuance under the Company's equity compensation plan. The Company's shareholders previously approved the plan.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Number of securities to</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Weighted average exercise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outstanding options</w:t>
            </w:r>
          </w:p>
        </w:tc>
        <w:tc>
          <w:tcPr>
            <w:tcW w:w="120" w:type="dxa"/>
            <w:vAlign w:val="bottom"/>
          </w:tcPr>
          <w:p>
            <w:pPr>
              <w:spacing w:after="0"/>
              <w:rPr>
                <w:sz w:val="12"/>
                <w:szCs w:val="12"/>
                <w:color w:val="auto"/>
              </w:rPr>
            </w:pPr>
          </w:p>
        </w:tc>
        <w:tc>
          <w:tcPr>
            <w:tcW w:w="1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rights(a)</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options and rights(b)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(a))(c)</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 approved by security holders(1)</w:t>
            </w:r>
          </w:p>
        </w:tc>
        <w:tc>
          <w:tcPr>
            <w:tcW w:w="2080" w:type="dxa"/>
            <w:vAlign w:val="bottom"/>
            <w:tcBorders>
              <w:bottom w:val="single" w:sz="8" w:color="CCEEFF"/>
            </w:tcBorders>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4,059,988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jc w:val="right"/>
              <w:ind w:right="1536"/>
              <w:spacing w:after="0"/>
              <w:rPr>
                <w:sz w:val="20"/>
                <w:szCs w:val="20"/>
                <w:color w:val="auto"/>
              </w:rPr>
            </w:pPr>
            <w:r>
              <w:rPr>
                <w:rFonts w:ascii="Arial" w:cs="Arial" w:eastAsia="Arial" w:hAnsi="Arial"/>
                <w:sz w:val="18"/>
                <w:szCs w:val="18"/>
                <w:color w:val="auto"/>
                <w:w w:val="89"/>
              </w:rPr>
              <w:t>___________________________________________</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120" w:hanging="328"/>
        <w:spacing w:after="0" w:line="25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Company's 2010 Stock Incentive Plan (the "2010 Plan") under which there were on December 31, 2018 no outstanding options but 4,059,988 shares were available for grant of future options, stock appreciation rights, restricted stock awards, restricted stock units and certain other forms of equity incentives. See Note 17, "Stock-Based Compensation," to the Company's consolidated financial statements included in Item 8, "Financial Statements and Supplementary Data,"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8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Documents Filed as a Part of this Report</w:t>
      </w: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r>
      <w:tr>
        <w:trPr>
          <w:trHeight w:val="243"/>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1.</w:t>
            </w:r>
          </w:p>
        </w:tc>
        <w:tc>
          <w:tcPr>
            <w:tcW w:w="794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5"/>
        </w:trPr>
        <w:tc>
          <w:tcPr>
            <w:tcW w:w="480" w:type="dxa"/>
            <w:vAlign w:val="bottom"/>
          </w:tcPr>
          <w:p>
            <w:pPr>
              <w:spacing w:after="0"/>
              <w:rPr>
                <w:sz w:val="24"/>
                <w:szCs w:val="24"/>
                <w:color w:val="auto"/>
              </w:rPr>
            </w:pPr>
          </w:p>
        </w:tc>
        <w:tc>
          <w:tcPr>
            <w:tcW w:w="4220" w:type="dxa"/>
            <w:vAlign w:val="bottom"/>
            <w:gridSpan w:val="2"/>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Report of Independent Registered Public Accounting Firm</w:t>
              </w:r>
            </w:hyperlink>
          </w:p>
        </w:tc>
        <w:tc>
          <w:tcPr>
            <w:tcW w:w="3720" w:type="dxa"/>
            <w:vAlign w:val="bottom"/>
            <w:gridSpan w:val="6"/>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94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Balance Sheets as of December 31, 2018 and 2017</w:t>
              </w:r>
            </w:hyperlink>
          </w:p>
        </w:tc>
        <w:tc>
          <w:tcPr>
            <w:tcW w:w="620" w:type="dxa"/>
            <w:vAlign w:val="bottom"/>
            <w:gridSpan w:val="3"/>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94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Operations for the Three Years Ended December 31, 2018</w:t>
              </w:r>
            </w:hyperlink>
          </w:p>
        </w:tc>
        <w:tc>
          <w:tcPr>
            <w:tcW w:w="620" w:type="dxa"/>
            <w:vAlign w:val="bottom"/>
            <w:gridSpan w:val="3"/>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140" w:type="dxa"/>
            <w:vAlign w:val="bottom"/>
            <w:gridSpan w:val="7"/>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Comprehensive Income for the Three Years Ended December 31, 2018</w:t>
              </w:r>
            </w:hyperlink>
          </w:p>
        </w:tc>
        <w:tc>
          <w:tcPr>
            <w:tcW w:w="800" w:type="dxa"/>
            <w:vAlign w:val="bottom"/>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714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Cash Flows for the Three Years Ended December 31, 2018</w:t>
              </w:r>
            </w:hyperlink>
          </w:p>
        </w:tc>
        <w:tc>
          <w:tcPr>
            <w:tcW w:w="800" w:type="dxa"/>
            <w:vAlign w:val="bottom"/>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6920" w:type="dxa"/>
            <w:vAlign w:val="bottom"/>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Stockholders' Equity for the Three Years Ended December 31, 2018</w:t>
              </w:r>
            </w:hyperlink>
          </w:p>
        </w:tc>
        <w:tc>
          <w:tcPr>
            <w:tcW w:w="1020" w:type="dxa"/>
            <w:vAlign w:val="bottom"/>
            <w:gridSpan w:val="2"/>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692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1020" w:type="dxa"/>
            <w:vAlign w:val="bottom"/>
            <w:gridSpan w:val="2"/>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336"/>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800" w:type="dxa"/>
            <w:vAlign w:val="bottom"/>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Schedule II Valuation and Qualifying Accounts for the Three Years Ended December 31, 2018</w:t>
              </w:r>
            </w:hyperlink>
          </w:p>
        </w:tc>
        <w:tc>
          <w:tcPr>
            <w:tcW w:w="1740" w:type="dxa"/>
            <w:vAlign w:val="bottom"/>
            <w:gridSpan w:val="2"/>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r>
      <w:tr>
        <w:trPr>
          <w:trHeight w:val="20"/>
        </w:trPr>
        <w:tc>
          <w:tcPr>
            <w:tcW w:w="68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financial statements or notes thereto.</w:t>
      </w:r>
    </w:p>
    <w:p>
      <w:pPr>
        <w:spacing w:after="0" w:line="116" w:lineRule="exact"/>
        <w:rPr>
          <w:sz w:val="20"/>
          <w:szCs w:val="20"/>
          <w:color w:val="auto"/>
        </w:rPr>
      </w:pPr>
    </w:p>
    <w:p>
      <w:pPr>
        <w:ind w:left="540" w:hanging="350"/>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Exhibits:</w:t>
      </w:r>
    </w:p>
    <w:p>
      <w:pPr>
        <w:spacing w:after="0" w:line="30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2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0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118" w:right="29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February 27, 2019.</w:t>
      </w:r>
    </w:p>
    <w:p>
      <w:pPr>
        <w:spacing w:after="0" w:line="25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73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31750</wp:posOffset>
            </wp:positionV>
            <wp:extent cx="2349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Alan S. McKim</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i w:val="1"/>
          <w:iCs w:val="1"/>
          <w:color w:val="auto"/>
        </w:rPr>
        <w:t>Chief Executive Officer</w:t>
      </w:r>
    </w:p>
    <w:p>
      <w:pPr>
        <w:spacing w:after="0" w:line="1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76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0"/>
        </w:trPr>
        <w:tc>
          <w:tcPr>
            <w:tcW w:w="2120" w:type="dxa"/>
            <w:vAlign w:val="bottom"/>
            <w:gridSpan w:val="5"/>
          </w:tcPr>
          <w:p>
            <w:pPr>
              <w:jc w:val="center"/>
              <w:spacing w:after="0"/>
              <w:rPr>
                <w:sz w:val="20"/>
                <w:szCs w:val="20"/>
                <w:color w:val="auto"/>
              </w:rPr>
            </w:pPr>
            <w:r>
              <w:rPr>
                <w:rFonts w:ascii="Arial" w:cs="Arial" w:eastAsia="Arial" w:hAnsi="Arial"/>
                <w:sz w:val="16"/>
                <w:szCs w:val="16"/>
                <w:color w:val="auto"/>
              </w:rPr>
              <w:t>/s/ ALAN S. MCKIM</w:t>
            </w: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Chairman, President and Chief Executive Officer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9"/>
              </w:rPr>
              <w:t>Alan S. McKim</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2120" w:type="dxa"/>
            <w:vAlign w:val="bottom"/>
            <w:gridSpan w:val="5"/>
          </w:tcPr>
          <w:p>
            <w:pPr>
              <w:jc w:val="center"/>
              <w:spacing w:after="0"/>
              <w:rPr>
                <w:sz w:val="20"/>
                <w:szCs w:val="20"/>
                <w:color w:val="auto"/>
              </w:rPr>
            </w:pPr>
            <w:r>
              <w:rPr>
                <w:rFonts w:ascii="Arial" w:cs="Arial" w:eastAsia="Arial" w:hAnsi="Arial"/>
                <w:sz w:val="16"/>
                <w:szCs w:val="16"/>
                <w:color w:val="auto"/>
                <w:w w:val="98"/>
              </w:rPr>
              <w:t>/s/ MICHAEL L. BATTLES</w:t>
            </w: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Executive Vice President and Chief Financial Officer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4"/>
              </w:rPr>
              <w:t>Michael L. Battles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5"/>
              </w:rPr>
              <w:t>/s/ ERIC J. DUGAS</w:t>
            </w: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Senior Vice President, Finance and Chief Accounting Officer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Eric J. Dugas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Gene Banucci</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Edward G. Galante</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center"/>
              <w:ind w:right="590"/>
              <w:spacing w:after="0"/>
              <w:rPr>
                <w:sz w:val="20"/>
                <w:szCs w:val="20"/>
                <w:color w:val="auto"/>
              </w:rPr>
            </w:pPr>
            <w:r>
              <w:rPr>
                <w:rFonts w:ascii="Arial" w:cs="Arial" w:eastAsia="Arial" w:hAnsi="Arial"/>
                <w:sz w:val="16"/>
                <w:szCs w:val="16"/>
                <w:color w:val="auto"/>
                <w:w w:val="98"/>
              </w:rPr>
              <w:t>Rod Marlin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88"/>
              </w:rPr>
              <w:t>John T. Preston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Andrea Robertson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Thomas J. Shields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89"/>
              </w:rPr>
              <w:t>Lauren C. States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9"/>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27, 2019</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John R. Welch</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546"/>
        </w:trPr>
        <w:tc>
          <w:tcPr>
            <w:tcW w:w="400" w:type="dxa"/>
            <w:vAlign w:val="bottom"/>
          </w:tcPr>
          <w:p>
            <w:pPr>
              <w:ind w:left="4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0" w:type="dxa"/>
            <w:vAlign w:val="bottom"/>
            <w:gridSpan w:val="5"/>
          </w:tcPr>
          <w:p>
            <w:pPr>
              <w:jc w:val="center"/>
              <w:ind w:right="3700"/>
              <w:spacing w:after="0"/>
              <w:rPr>
                <w:sz w:val="20"/>
                <w:szCs w:val="20"/>
                <w:color w:val="auto"/>
              </w:rPr>
            </w:pPr>
            <w:r>
              <w:rPr>
                <w:rFonts w:ascii="Arial" w:cs="Arial" w:eastAsia="Arial" w:hAnsi="Arial"/>
                <w:sz w:val="18"/>
                <w:szCs w:val="18"/>
                <w:color w:val="auto"/>
                <w:w w:val="99"/>
              </w:rPr>
              <w:t>/s/ ALAN S. MCKIM</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
        </w:trPr>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22"/>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0" w:type="dxa"/>
            <w:vAlign w:val="bottom"/>
            <w:gridSpan w:val="5"/>
          </w:tcPr>
          <w:p>
            <w:pPr>
              <w:jc w:val="center"/>
              <w:ind w:right="3700"/>
              <w:spacing w:after="0"/>
              <w:rPr>
                <w:sz w:val="20"/>
                <w:szCs w:val="20"/>
                <w:color w:val="auto"/>
              </w:rPr>
            </w:pPr>
            <w:r>
              <w:rPr>
                <w:rFonts w:ascii="Arial" w:cs="Arial" w:eastAsia="Arial" w:hAnsi="Arial"/>
                <w:sz w:val="18"/>
                <w:szCs w:val="18"/>
                <w:color w:val="auto"/>
                <w:w w:val="96"/>
              </w:rPr>
              <w:t>Alan S. McKim</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0" w:type="dxa"/>
            <w:vAlign w:val="bottom"/>
            <w:gridSpan w:val="5"/>
          </w:tcPr>
          <w:p>
            <w:pPr>
              <w:jc w:val="center"/>
              <w:ind w:right="3700"/>
              <w:spacing w:after="0"/>
              <w:rPr>
                <w:sz w:val="20"/>
                <w:szCs w:val="20"/>
                <w:color w:val="auto"/>
              </w:rPr>
            </w:pPr>
            <w:r>
              <w:rPr>
                <w:rFonts w:ascii="Arial" w:cs="Arial" w:eastAsia="Arial" w:hAnsi="Arial"/>
                <w:sz w:val="18"/>
                <w:szCs w:val="18"/>
                <w:i w:val="1"/>
                <w:iCs w:val="1"/>
                <w:color w:val="auto"/>
                <w:w w:val="95"/>
              </w:rPr>
              <w:t>Attorney-in-Fact</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40" w:type="dxa"/>
            <w:vAlign w:val="bottom"/>
            <w:gridSpan w:val="4"/>
          </w:tcPr>
          <w:p>
            <w:pPr>
              <w:ind w:left="3460"/>
              <w:spacing w:after="0"/>
              <w:rPr>
                <w:sz w:val="20"/>
                <w:szCs w:val="20"/>
                <w:color w:val="auto"/>
              </w:rPr>
            </w:pPr>
            <w:r>
              <w:rPr>
                <w:rFonts w:ascii="Arial" w:cs="Arial" w:eastAsia="Arial" w:hAnsi="Arial"/>
                <w:sz w:val="18"/>
                <w:szCs w:val="18"/>
                <w:color w:val="auto"/>
              </w:rPr>
              <w:t>101</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991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43" w:lineRule="exact"/>
        <w:rPr>
          <w:sz w:val="20"/>
          <w:szCs w:val="20"/>
          <w:color w:val="auto"/>
        </w:rPr>
      </w:pPr>
    </w:p>
    <w:p>
      <w:pPr>
        <w:ind w:left="880" w:right="560" w:hanging="413"/>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7">
        <w:r>
          <w:rPr>
            <w:rFonts w:ascii="Arial" w:cs="Arial" w:eastAsia="Arial" w:hAnsi="Arial"/>
            <w:sz w:val="18"/>
            <w:szCs w:val="18"/>
            <w:u w:val="single" w:color="auto"/>
            <w:color w:val="0000FF"/>
          </w:rPr>
          <w:t>Acquisition Agreement by and between Safety-Kleen Services, Inc., as Seller, and Clean</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Harbors, Inc., as Purchaser, dated as of February 22, 2002</w:t>
        </w:r>
      </w:hyperlink>
    </w:p>
    <w:p>
      <w:pPr>
        <w:spacing w:after="0" w:line="8" w:lineRule="exact"/>
        <w:rPr>
          <w:sz w:val="20"/>
          <w:szCs w:val="20"/>
          <w:color w:val="auto"/>
        </w:rPr>
      </w:pPr>
    </w:p>
    <w:p>
      <w:pPr>
        <w:ind w:left="880" w:right="340" w:hanging="413"/>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18">
        <w:r>
          <w:rPr>
            <w:rFonts w:ascii="Arial" w:cs="Arial" w:eastAsia="Arial" w:hAnsi="Arial"/>
            <w:sz w:val="18"/>
            <w:szCs w:val="18"/>
            <w:u w:val="single" w:color="auto"/>
            <w:color w:val="0000FF"/>
          </w:rPr>
          <w:t>First Amendment to Acquisition Agreement by and between Safety-Kleen Services, Inc., as</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Seller, and Clean Harbors, Inc., as Purchaser, dated as of March 8, 2002</w:t>
        </w:r>
      </w:hyperlink>
    </w:p>
    <w:p>
      <w:pPr>
        <w:spacing w:after="0" w:line="8" w:lineRule="exact"/>
        <w:rPr>
          <w:sz w:val="20"/>
          <w:szCs w:val="20"/>
          <w:color w:val="auto"/>
        </w:rPr>
      </w:pPr>
    </w:p>
    <w:p>
      <w:pPr>
        <w:ind w:left="880" w:right="200" w:hanging="413"/>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2.3</w:t>
      </w:r>
      <w:r>
        <w:rPr>
          <w:sz w:val="20"/>
          <w:szCs w:val="20"/>
          <w:color w:val="auto"/>
        </w:rPr>
        <w:tab/>
      </w:r>
      <w:hyperlink r:id="rId19">
        <w:r>
          <w:rPr>
            <w:rFonts w:ascii="Arial" w:cs="Arial" w:eastAsia="Arial" w:hAnsi="Arial"/>
            <w:sz w:val="17"/>
            <w:szCs w:val="17"/>
            <w:u w:val="single" w:color="auto"/>
            <w:color w:val="0000FF"/>
          </w:rPr>
          <w:t>Second Amendment to Acquisition Agreement by and between Safety-Kleen Services, Inc. as</w:t>
        </w:r>
      </w:hyperlink>
      <w:r>
        <w:rPr>
          <w:rFonts w:ascii="Arial" w:cs="Arial" w:eastAsia="Arial" w:hAnsi="Arial"/>
          <w:sz w:val="17"/>
          <w:szCs w:val="17"/>
          <w:u w:val="single" w:color="auto"/>
          <w:color w:val="0000FF"/>
        </w:rPr>
        <w:t xml:space="preserve"> </w:t>
      </w:r>
      <w:hyperlink r:id="rId19">
        <w:r>
          <w:rPr>
            <w:rFonts w:ascii="Arial" w:cs="Arial" w:eastAsia="Arial" w:hAnsi="Arial"/>
            <w:sz w:val="17"/>
            <w:szCs w:val="17"/>
            <w:u w:val="single" w:color="auto"/>
            <w:color w:val="0000FF"/>
          </w:rPr>
          <w:t>Seller, and Clean Harbors, Inc. as Purchaser, dated as of April 30, 2002</w:t>
        </w:r>
      </w:hyperlink>
    </w:p>
    <w:p>
      <w:pPr>
        <w:spacing w:after="0" w:line="1" w:lineRule="exact"/>
        <w:rPr>
          <w:sz w:val="20"/>
          <w:szCs w:val="20"/>
          <w:color w:val="auto"/>
        </w:rPr>
      </w:pPr>
    </w:p>
    <w:p>
      <w:pPr>
        <w:ind w:left="880" w:right="280" w:hanging="413"/>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2.4</w:t>
      </w:r>
      <w:r>
        <w:rPr>
          <w:sz w:val="20"/>
          <w:szCs w:val="20"/>
          <w:color w:val="auto"/>
        </w:rPr>
        <w:tab/>
      </w:r>
      <w:hyperlink r:id="rId20">
        <w:r>
          <w:rPr>
            <w:rFonts w:ascii="Arial" w:cs="Arial" w:eastAsia="Arial" w:hAnsi="Arial"/>
            <w:sz w:val="17"/>
            <w:szCs w:val="17"/>
            <w:u w:val="single" w:color="auto"/>
            <w:color w:val="0000FF"/>
          </w:rPr>
          <w:t>Third Amendment to Acquisition Agreement by and between Safety-Kleen Services, Inc., as</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Seller, and Clean Harbors, Inc., as Purchaser, dated as of September 6, 2002</w:t>
        </w:r>
      </w:hyperlink>
    </w:p>
    <w:p>
      <w:pPr>
        <w:spacing w:after="0" w:line="1" w:lineRule="exact"/>
        <w:rPr>
          <w:sz w:val="20"/>
          <w:szCs w:val="20"/>
          <w:color w:val="auto"/>
        </w:rPr>
      </w:pPr>
    </w:p>
    <w:p>
      <w:pPr>
        <w:ind w:left="880" w:right="200" w:hanging="413"/>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2.5</w:t>
      </w:r>
      <w:r>
        <w:rPr>
          <w:sz w:val="20"/>
          <w:szCs w:val="20"/>
          <w:color w:val="auto"/>
        </w:rPr>
        <w:tab/>
      </w:r>
      <w:hyperlink r:id="rId21">
        <w:r>
          <w:rPr>
            <w:rFonts w:ascii="Arial" w:cs="Arial" w:eastAsia="Arial" w:hAnsi="Arial"/>
            <w:sz w:val="17"/>
            <w:szCs w:val="17"/>
            <w:u w:val="single" w:color="auto"/>
            <w:color w:val="0000FF"/>
          </w:rPr>
          <w:t>Fourth Amendment to Acquisition Agreement by and between Safety-Kleen Services, Inc., as</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Seller and Clean Harbors, Inc., as Purchaser, dated as of July 14, 2003</w:t>
        </w:r>
      </w:hyperlink>
    </w:p>
    <w:p>
      <w:pPr>
        <w:spacing w:after="0" w:line="1" w:lineRule="exact"/>
        <w:rPr>
          <w:sz w:val="20"/>
          <w:szCs w:val="20"/>
          <w:color w:val="auto"/>
        </w:rPr>
      </w:pPr>
    </w:p>
    <w:p>
      <w:pPr>
        <w:ind w:left="880" w:right="180" w:hanging="413"/>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2.6</w:t>
      </w:r>
      <w:r>
        <w:rPr>
          <w:sz w:val="20"/>
          <w:szCs w:val="20"/>
          <w:color w:val="auto"/>
        </w:rPr>
        <w:tab/>
      </w:r>
      <w:hyperlink r:id="rId22">
        <w:r>
          <w:rPr>
            <w:rFonts w:ascii="Arial" w:cs="Arial" w:eastAsia="Arial" w:hAnsi="Arial"/>
            <w:sz w:val="18"/>
            <w:szCs w:val="18"/>
            <w:u w:val="single" w:color="auto"/>
            <w:color w:val="0000FF"/>
          </w:rPr>
          <w:t>Agreement and Plan of Merger dated as of October 26, 2012 among Safety-Kleen, Inc., Clean</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Harbors, Inc., and CH Merger Sub, Inc.</w:t>
        </w:r>
      </w:hyperlink>
    </w:p>
    <w:p>
      <w:pPr>
        <w:spacing w:after="0" w:line="8" w:lineRule="exact"/>
        <w:rPr>
          <w:sz w:val="20"/>
          <w:szCs w:val="20"/>
          <w:color w:val="auto"/>
        </w:rPr>
      </w:pPr>
    </w:p>
    <w:p>
      <w:pPr>
        <w:ind w:left="34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3.1A</w:t>
      </w:r>
      <w:r>
        <w:rPr>
          <w:sz w:val="20"/>
          <w:szCs w:val="20"/>
          <w:color w:val="auto"/>
        </w:rPr>
        <w:tab/>
      </w:r>
      <w:hyperlink r:id="rId23">
        <w:r>
          <w:rPr>
            <w:rFonts w:ascii="Arial" w:cs="Arial" w:eastAsia="Arial" w:hAnsi="Arial"/>
            <w:sz w:val="16"/>
            <w:szCs w:val="16"/>
            <w:u w:val="single" w:color="auto"/>
            <w:color w:val="0000FF"/>
          </w:rPr>
          <w:t>Restated Articles of Organization of Clean Harbors, Inc.</w:t>
        </w:r>
      </w:hyperlink>
    </w:p>
    <w:p>
      <w:pPr>
        <w:spacing w:after="0" w:line="63" w:lineRule="exact"/>
        <w:rPr>
          <w:sz w:val="20"/>
          <w:szCs w:val="20"/>
          <w:color w:val="auto"/>
        </w:rPr>
      </w:pPr>
    </w:p>
    <w:p>
      <w:pPr>
        <w:ind w:left="880" w:right="80" w:hanging="533"/>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3.1B</w:t>
      </w:r>
      <w:r>
        <w:rPr>
          <w:sz w:val="20"/>
          <w:szCs w:val="20"/>
          <w:color w:val="auto"/>
        </w:rPr>
        <w:tab/>
      </w:r>
      <w:hyperlink r:id="rId24">
        <w:r>
          <w:rPr>
            <w:rFonts w:ascii="Arial" w:cs="Arial" w:eastAsia="Arial" w:hAnsi="Arial"/>
            <w:sz w:val="18"/>
            <w:szCs w:val="18"/>
            <w:u w:val="single" w:color="auto"/>
            <w:color w:val="0000FF"/>
          </w:rPr>
          <w:t>Articles of Amendment [as filed on May 9, 2011] to Restated Articles of Organization of Clean</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Harbors</w:t>
        </w:r>
      </w:hyperlink>
    </w:p>
    <w:p>
      <w:pPr>
        <w:spacing w:after="0" w:line="8" w:lineRule="exact"/>
        <w:rPr>
          <w:sz w:val="20"/>
          <w:szCs w:val="20"/>
          <w:color w:val="auto"/>
        </w:rPr>
      </w:pPr>
    </w:p>
    <w:p>
      <w:pPr>
        <w:ind w:left="34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3.4D</w:t>
      </w:r>
      <w:r>
        <w:rPr>
          <w:sz w:val="20"/>
          <w:szCs w:val="20"/>
          <w:color w:val="auto"/>
        </w:rPr>
        <w:tab/>
      </w:r>
      <w:hyperlink r:id="rId25">
        <w:r>
          <w:rPr>
            <w:rFonts w:ascii="Arial" w:cs="Arial" w:eastAsia="Arial" w:hAnsi="Arial"/>
            <w:sz w:val="16"/>
            <w:szCs w:val="16"/>
            <w:u w:val="single" w:color="auto"/>
            <w:color w:val="0000FF"/>
          </w:rPr>
          <w:t>Amended and Restated By-Laws of Clean Harbors, Inc.</w:t>
        </w:r>
      </w:hyperlink>
    </w:p>
    <w:p>
      <w:pPr>
        <w:spacing w:after="0" w:line="63" w:lineRule="exact"/>
        <w:rPr>
          <w:sz w:val="20"/>
          <w:szCs w:val="20"/>
          <w:color w:val="auto"/>
        </w:rPr>
      </w:pPr>
    </w:p>
    <w:p>
      <w:pPr>
        <w:ind w:left="880" w:right="280" w:hanging="50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w:t>
      </w:r>
      <w:r>
        <w:rPr>
          <w:sz w:val="20"/>
          <w:szCs w:val="20"/>
          <w:color w:val="auto"/>
        </w:rPr>
        <w:tab/>
      </w:r>
      <w:hyperlink r:id="rId26">
        <w:r>
          <w:rPr>
            <w:rFonts w:ascii="Arial" w:cs="Arial" w:eastAsia="Arial" w:hAnsi="Arial"/>
            <w:sz w:val="18"/>
            <w:szCs w:val="18"/>
            <w:u w:val="single" w:color="auto"/>
            <w:color w:val="0000FF"/>
          </w:rPr>
          <w:t>Fifth Amended and Restated Credit Agreement dated as of November 1, 2016 among Clean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Harbors, Inc., as the U.S. Borrower, Clean Harbors Industrial Services Canada, Inc., as the</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Canadian Borrower, Bank of America, N.A., as Administrative Agent, and the Lenders party</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thereto</w:t>
        </w:r>
      </w:hyperlink>
    </w:p>
    <w:p>
      <w:pPr>
        <w:spacing w:after="0" w:line="25" w:lineRule="exact"/>
        <w:rPr>
          <w:rFonts w:ascii="Arial" w:cs="Arial" w:eastAsia="Arial" w:hAnsi="Arial"/>
          <w:sz w:val="18"/>
          <w:szCs w:val="18"/>
          <w:u w:val="single" w:color="auto"/>
          <w:color w:val="0000FF"/>
        </w:rPr>
      </w:pPr>
    </w:p>
    <w:p>
      <w:pPr>
        <w:ind w:left="880" w:right="280" w:hanging="623"/>
        <w:spacing w:after="0" w:line="299"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4.34B</w:t>
      </w:r>
      <w:r>
        <w:rPr>
          <w:sz w:val="20"/>
          <w:szCs w:val="20"/>
          <w:color w:val="auto"/>
        </w:rPr>
        <w:tab/>
      </w:r>
      <w:hyperlink r:id="rId27">
        <w:r>
          <w:rPr>
            <w:rFonts w:ascii="Arial" w:cs="Arial" w:eastAsia="Arial" w:hAnsi="Arial"/>
            <w:sz w:val="16"/>
            <w:szCs w:val="16"/>
            <w:u w:val="single" w:color="auto"/>
            <w:color w:val="0000FF"/>
          </w:rPr>
          <w:t>Amended and Restated Security Agreement (Canadian Domiciled Loan Parties) dated as of</w:t>
        </w:r>
      </w:hyperlink>
      <w:r>
        <w:rPr>
          <w:rFonts w:ascii="Arial" w:cs="Arial" w:eastAsia="Arial" w:hAnsi="Arial"/>
          <w:sz w:val="16"/>
          <w:szCs w:val="16"/>
          <w:u w:val="single" w:color="auto"/>
          <w:color w:val="0000FF"/>
        </w:rPr>
        <w:t xml:space="preserve"> </w:t>
      </w:r>
      <w:hyperlink r:id="rId27">
        <w:r>
          <w:rPr>
            <w:rFonts w:ascii="Arial" w:cs="Arial" w:eastAsia="Arial" w:hAnsi="Arial"/>
            <w:sz w:val="16"/>
            <w:szCs w:val="16"/>
            <w:u w:val="single" w:color="auto"/>
            <w:color w:val="0000FF"/>
          </w:rPr>
          <w:t>November 1, 2016 among Clean Harbors Industrial Services Canada, Inc., as the Canadian</w:t>
        </w:r>
      </w:hyperlink>
      <w:r>
        <w:rPr>
          <w:rFonts w:ascii="Arial" w:cs="Arial" w:eastAsia="Arial" w:hAnsi="Arial"/>
          <w:sz w:val="16"/>
          <w:szCs w:val="16"/>
          <w:u w:val="single" w:color="auto"/>
          <w:color w:val="0000FF"/>
        </w:rPr>
        <w:t xml:space="preserve"> </w:t>
      </w:r>
      <w:hyperlink r:id="rId27">
        <w:r>
          <w:rPr>
            <w:rFonts w:ascii="Arial" w:cs="Arial" w:eastAsia="Arial" w:hAnsi="Arial"/>
            <w:sz w:val="16"/>
            <w:szCs w:val="16"/>
            <w:u w:val="single" w:color="auto"/>
            <w:color w:val="0000FF"/>
          </w:rPr>
          <w:t>Borrower and a Grantor, the subsidiaries of Clean Harbors, Inc. listed on Annex A thereto or</w:t>
        </w:r>
      </w:hyperlink>
      <w:r>
        <w:rPr>
          <w:rFonts w:ascii="Arial" w:cs="Arial" w:eastAsia="Arial" w:hAnsi="Arial"/>
          <w:sz w:val="16"/>
          <w:szCs w:val="16"/>
          <w:u w:val="single" w:color="auto"/>
          <w:color w:val="0000FF"/>
        </w:rPr>
        <w:t xml:space="preserve"> </w:t>
      </w:r>
      <w:hyperlink r:id="rId27">
        <w:r>
          <w:rPr>
            <w:rFonts w:ascii="Arial" w:cs="Arial" w:eastAsia="Arial" w:hAnsi="Arial"/>
            <w:sz w:val="16"/>
            <w:szCs w:val="16"/>
            <w:u w:val="single" w:color="auto"/>
            <w:color w:val="0000FF"/>
          </w:rPr>
          <w:t>that thereafter become a party thereto as Grantors, and Bank of America, N.A., as Agent</w:t>
        </w:r>
      </w:hyperlink>
    </w:p>
    <w:p>
      <w:pPr>
        <w:spacing w:after="0" w:line="1" w:lineRule="exact"/>
        <w:rPr>
          <w:rFonts w:ascii="Arial" w:cs="Arial" w:eastAsia="Arial" w:hAnsi="Arial"/>
          <w:sz w:val="16"/>
          <w:szCs w:val="16"/>
          <w:u w:val="single" w:color="auto"/>
          <w:color w:val="0000FF"/>
        </w:rPr>
      </w:pPr>
    </w:p>
    <w:p>
      <w:pPr>
        <w:ind w:left="880" w:right="180" w:hanging="62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4.34C</w:t>
      </w:r>
      <w:r>
        <w:rPr>
          <w:sz w:val="20"/>
          <w:szCs w:val="20"/>
          <w:color w:val="auto"/>
        </w:rPr>
        <w:tab/>
      </w:r>
      <w:hyperlink r:id="rId28">
        <w:r>
          <w:rPr>
            <w:rFonts w:ascii="Arial" w:cs="Arial" w:eastAsia="Arial" w:hAnsi="Arial"/>
            <w:sz w:val="18"/>
            <w:szCs w:val="18"/>
            <w:u w:val="single" w:color="auto"/>
            <w:color w:val="0000FF"/>
          </w:rPr>
          <w:t>Amended and Restated Guarantee (U.S. Domiciled Loan Parties-U.S. Facility Obligations)</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dated as of November 1, 2016 executed by the U.S. Domiciled Subsidiaries of Clean Harbors,</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Inc. named therein in favor of Bank of America, N.A., as Agent for itself and the other U.S.</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Facility Secured Parties</w:t>
        </w:r>
      </w:hyperlink>
    </w:p>
    <w:p>
      <w:pPr>
        <w:spacing w:after="0" w:line="25" w:lineRule="exact"/>
        <w:rPr>
          <w:rFonts w:ascii="Arial" w:cs="Arial" w:eastAsia="Arial" w:hAnsi="Arial"/>
          <w:sz w:val="18"/>
          <w:szCs w:val="18"/>
          <w:u w:val="single" w:color="auto"/>
          <w:color w:val="0000FF"/>
        </w:rPr>
      </w:pPr>
    </w:p>
    <w:p>
      <w:pPr>
        <w:ind w:left="880" w:right="20" w:hanging="63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4.34D</w:t>
      </w:r>
      <w:r>
        <w:rPr>
          <w:sz w:val="20"/>
          <w:szCs w:val="20"/>
          <w:color w:val="auto"/>
        </w:rPr>
        <w:tab/>
      </w:r>
      <w:hyperlink r:id="rId29">
        <w:r>
          <w:rPr>
            <w:rFonts w:ascii="Arial" w:cs="Arial" w:eastAsia="Arial" w:hAnsi="Arial"/>
            <w:sz w:val="18"/>
            <w:szCs w:val="18"/>
            <w:u w:val="single" w:color="auto"/>
            <w:color w:val="0000FF"/>
          </w:rPr>
          <w:t>Amended and Restated Guarantee (Canadian Domiciled Loan Parties-Canadian Facility</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Obligations) dated as of November 1, 2016 executed by the Canadian Domiciled Subsidiaries of</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Clean Harbors, Inc. named therein in favor of Bank of America, N.A., as Agent for itself and</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the other Canadian Facility Secured Parties</w:t>
        </w:r>
      </w:hyperlink>
    </w:p>
    <w:p>
      <w:pPr>
        <w:spacing w:after="0" w:line="25" w:lineRule="exact"/>
        <w:rPr>
          <w:rFonts w:ascii="Arial" w:cs="Arial" w:eastAsia="Arial" w:hAnsi="Arial"/>
          <w:sz w:val="18"/>
          <w:szCs w:val="18"/>
          <w:u w:val="single" w:color="auto"/>
          <w:color w:val="0000FF"/>
        </w:rPr>
      </w:pPr>
    </w:p>
    <w:p>
      <w:pPr>
        <w:jc w:val="center"/>
        <w:ind w:left="240"/>
        <w:spacing w:after="0"/>
        <w:tabs>
          <w:tab w:leader="none" w:pos="160" w:val="left"/>
        </w:tabs>
        <w:rPr>
          <w:rFonts w:ascii="Arial" w:cs="Arial" w:eastAsia="Arial" w:hAnsi="Arial"/>
          <w:sz w:val="16"/>
          <w:szCs w:val="16"/>
          <w:u w:val="single" w:color="auto"/>
          <w:color w:val="0000FF"/>
        </w:rPr>
      </w:pPr>
      <w:r>
        <w:rPr>
          <w:rFonts w:ascii="Arial" w:cs="Arial" w:eastAsia="Arial" w:hAnsi="Arial"/>
          <w:sz w:val="18"/>
          <w:szCs w:val="18"/>
          <w:color w:val="auto"/>
        </w:rPr>
        <w:t>4.34E</w:t>
      </w:r>
      <w:r>
        <w:rPr>
          <w:sz w:val="20"/>
          <w:szCs w:val="20"/>
          <w:color w:val="auto"/>
        </w:rPr>
        <w:tab/>
      </w:r>
      <w:hyperlink r:id="rId30">
        <w:r>
          <w:rPr>
            <w:rFonts w:ascii="Arial" w:cs="Arial" w:eastAsia="Arial" w:hAnsi="Arial"/>
            <w:sz w:val="16"/>
            <w:szCs w:val="16"/>
            <w:u w:val="single" w:color="auto"/>
            <w:color w:val="0000FF"/>
          </w:rPr>
          <w:t>Amended and Restated Guarantee (U.S. Domiciled Loan Parties-Canadian Facility Obligations)</w:t>
        </w:r>
      </w:hyperlink>
    </w:p>
    <w:p>
      <w:pPr>
        <w:spacing w:after="0" w:line="23" w:lineRule="exact"/>
        <w:rPr>
          <w:rFonts w:ascii="Arial" w:cs="Arial" w:eastAsia="Arial" w:hAnsi="Arial"/>
          <w:sz w:val="18"/>
          <w:szCs w:val="18"/>
          <w:u w:val="single" w:color="auto"/>
          <w:color w:val="0000FF"/>
        </w:rPr>
      </w:pPr>
    </w:p>
    <w:p>
      <w:pPr>
        <w:ind w:left="880" w:right="100"/>
        <w:spacing w:after="0" w:line="255"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dated as of November 1, 2016 executed by Clean Harbors, Inc. and the U.S. Domiciled</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Subsidiaries of Clean Harbors, Inc. named therein in favor of Bank of America, N.A., as Agent</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for itself and the other Canadian Facility Secured Parties</w:t>
        </w:r>
      </w:hyperlink>
    </w:p>
    <w:p>
      <w:pPr>
        <w:spacing w:after="0" w:line="28" w:lineRule="exact"/>
        <w:rPr>
          <w:rFonts w:ascii="Arial" w:cs="Arial" w:eastAsia="Arial" w:hAnsi="Arial"/>
          <w:sz w:val="18"/>
          <w:szCs w:val="18"/>
          <w:u w:val="single" w:color="auto"/>
          <w:color w:val="0000FF"/>
        </w:rPr>
      </w:pPr>
    </w:p>
    <w:p>
      <w:pPr>
        <w:ind w:left="880" w:hanging="60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4.34F</w:t>
      </w:r>
      <w:r>
        <w:rPr>
          <w:sz w:val="20"/>
          <w:szCs w:val="20"/>
          <w:color w:val="auto"/>
        </w:rPr>
        <w:tab/>
      </w:r>
      <w:hyperlink r:id="rId31">
        <w:r>
          <w:rPr>
            <w:rFonts w:ascii="Arial" w:cs="Arial" w:eastAsia="Arial" w:hAnsi="Arial"/>
            <w:sz w:val="18"/>
            <w:szCs w:val="18"/>
            <w:u w:val="single" w:color="auto"/>
            <w:color w:val="0000FF"/>
          </w:rPr>
          <w:t>First Amendment to Credit Agreement, dated as of June 30, 2017, by and among Clean Harbors,</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Inc., Clean Harbors Industrial Services Canada, Inc., the other Loan Parties party thereto,</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certain of the Lenders party thereto, which constitute the “Required Lenders”, and Bank of</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America, N.A., as Administrative Agent</w:t>
        </w:r>
      </w:hyperlink>
    </w:p>
    <w:p>
      <w:pPr>
        <w:spacing w:after="0" w:line="25" w:lineRule="exact"/>
        <w:rPr>
          <w:rFonts w:ascii="Arial" w:cs="Arial" w:eastAsia="Arial" w:hAnsi="Arial"/>
          <w:sz w:val="18"/>
          <w:szCs w:val="18"/>
          <w:u w:val="single" w:color="auto"/>
          <w:color w:val="0000FF"/>
        </w:rPr>
      </w:pPr>
    </w:p>
    <w:p>
      <w:pPr>
        <w:ind w:left="880" w:right="80" w:hanging="63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4.34G</w:t>
      </w:r>
      <w:r>
        <w:rPr>
          <w:sz w:val="20"/>
          <w:szCs w:val="20"/>
          <w:color w:val="auto"/>
        </w:rPr>
        <w:tab/>
      </w:r>
      <w:hyperlink r:id="rId32">
        <w:r>
          <w:rPr>
            <w:rFonts w:ascii="Arial" w:cs="Arial" w:eastAsia="Arial" w:hAnsi="Arial"/>
            <w:sz w:val="18"/>
            <w:szCs w:val="18"/>
            <w:u w:val="single" w:color="auto"/>
            <w:color w:val="0000FF"/>
          </w:rPr>
          <w:t>Second Amended and Restated Security Agreement (U.S. Domiciled Loan Parties) dated as of</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June 30, 2017, among Clean Harbors, Inc., as the U.S. Borrower and a Grantor, the subsidiaries</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of Clean Harbors, Inc. listed on Annex A thereto or that thereafter become a party thereto as</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Grantors, and Bank of America, N.A., as Agent</w:t>
        </w:r>
      </w:hyperlink>
    </w:p>
    <w:p>
      <w:pPr>
        <w:spacing w:after="0" w:line="25" w:lineRule="exact"/>
        <w:rPr>
          <w:rFonts w:ascii="Arial" w:cs="Arial" w:eastAsia="Arial" w:hAnsi="Arial"/>
          <w:sz w:val="18"/>
          <w:szCs w:val="18"/>
          <w:u w:val="single" w:color="auto"/>
          <w:color w:val="0000FF"/>
        </w:rPr>
      </w:pPr>
    </w:p>
    <w:p>
      <w:pPr>
        <w:ind w:left="880" w:right="180" w:hanging="63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4.34H</w:t>
      </w:r>
      <w:r>
        <w:rPr>
          <w:sz w:val="20"/>
          <w:szCs w:val="20"/>
          <w:color w:val="auto"/>
        </w:rPr>
        <w:tab/>
      </w:r>
      <w:hyperlink r:id="rId33">
        <w:r>
          <w:rPr>
            <w:rFonts w:ascii="Arial" w:cs="Arial" w:eastAsia="Arial" w:hAnsi="Arial"/>
            <w:sz w:val="18"/>
            <w:szCs w:val="18"/>
            <w:u w:val="single" w:color="auto"/>
            <w:color w:val="0000FF"/>
          </w:rPr>
          <w:t>Second Amendment to Credit Agreement, dated as of July 19, 2018, by and among Clean</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Harbors, Inc., Clean Harbors Industrial Services Canada, the Other Loan Parties party thereto,</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certain of the Lenders party thereto which constitute the “Required Lenders,” and Bank of</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America, N.A., as Agent.</w:t>
        </w:r>
      </w:hyperlink>
    </w:p>
    <w:p>
      <w:pPr>
        <w:spacing w:after="0" w:line="25" w:lineRule="exact"/>
        <w:rPr>
          <w:rFonts w:ascii="Arial" w:cs="Arial" w:eastAsia="Arial" w:hAnsi="Arial"/>
          <w:sz w:val="18"/>
          <w:szCs w:val="18"/>
          <w:u w:val="single" w:color="auto"/>
          <w:color w:val="0000FF"/>
        </w:rPr>
      </w:pPr>
    </w:p>
    <w:p>
      <w:pPr>
        <w:ind w:left="880" w:right="120" w:hanging="503"/>
        <w:spacing w:after="0" w:line="26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4.42</w:t>
      </w:r>
      <w:r>
        <w:rPr>
          <w:sz w:val="20"/>
          <w:szCs w:val="20"/>
          <w:color w:val="auto"/>
        </w:rPr>
        <w:tab/>
      </w:r>
      <w:hyperlink r:id="rId34">
        <w:r>
          <w:rPr>
            <w:rFonts w:ascii="Arial" w:cs="Arial" w:eastAsia="Arial" w:hAnsi="Arial"/>
            <w:sz w:val="18"/>
            <w:szCs w:val="18"/>
            <w:u w:val="single" w:color="auto"/>
            <w:color w:val="0000FF"/>
          </w:rPr>
          <w:t>Indenture dated as of December 7, 2012, among Clean Harbors, Inc., as Issuer, the subsidiaries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of Clean Harbors, Inc. named therein as Guarantors, and U.S. Bank National Association, as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Trustee</w:t>
        </w:r>
      </w:hyperlink>
    </w:p>
    <w:p>
      <w:pPr>
        <w:spacing w:after="0" w:line="19" w:lineRule="exact"/>
        <w:rPr>
          <w:rFonts w:ascii="Arial" w:cs="Arial" w:eastAsia="Arial" w:hAnsi="Arial"/>
          <w:sz w:val="18"/>
          <w:szCs w:val="18"/>
          <w:u w:val="single" w:color="auto"/>
          <w:color w:val="0000FF"/>
        </w:rPr>
      </w:pPr>
    </w:p>
    <w:p>
      <w:pPr>
        <w:ind w:left="880" w:right="40" w:hanging="503"/>
        <w:spacing w:after="0" w:line="312"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4.43</w:t>
      </w:r>
      <w:r>
        <w:rPr>
          <w:sz w:val="20"/>
          <w:szCs w:val="20"/>
          <w:color w:val="auto"/>
        </w:rPr>
        <w:tab/>
      </w:r>
      <w:hyperlink r:id="rId35">
        <w:r>
          <w:rPr>
            <w:rFonts w:ascii="Arial" w:cs="Arial" w:eastAsia="Arial" w:hAnsi="Arial"/>
            <w:sz w:val="16"/>
            <w:szCs w:val="16"/>
            <w:u w:val="single" w:color="auto"/>
            <w:color w:val="0000FF"/>
          </w:rPr>
          <w:t>Credit Agreement dated as of June 30, 2017, among the Financial Institutions party thereto, as</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Lenders, Goldman Sachs Lending Partners LLC, as Administrative Agent and Collateral Agent,</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Clean Harbors, Inc., as Borrower, and the Loan Guarantors from time to time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00"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b w:val="1"/>
          <w:bCs w:val="1"/>
          <w:color w:val="auto"/>
        </w:rPr>
        <w:t>Location</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-217805</wp:posOffset>
            </wp:positionH>
            <wp:positionV relativeFrom="paragraph">
              <wp:posOffset>23495</wp:posOffset>
            </wp:positionV>
            <wp:extent cx="780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60"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(1)</w:t>
      </w:r>
    </w:p>
    <w:p>
      <w:pPr>
        <w:spacing w:after="0" w:line="279"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(2)</w:t>
      </w:r>
    </w:p>
    <w:p>
      <w:pPr>
        <w:spacing w:after="0" w:line="279"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(3)</w:t>
      </w:r>
    </w:p>
    <w:p>
      <w:pPr>
        <w:spacing w:after="0" w:line="279"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(4)</w:t>
      </w:r>
    </w:p>
    <w:p>
      <w:pPr>
        <w:spacing w:after="0" w:line="279"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(5)</w:t>
      </w:r>
    </w:p>
    <w:p>
      <w:pPr>
        <w:spacing w:after="0" w:line="279" w:lineRule="exact"/>
        <w:rPr>
          <w:rFonts w:ascii="Arial" w:cs="Arial" w:eastAsia="Arial" w:hAnsi="Arial"/>
          <w:sz w:val="16"/>
          <w:szCs w:val="16"/>
          <w:u w:val="single" w:color="auto"/>
          <w:color w:val="0000FF"/>
        </w:rPr>
      </w:pPr>
    </w:p>
    <w:p>
      <w:pPr>
        <w:jc w:val="right"/>
        <w:ind w:right="1039"/>
        <w:spacing w:after="0"/>
        <w:rPr>
          <w:sz w:val="20"/>
          <w:szCs w:val="20"/>
          <w:color w:val="auto"/>
        </w:rPr>
      </w:pPr>
      <w:r>
        <w:rPr>
          <w:rFonts w:ascii="Arial" w:cs="Arial" w:eastAsia="Arial" w:hAnsi="Arial"/>
          <w:sz w:val="18"/>
          <w:szCs w:val="18"/>
          <w:color w:val="auto"/>
        </w:rPr>
        <w:t>(6)</w:t>
      </w:r>
    </w:p>
    <w:p>
      <w:pPr>
        <w:spacing w:after="0" w:line="63" w:lineRule="exact"/>
        <w:rPr>
          <w:rFonts w:ascii="Arial" w:cs="Arial" w:eastAsia="Arial" w:hAnsi="Arial"/>
          <w:sz w:val="16"/>
          <w:szCs w:val="16"/>
          <w:u w:val="single" w:color="auto"/>
          <w:color w:val="0000FF"/>
        </w:rPr>
      </w:pPr>
    </w:p>
    <w:p>
      <w:pPr>
        <w:jc w:val="right"/>
        <w:ind w:right="1039"/>
        <w:spacing w:after="0"/>
        <w:rPr>
          <w:sz w:val="20"/>
          <w:szCs w:val="20"/>
          <w:color w:val="auto"/>
        </w:rPr>
      </w:pPr>
      <w:r>
        <w:rPr>
          <w:rFonts w:ascii="Arial" w:cs="Arial" w:eastAsia="Arial" w:hAnsi="Arial"/>
          <w:sz w:val="18"/>
          <w:szCs w:val="18"/>
          <w:color w:val="auto"/>
        </w:rPr>
        <w:t>(7)</w:t>
      </w:r>
    </w:p>
    <w:p>
      <w:pPr>
        <w:spacing w:after="0" w:line="279" w:lineRule="exact"/>
        <w:rPr>
          <w:rFonts w:ascii="Arial" w:cs="Arial" w:eastAsia="Arial" w:hAnsi="Arial"/>
          <w:sz w:val="16"/>
          <w:szCs w:val="16"/>
          <w:u w:val="single" w:color="auto"/>
          <w:color w:val="0000FF"/>
        </w:rPr>
      </w:pPr>
    </w:p>
    <w:p>
      <w:pPr>
        <w:jc w:val="right"/>
        <w:ind w:right="1039"/>
        <w:spacing w:after="0"/>
        <w:rPr>
          <w:sz w:val="20"/>
          <w:szCs w:val="20"/>
          <w:color w:val="auto"/>
        </w:rPr>
      </w:pPr>
      <w:r>
        <w:rPr>
          <w:rFonts w:ascii="Arial" w:cs="Arial" w:eastAsia="Arial" w:hAnsi="Arial"/>
          <w:sz w:val="18"/>
          <w:szCs w:val="18"/>
          <w:color w:val="auto"/>
        </w:rPr>
        <w:t>(8)</w:t>
      </w:r>
    </w:p>
    <w:p>
      <w:pPr>
        <w:spacing w:after="0" w:line="63" w:lineRule="exact"/>
        <w:rPr>
          <w:rFonts w:ascii="Arial" w:cs="Arial" w:eastAsia="Arial" w:hAnsi="Arial"/>
          <w:sz w:val="16"/>
          <w:szCs w:val="16"/>
          <w:u w:val="single" w:color="auto"/>
          <w:color w:val="0000FF"/>
        </w:rPr>
      </w:pPr>
    </w:p>
    <w:p>
      <w:pPr>
        <w:jc w:val="right"/>
        <w:ind w:right="1039"/>
        <w:spacing w:after="0"/>
        <w:rPr>
          <w:sz w:val="20"/>
          <w:szCs w:val="20"/>
          <w:color w:val="auto"/>
        </w:rPr>
      </w:pPr>
      <w:r>
        <w:rPr>
          <w:rFonts w:ascii="Arial" w:cs="Arial" w:eastAsia="Arial" w:hAnsi="Arial"/>
          <w:sz w:val="18"/>
          <w:szCs w:val="18"/>
          <w:color w:val="auto"/>
        </w:rPr>
        <w:t>(9)</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1"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(11)</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(11)</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(12)</w:t>
      </w:r>
    </w:p>
    <w:p>
      <w:pPr>
        <w:spacing w:after="0" w:line="200" w:lineRule="exact"/>
        <w:rPr>
          <w:rFonts w:ascii="Arial" w:cs="Arial" w:eastAsia="Arial" w:hAnsi="Arial"/>
          <w:sz w:val="16"/>
          <w:szCs w:val="16"/>
          <w:u w:val="single" w:color="auto"/>
          <w:color w:val="0000FF"/>
        </w:rPr>
      </w:pPr>
    </w:p>
    <w:p>
      <w:pPr>
        <w:spacing w:after="0" w:line="318"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(13)</w:t>
      </w:r>
    </w:p>
    <w:p>
      <w:pPr>
        <w:spacing w:after="0" w:line="200" w:lineRule="exact"/>
        <w:rPr>
          <w:rFonts w:ascii="Arial" w:cs="Arial" w:eastAsia="Arial" w:hAnsi="Arial"/>
          <w:sz w:val="16"/>
          <w:szCs w:val="16"/>
          <w:u w:val="single" w:color="auto"/>
          <w:color w:val="0000FF"/>
        </w:rPr>
      </w:pPr>
    </w:p>
    <w:p>
      <w:pPr>
        <w:spacing w:after="0" w:line="318"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(11)</w:t>
      </w:r>
    </w:p>
    <w:p>
      <w:pPr>
        <w:spacing w:after="0" w:line="301" w:lineRule="exact"/>
        <w:rPr>
          <w:rFonts w:ascii="Arial" w:cs="Arial" w:eastAsia="Arial" w:hAnsi="Arial"/>
          <w:sz w:val="16"/>
          <w:szCs w:val="16"/>
          <w:u w:val="single" w:color="auto"/>
          <w:color w:val="0000FF"/>
        </w:rPr>
      </w:pPr>
    </w:p>
    <w:p>
      <w:pPr>
        <w:sectPr>
          <w:pgSz w:w="11900" w:h="16838" w:orient="portrait"/>
          <w:cols w:equalWidth="0" w:num="2">
            <w:col w:w="7840" w:space="480"/>
            <w:col w:w="1899"/>
          </w:cols>
          <w:pgMar w:left="240" w:top="118" w:right="1440" w:bottom="1440" w:gutter="0" w:footer="0" w:header="0"/>
        </w:sectPr>
      </w:pPr>
    </w:p>
    <w:p>
      <w:pPr>
        <w:spacing w:after="0" w:line="1" w:lineRule="exact"/>
        <w:rPr>
          <w:rFonts w:ascii="Arial" w:cs="Arial" w:eastAsia="Arial" w:hAnsi="Arial"/>
          <w:sz w:val="16"/>
          <w:szCs w:val="16"/>
          <w:u w:val="single" w:color="auto"/>
          <w:color w:val="0000FF"/>
        </w:rPr>
      </w:pPr>
    </w:p>
    <w:p>
      <w:pPr>
        <w:ind w:left="558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19"/>
          </w:cols>
          <w:pgMar w:left="240" w:top="118" w:right="1440"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7920" w:type="dxa"/>
            <w:vAlign w:val="bottom"/>
            <w:gridSpan w:val="38"/>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260" w:type="dxa"/>
            <w:vAlign w:val="bottom"/>
          </w:tcPr>
          <w:p>
            <w:pPr>
              <w:spacing w:after="0"/>
              <w:rPr>
                <w:sz w:val="14"/>
                <w:szCs w:val="14"/>
                <w:color w:val="auto"/>
              </w:rPr>
            </w:pPr>
          </w:p>
        </w:tc>
      </w:tr>
      <w:tr>
        <w:trPr>
          <w:trHeight w:val="643"/>
        </w:trPr>
        <w:tc>
          <w:tcPr>
            <w:tcW w:w="880" w:type="dxa"/>
            <w:vAlign w:val="bottom"/>
            <w:tcBorders>
              <w:top w:val="single" w:sz="8" w:color="0000EE"/>
            </w:tcBorders>
          </w:tcPr>
          <w:p>
            <w:pPr>
              <w:jc w:val="right"/>
              <w:ind w:right="151"/>
              <w:spacing w:after="0"/>
              <w:rPr>
                <w:sz w:val="20"/>
                <w:szCs w:val="20"/>
                <w:color w:val="auto"/>
              </w:rPr>
            </w:pPr>
            <w:r>
              <w:rPr>
                <w:rFonts w:ascii="Arial" w:cs="Arial" w:eastAsia="Arial" w:hAnsi="Arial"/>
                <w:sz w:val="14"/>
                <w:szCs w:val="14"/>
                <w:b w:val="1"/>
                <w:bCs w:val="1"/>
                <w:color w:val="auto"/>
              </w:rPr>
              <w:t>Item No.</w:t>
            </w: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gridSpan w:val="25"/>
          </w:tcPr>
          <w:p>
            <w:pPr>
              <w:ind w:left="16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Location</w:t>
            </w:r>
          </w:p>
        </w:tc>
      </w:tr>
      <w:tr>
        <w:trPr>
          <w:trHeight w:val="215"/>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4.43A</w:t>
            </w:r>
          </w:p>
        </w:tc>
        <w:tc>
          <w:tcPr>
            <w:tcW w:w="6780" w:type="dxa"/>
            <w:vAlign w:val="bottom"/>
            <w:tcBorders>
              <w:bottom w:val="single" w:sz="8" w:color="0000FF"/>
            </w:tcBorders>
            <w:gridSpan w:val="32"/>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Security Agreement dated as of June 20, 2017, among Clean Harbors, Inc. and its subsidiaries</w:t>
              </w:r>
            </w:hyperlink>
          </w:p>
        </w:tc>
        <w:tc>
          <w:tcPr>
            <w:tcW w:w="260" w:type="dxa"/>
            <w:vAlign w:val="bottom"/>
            <w:gridSpan w:val="5"/>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6740" w:type="dxa"/>
            <w:vAlign w:val="bottom"/>
            <w:tcBorders>
              <w:bottom w:val="single" w:sz="8" w:color="0000FF"/>
            </w:tcBorders>
            <w:gridSpan w:val="30"/>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listed on Annex A thereto or that become a party thereto as the Grantors, and Goldman Sachs</w:t>
              </w:r>
            </w:hyperlink>
          </w:p>
        </w:tc>
        <w:tc>
          <w:tcPr>
            <w:tcW w:w="30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Lending Partners LLC, as the Agent</w:t>
              </w:r>
            </w:hyperlink>
          </w:p>
        </w:tc>
        <w:tc>
          <w:tcPr>
            <w:tcW w:w="4420" w:type="dxa"/>
            <w:vAlign w:val="bottom"/>
            <w:gridSpan w:val="2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4.43B</w:t>
            </w:r>
          </w:p>
        </w:tc>
        <w:tc>
          <w:tcPr>
            <w:tcW w:w="6240" w:type="dxa"/>
            <w:vAlign w:val="bottom"/>
            <w:tcBorders>
              <w:bottom w:val="single" w:sz="8" w:color="0000FF"/>
            </w:tcBorders>
            <w:gridSpan w:val="24"/>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First Amendment to Credit Agreement dated as of June 30, 2017, among the Financial</w:t>
              </w:r>
            </w:hyperlink>
          </w:p>
        </w:tc>
        <w:tc>
          <w:tcPr>
            <w:tcW w:w="800" w:type="dxa"/>
            <w:vAlign w:val="bottom"/>
            <w:gridSpan w:val="13"/>
          </w:tcPr>
          <w:p>
            <w:pPr>
              <w:spacing w:after="0"/>
              <w:rPr>
                <w:sz w:val="21"/>
                <w:szCs w:val="21"/>
                <w:color w:val="auto"/>
              </w:rPr>
            </w:pPr>
          </w:p>
        </w:tc>
        <w:tc>
          <w:tcPr>
            <w:tcW w:w="126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920" w:type="dxa"/>
            <w:vAlign w:val="bottom"/>
            <w:tcBorders>
              <w:bottom w:val="single" w:sz="8" w:color="0000FF"/>
            </w:tcBorders>
            <w:gridSpan w:val="36"/>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Institutions party thereto, as Lenders, Goldman Sachs Lending Partners LLC, as Administrative</w:t>
              </w:r>
            </w:hyperlink>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40" w:type="dxa"/>
            <w:vAlign w:val="bottom"/>
            <w:gridSpan w:val="37"/>
          </w:tcPr>
          <w:p>
            <w:pPr>
              <w:spacing w:after="0" w:line="196" w:lineRule="exact"/>
              <w:rPr>
                <w:rFonts w:ascii="Arial" w:cs="Arial" w:eastAsia="Arial" w:hAnsi="Arial"/>
                <w:sz w:val="18"/>
                <w:szCs w:val="18"/>
                <w:color w:val="0000FF"/>
                <w:w w:val="95"/>
              </w:rPr>
            </w:pPr>
            <w:hyperlink r:id="rId38">
              <w:r>
                <w:rPr>
                  <w:rFonts w:ascii="Arial" w:cs="Arial" w:eastAsia="Arial" w:hAnsi="Arial"/>
                  <w:sz w:val="18"/>
                  <w:szCs w:val="18"/>
                  <w:color w:val="0000FF"/>
                  <w:w w:val="95"/>
                </w:rPr>
                <w:t>Agent and Collateral Agent, Clean Harbors, Inc., as Borrower, and the Loan Guarantors from</w:t>
              </w:r>
            </w:hyperlink>
          </w:p>
        </w:tc>
        <w:tc>
          <w:tcPr>
            <w:tcW w:w="12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72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time to time party thereto.</w:t>
              </w:r>
            </w:hyperlink>
          </w:p>
        </w:tc>
        <w:tc>
          <w:tcPr>
            <w:tcW w:w="32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8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4.43C</w:t>
            </w:r>
          </w:p>
        </w:tc>
        <w:tc>
          <w:tcPr>
            <w:tcW w:w="6900" w:type="dxa"/>
            <w:vAlign w:val="bottom"/>
            <w:tcBorders>
              <w:bottom w:val="single" w:sz="8" w:color="0000FF"/>
            </w:tcBorders>
            <w:gridSpan w:val="35"/>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Incremental Facility Amendment dated July 19, 2018, to Credit Agreement dated as of June 30,</w:t>
              </w:r>
            </w:hyperlink>
          </w:p>
        </w:tc>
        <w:tc>
          <w:tcPr>
            <w:tcW w:w="14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48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2017, among the Financial Institutions party thereto, as Lenders, Goldman Sachs Lending</w:t>
              </w:r>
            </w:hyperlink>
          </w:p>
        </w:tc>
        <w:tc>
          <w:tcPr>
            <w:tcW w:w="560" w:type="dxa"/>
            <w:vAlign w:val="bottom"/>
            <w:gridSpan w:val="11"/>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40" w:type="dxa"/>
            <w:vAlign w:val="bottom"/>
            <w:gridSpan w:val="37"/>
          </w:tcPr>
          <w:p>
            <w:pPr>
              <w:spacing w:after="0" w:line="196"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Partners LLC, as Administrative Agent and Collateral Agent, Clean Harbors, Inc., as Borrower,</w:t>
              </w:r>
            </w:hyperlink>
          </w:p>
        </w:tc>
        <w:tc>
          <w:tcPr>
            <w:tcW w:w="12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and the Loan Guarantors from time to time party thereto</w:t>
              </w:r>
            </w:hyperlink>
          </w:p>
        </w:tc>
        <w:tc>
          <w:tcPr>
            <w:tcW w:w="2820" w:type="dxa"/>
            <w:vAlign w:val="bottom"/>
            <w:tcBorders>
              <w:top w:val="single" w:sz="8" w:color="0000FF"/>
            </w:tcBorders>
            <w:gridSpan w:val="20"/>
          </w:tcPr>
          <w:p>
            <w:pPr>
              <w:spacing w:after="0"/>
              <w:rPr>
                <w:sz w:val="17"/>
                <w:szCs w:val="17"/>
                <w:color w:val="auto"/>
              </w:rPr>
            </w:pPr>
          </w:p>
        </w:tc>
        <w:tc>
          <w:tcPr>
            <w:tcW w:w="1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4.44</w:t>
            </w:r>
          </w:p>
        </w:tc>
        <w:tc>
          <w:tcPr>
            <w:tcW w:w="6280" w:type="dxa"/>
            <w:vAlign w:val="bottom"/>
            <w:tcBorders>
              <w:bottom w:val="single" w:sz="8" w:color="0000FF"/>
            </w:tcBorders>
            <w:gridSpan w:val="25"/>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Intercreditor Agreement dated as of June 30, 2017, among Clean Harbors, Inc., and the</w:t>
              </w:r>
            </w:hyperlink>
          </w:p>
        </w:tc>
        <w:tc>
          <w:tcPr>
            <w:tcW w:w="760" w:type="dxa"/>
            <w:vAlign w:val="bottom"/>
            <w:gridSpan w:val="12"/>
          </w:tcPr>
          <w:p>
            <w:pPr>
              <w:spacing w:after="0"/>
              <w:rPr>
                <w:sz w:val="21"/>
                <w:szCs w:val="21"/>
                <w:color w:val="auto"/>
              </w:rPr>
            </w:pPr>
          </w:p>
        </w:tc>
        <w:tc>
          <w:tcPr>
            <w:tcW w:w="126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50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subsidiaries of Clean Harbors, Inc. listed on the signature pages thereto (together with any</w:t>
              </w:r>
            </w:hyperlink>
          </w:p>
        </w:tc>
        <w:tc>
          <w:tcPr>
            <w:tcW w:w="540" w:type="dxa"/>
            <w:vAlign w:val="bottom"/>
            <w:gridSpan w:val="10"/>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7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subsidiary that becomes a party thereto after the date thereof), Bank of America, N.A., as the</w:t>
              </w:r>
            </w:hyperlink>
          </w:p>
        </w:tc>
        <w:tc>
          <w:tcPr>
            <w:tcW w:w="34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76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Initial ABL Agent, and Goldman Sachs Lending Partners LLC, as agent under the Term Loan</w:t>
              </w:r>
            </w:hyperlink>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40" w:type="dxa"/>
            <w:vAlign w:val="bottom"/>
            <w:gridSpan w:val="37"/>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Agreement</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8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10.43*</w:t>
            </w:r>
          </w:p>
        </w:tc>
        <w:tc>
          <w:tcPr>
            <w:tcW w:w="2200" w:type="dxa"/>
            <w:vAlign w:val="bottom"/>
            <w:tcBorders>
              <w:bottom w:val="single" w:sz="8" w:color="0000FF"/>
            </w:tcBorders>
            <w:gridSpan w:val="10"/>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Key Employee Retention Plan</w:t>
              </w:r>
            </w:hyperlink>
          </w:p>
        </w:tc>
        <w:tc>
          <w:tcPr>
            <w:tcW w:w="4840" w:type="dxa"/>
            <w:vAlign w:val="bottom"/>
            <w:gridSpan w:val="27"/>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10.43A*</w:t>
            </w:r>
          </w:p>
        </w:tc>
        <w:tc>
          <w:tcPr>
            <w:tcW w:w="7040" w:type="dxa"/>
            <w:vAlign w:val="bottom"/>
            <w:gridSpan w:val="37"/>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Form of Severance Agreement under Key Employee Retention Plan with Confidentiality and</w:t>
              </w:r>
            </w:hyperlink>
          </w:p>
        </w:tc>
        <w:tc>
          <w:tcPr>
            <w:tcW w:w="126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70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Non-Competition Agreement</w:t>
              </w:r>
            </w:hyperlink>
          </w:p>
        </w:tc>
        <w:tc>
          <w:tcPr>
            <w:tcW w:w="340" w:type="dxa"/>
            <w:vAlign w:val="bottom"/>
            <w:gridSpan w:val="9"/>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10.52C*</w:t>
            </w:r>
          </w:p>
        </w:tc>
        <w:tc>
          <w:tcPr>
            <w:tcW w:w="7040" w:type="dxa"/>
            <w:vAlign w:val="bottom"/>
            <w:gridSpan w:val="37"/>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Clean Harbors, Inc. Management Incentive Plan [as amended and restated effective January 1,</w:t>
              </w:r>
            </w:hyperlink>
          </w:p>
        </w:tc>
        <w:tc>
          <w:tcPr>
            <w:tcW w:w="126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2017]</w:t>
              </w:r>
            </w:hyperlink>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10.54*</w:t>
            </w:r>
          </w:p>
        </w:tc>
        <w:tc>
          <w:tcPr>
            <w:tcW w:w="5640" w:type="dxa"/>
            <w:vAlign w:val="bottom"/>
            <w:tcBorders>
              <w:bottom w:val="single" w:sz="8" w:color="0000FF"/>
            </w:tcBorders>
            <w:gridSpan w:val="19"/>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Clean Harbors, Inc. 2010 Stock Incentive Plan [as amended on May 10, 2010]</w:t>
              </w:r>
            </w:hyperlink>
          </w:p>
        </w:tc>
        <w:tc>
          <w:tcPr>
            <w:tcW w:w="1400" w:type="dxa"/>
            <w:vAlign w:val="bottom"/>
            <w:gridSpan w:val="18"/>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10.54A*</w:t>
            </w:r>
          </w:p>
        </w:tc>
        <w:tc>
          <w:tcPr>
            <w:tcW w:w="6740" w:type="dxa"/>
            <w:vAlign w:val="bottom"/>
            <w:tcBorders>
              <w:bottom w:val="single" w:sz="8" w:color="0000FF"/>
            </w:tcBorders>
            <w:gridSpan w:val="30"/>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Revised form of Restricted Stock Award Agreement [Non-Employee Director] [for use under</w:t>
              </w:r>
            </w:hyperlink>
          </w:p>
        </w:tc>
        <w:tc>
          <w:tcPr>
            <w:tcW w:w="300" w:type="dxa"/>
            <w:vAlign w:val="bottom"/>
            <w:gridSpan w:val="7"/>
          </w:tcPr>
          <w:p>
            <w:pPr>
              <w:spacing w:after="0"/>
              <w:rPr>
                <w:sz w:val="21"/>
                <w:szCs w:val="21"/>
                <w:color w:val="auto"/>
              </w:rPr>
            </w:pPr>
          </w:p>
        </w:tc>
        <w:tc>
          <w:tcPr>
            <w:tcW w:w="126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7040" w:type="dxa"/>
            <w:vAlign w:val="bottom"/>
            <w:gridSpan w:val="37"/>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2010 Stock Incentive Plan]</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8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10.54B*</w:t>
            </w:r>
          </w:p>
        </w:tc>
        <w:tc>
          <w:tcPr>
            <w:tcW w:w="6220" w:type="dxa"/>
            <w:vAlign w:val="bottom"/>
            <w:tcBorders>
              <w:bottom w:val="single" w:sz="8" w:color="0000FF"/>
            </w:tcBorders>
            <w:gridSpan w:val="23"/>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Revised form of Restricted Stock Award Agreement [Employee] [for use under Clean</w:t>
              </w:r>
            </w:hyperlink>
          </w:p>
        </w:tc>
        <w:tc>
          <w:tcPr>
            <w:tcW w:w="820" w:type="dxa"/>
            <w:vAlign w:val="bottom"/>
            <w:gridSpan w:val="14"/>
          </w:tcPr>
          <w:p>
            <w:pPr>
              <w:spacing w:after="0"/>
              <w:rPr>
                <w:sz w:val="21"/>
                <w:szCs w:val="21"/>
                <w:color w:val="auto"/>
              </w:rPr>
            </w:pPr>
          </w:p>
        </w:tc>
        <w:tc>
          <w:tcPr>
            <w:tcW w:w="126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29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Harbors, Inc. 2010 Stock Incentive Plan]</w:t>
              </w:r>
            </w:hyperlink>
          </w:p>
        </w:tc>
        <w:tc>
          <w:tcPr>
            <w:tcW w:w="4080" w:type="dxa"/>
            <w:vAlign w:val="bottom"/>
            <w:gridSpan w:val="2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10.54C*</w:t>
            </w:r>
          </w:p>
        </w:tc>
        <w:tc>
          <w:tcPr>
            <w:tcW w:w="6760" w:type="dxa"/>
            <w:vAlign w:val="bottom"/>
            <w:tcBorders>
              <w:bottom w:val="single" w:sz="8" w:color="0000FF"/>
            </w:tcBorders>
            <w:gridSpan w:val="31"/>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Revised form of Performance-Based Restricted Stock Award Agreement [for use under Clean</w:t>
              </w:r>
            </w:hyperlink>
          </w:p>
        </w:tc>
        <w:tc>
          <w:tcPr>
            <w:tcW w:w="280" w:type="dxa"/>
            <w:vAlign w:val="bottom"/>
            <w:gridSpan w:val="6"/>
          </w:tcPr>
          <w:p>
            <w:pPr>
              <w:spacing w:after="0"/>
              <w:rPr>
                <w:sz w:val="21"/>
                <w:szCs w:val="21"/>
                <w:color w:val="auto"/>
              </w:rPr>
            </w:pPr>
          </w:p>
        </w:tc>
        <w:tc>
          <w:tcPr>
            <w:tcW w:w="126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29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Harbors, Inc. 2010 Stock Incentive Plan]</w:t>
              </w:r>
            </w:hyperlink>
          </w:p>
        </w:tc>
        <w:tc>
          <w:tcPr>
            <w:tcW w:w="4080" w:type="dxa"/>
            <w:vAlign w:val="bottom"/>
            <w:gridSpan w:val="2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10.54D*</w:t>
            </w:r>
          </w:p>
        </w:tc>
        <w:tc>
          <w:tcPr>
            <w:tcW w:w="7040" w:type="dxa"/>
            <w:vAlign w:val="bottom"/>
            <w:gridSpan w:val="37"/>
          </w:tcPr>
          <w:p>
            <w:pPr>
              <w:spacing w:after="0"/>
              <w:rPr>
                <w:rFonts w:ascii="Arial" w:cs="Arial" w:eastAsia="Arial" w:hAnsi="Arial"/>
                <w:sz w:val="18"/>
                <w:szCs w:val="18"/>
                <w:color w:val="0000FF"/>
              </w:rPr>
            </w:pPr>
            <w:hyperlink r:id="rId48">
              <w:r>
                <w:rPr>
                  <w:rFonts w:ascii="Arial" w:cs="Arial" w:eastAsia="Arial" w:hAnsi="Arial"/>
                  <w:sz w:val="18"/>
                  <w:szCs w:val="18"/>
                  <w:color w:val="0000FF"/>
                </w:rPr>
                <w:t>Amendment to Section 8 and 10(i) of the Company’s 2010 Stock Incentive Plan</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10.55*</w:t>
            </w:r>
          </w:p>
        </w:tc>
        <w:tc>
          <w:tcPr>
            <w:tcW w:w="388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Clean Harbors, Inc. 2014 CEO Annual Incentive Plan</w:t>
              </w:r>
            </w:hyperlink>
          </w:p>
        </w:tc>
        <w:tc>
          <w:tcPr>
            <w:tcW w:w="1880" w:type="dxa"/>
            <w:vAlign w:val="bottom"/>
            <w:tcBorders>
              <w:top w:val="single" w:sz="8" w:color="0000FF"/>
            </w:tcBorders>
            <w:gridSpan w:val="7"/>
          </w:tcPr>
          <w:p>
            <w:pPr>
              <w:spacing w:after="0"/>
              <w:rPr>
                <w:sz w:val="21"/>
                <w:szCs w:val="21"/>
                <w:color w:val="auto"/>
              </w:rPr>
            </w:pPr>
          </w:p>
        </w:tc>
        <w:tc>
          <w:tcPr>
            <w:tcW w:w="1280" w:type="dxa"/>
            <w:vAlign w:val="bottom"/>
            <w:gridSpan w:val="17"/>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10.55A*</w:t>
            </w:r>
          </w:p>
        </w:tc>
        <w:tc>
          <w:tcPr>
            <w:tcW w:w="6200" w:type="dxa"/>
            <w:vAlign w:val="bottom"/>
            <w:tcBorders>
              <w:bottom w:val="single" w:sz="8" w:color="0000FF"/>
            </w:tcBorders>
            <w:gridSpan w:val="22"/>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Amendment to Section 6(m) of Clean Harbors, Inc. 2014 Annual CEO Incentive Plan</w:t>
              </w:r>
            </w:hyperlink>
          </w:p>
        </w:tc>
        <w:tc>
          <w:tcPr>
            <w:tcW w:w="840" w:type="dxa"/>
            <w:vAlign w:val="bottom"/>
            <w:gridSpan w:val="15"/>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10.55B*</w:t>
            </w:r>
          </w:p>
        </w:tc>
        <w:tc>
          <w:tcPr>
            <w:tcW w:w="6180" w:type="dxa"/>
            <w:vAlign w:val="bottom"/>
            <w:tcBorders>
              <w:bottom w:val="single" w:sz="8" w:color="0000FF"/>
            </w:tcBorders>
            <w:gridSpan w:val="21"/>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Clean Harbors, Inc. Amendment to Section 6(m) of 2014 Annual CEO Incentive Plan</w:t>
              </w:r>
            </w:hyperlink>
          </w:p>
        </w:tc>
        <w:tc>
          <w:tcPr>
            <w:tcW w:w="860" w:type="dxa"/>
            <w:vAlign w:val="bottom"/>
            <w:gridSpan w:val="16"/>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10.56*</w:t>
            </w:r>
          </w:p>
        </w:tc>
        <w:tc>
          <w:tcPr>
            <w:tcW w:w="7040" w:type="dxa"/>
            <w:vAlign w:val="bottom"/>
            <w:gridSpan w:val="37"/>
          </w:tcPr>
          <w:p>
            <w:pPr>
              <w:spacing w:after="0"/>
              <w:rPr>
                <w:rFonts w:ascii="Arial" w:cs="Arial" w:eastAsia="Arial" w:hAnsi="Arial"/>
                <w:sz w:val="18"/>
                <w:szCs w:val="18"/>
                <w:color w:val="0000FF"/>
              </w:rPr>
            </w:pPr>
            <w:hyperlink r:id="rId50">
              <w:r>
                <w:rPr>
                  <w:rFonts w:ascii="Arial" w:cs="Arial" w:eastAsia="Arial" w:hAnsi="Arial"/>
                  <w:sz w:val="18"/>
                  <w:szCs w:val="18"/>
                  <w:color w:val="0000FF"/>
                </w:rPr>
                <w:t>Mike Battles accepted offer letter effective as of January 6, 2016</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4660" w:type="dxa"/>
            <w:vAlign w:val="bottom"/>
            <w:tcBorders>
              <w:top w:val="single" w:sz="8" w:color="0000FF"/>
            </w:tcBorders>
            <w:gridSpan w:val="16"/>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Subsidiaries</w:t>
              </w:r>
            </w:hyperlink>
          </w:p>
        </w:tc>
        <w:tc>
          <w:tcPr>
            <w:tcW w:w="2380" w:type="dxa"/>
            <w:vAlign w:val="bottom"/>
            <w:gridSpan w:val="21"/>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1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7040" w:type="dxa"/>
            <w:vAlign w:val="bottom"/>
            <w:gridSpan w:val="3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Consent of Independent Registered Public Accounting Firm</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4320" w:type="dxa"/>
            <w:vAlign w:val="bottom"/>
            <w:tcBorders>
              <w:top w:val="single" w:sz="8" w:color="0000FF"/>
            </w:tcBorders>
            <w:gridSpan w:val="15"/>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Power of Attorney</w:t>
              </w:r>
            </w:hyperlink>
          </w:p>
        </w:tc>
        <w:tc>
          <w:tcPr>
            <w:tcW w:w="2720" w:type="dxa"/>
            <w:vAlign w:val="bottom"/>
            <w:gridSpan w:val="22"/>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7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1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31.1</w:t>
            </w:r>
          </w:p>
        </w:tc>
        <w:tc>
          <w:tcPr>
            <w:tcW w:w="4740" w:type="dxa"/>
            <w:vAlign w:val="bottom"/>
            <w:tcBorders>
              <w:bottom w:val="single" w:sz="8" w:color="0000FF"/>
            </w:tcBorders>
            <w:gridSpan w:val="17"/>
          </w:tcPr>
          <w:p>
            <w:pPr>
              <w:spacing w:after="0"/>
              <w:rPr>
                <w:rFonts w:ascii="Arial" w:cs="Arial" w:eastAsia="Arial" w:hAnsi="Arial"/>
                <w:sz w:val="18"/>
                <w:szCs w:val="18"/>
                <w:color w:val="0000FF"/>
                <w:w w:val="92"/>
              </w:rPr>
            </w:pPr>
            <w:hyperlink w:anchor="page114">
              <w:r>
                <w:rPr>
                  <w:rFonts w:ascii="Arial" w:cs="Arial" w:eastAsia="Arial" w:hAnsi="Arial"/>
                  <w:sz w:val="18"/>
                  <w:szCs w:val="18"/>
                  <w:color w:val="0000FF"/>
                  <w:w w:val="92"/>
                </w:rPr>
                <w:t>Rule 13a-14a/15d-14(a) Certification of the CEO Alan S. McKim</w:t>
              </w:r>
            </w:hyperlink>
          </w:p>
        </w:tc>
        <w:tc>
          <w:tcPr>
            <w:tcW w:w="2300" w:type="dxa"/>
            <w:vAlign w:val="bottom"/>
            <w:gridSpan w:val="20"/>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31.2</w:t>
            </w:r>
          </w:p>
        </w:tc>
        <w:tc>
          <w:tcPr>
            <w:tcW w:w="4920" w:type="dxa"/>
            <w:vAlign w:val="bottom"/>
            <w:tcBorders>
              <w:bottom w:val="single" w:sz="8" w:color="0000FF"/>
            </w:tcBorders>
            <w:gridSpan w:val="18"/>
          </w:tcPr>
          <w:p>
            <w:pPr>
              <w:spacing w:after="0"/>
              <w:rPr>
                <w:rFonts w:ascii="Arial" w:cs="Arial" w:eastAsia="Arial" w:hAnsi="Arial"/>
                <w:sz w:val="18"/>
                <w:szCs w:val="18"/>
                <w:color w:val="0000FF"/>
                <w:w w:val="92"/>
              </w:rPr>
            </w:pPr>
            <w:hyperlink w:anchor="page115">
              <w:r>
                <w:rPr>
                  <w:rFonts w:ascii="Arial" w:cs="Arial" w:eastAsia="Arial" w:hAnsi="Arial"/>
                  <w:sz w:val="18"/>
                  <w:szCs w:val="18"/>
                  <w:color w:val="0000FF"/>
                  <w:w w:val="92"/>
                </w:rPr>
                <w:t>Rule 13a-14a/15d-14(a) Certification of the CFO Michael L. Battles</w:t>
              </w:r>
            </w:hyperlink>
          </w:p>
        </w:tc>
        <w:tc>
          <w:tcPr>
            <w:tcW w:w="2120" w:type="dxa"/>
            <w:vAlign w:val="bottom"/>
            <w:gridSpan w:val="19"/>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50"/>
        </w:trPr>
        <w:tc>
          <w:tcPr>
            <w:tcW w:w="88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9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16">
              <w:r>
                <w:rPr>
                  <w:rFonts w:ascii="Arial" w:cs="Arial" w:eastAsia="Arial" w:hAnsi="Arial"/>
                  <w:sz w:val="18"/>
                  <w:szCs w:val="18"/>
                  <w:color w:val="0000FF"/>
                  <w:w w:val="91"/>
                </w:rPr>
                <w:t>Section 1350 Certifications</w:t>
              </w:r>
            </w:hyperlink>
          </w:p>
        </w:tc>
        <w:tc>
          <w:tcPr>
            <w:tcW w:w="5060" w:type="dxa"/>
            <w:vAlign w:val="bottom"/>
            <w:gridSpan w:val="29"/>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Filed herewith</w:t>
            </w:r>
          </w:p>
        </w:tc>
      </w:tr>
    </w:tbl>
    <w:p>
      <w:pPr>
        <w:spacing w:after="0" w:line="67" w:lineRule="exact"/>
        <w:rPr>
          <w:sz w:val="20"/>
          <w:szCs w:val="20"/>
          <w:color w:val="auto"/>
        </w:rPr>
      </w:pPr>
    </w:p>
    <w:p>
      <w:pPr>
        <w:ind w:left="880" w:right="3480" w:hanging="453"/>
        <w:spacing w:after="0" w:line="29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following materials from the Company's Annual Report on Form 10-K for the fiscal year ended December 31, 2018, formatted in XBRL (Extensible Business Reporting Language):</w:t>
      </w:r>
    </w:p>
    <w:p>
      <w:pPr>
        <w:ind w:left="880"/>
        <w:spacing w:after="0"/>
        <w:rPr>
          <w:rFonts w:ascii="Arial" w:cs="Arial" w:eastAsia="Arial" w:hAnsi="Arial"/>
          <w:sz w:val="16"/>
          <w:szCs w:val="16"/>
          <w:color w:val="auto"/>
        </w:rPr>
      </w:pPr>
      <w:r>
        <w:rPr>
          <w:rFonts w:ascii="Arial" w:cs="Arial" w:eastAsia="Arial" w:hAnsi="Arial"/>
          <w:sz w:val="18"/>
          <w:szCs w:val="18"/>
          <w:color w:val="auto"/>
        </w:rPr>
        <w:t>(i) Consolidated Balance Sheets, (ii) Consolidated Statements of Operations, (iii) Consolidated</w:t>
      </w:r>
    </w:p>
    <w:p>
      <w:pPr>
        <w:spacing w:after="0" w:line="4"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7400" w:type="dxa"/>
            <w:vAlign w:val="bottom"/>
          </w:tcPr>
          <w:p>
            <w:pPr>
              <w:spacing w:after="0"/>
              <w:rPr>
                <w:sz w:val="20"/>
                <w:szCs w:val="20"/>
                <w:color w:val="auto"/>
              </w:rPr>
            </w:pPr>
            <w:r>
              <w:rPr>
                <w:rFonts w:ascii="Arial" w:cs="Arial" w:eastAsia="Arial" w:hAnsi="Arial"/>
                <w:sz w:val="18"/>
                <w:szCs w:val="18"/>
                <w:color w:val="auto"/>
                <w:w w:val="98"/>
              </w:rPr>
              <w:t>Statements of Comprehensive Income (Loss), (iv) Consolidated Statements of Cash Flows, (v)</w:t>
            </w:r>
          </w:p>
        </w:tc>
        <w:tc>
          <w:tcPr>
            <w:tcW w:w="90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Consolidated Statements of Stockholders' Equity, and (vi) Notes to Consolidated Financial</w:t>
            </w:r>
          </w:p>
        </w:tc>
        <w:tc>
          <w:tcPr>
            <w:tcW w:w="900" w:type="dxa"/>
            <w:vAlign w:val="bottom"/>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Statements, tagged as blocks of text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w:t>
      </w:r>
    </w:p>
    <w:p>
      <w:pPr>
        <w:spacing w:after="0" w:line="14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“management contract or compensatory plan or arrangement” filed as an exhibit to this report pursuant to Item 15(a)(3) of Form 10-K.</w:t>
      </w:r>
    </w:p>
    <w:p>
      <w:pPr>
        <w:spacing w:after="0" w:line="29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February 28, 2002.</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2001.</w:t>
      </w:r>
    </w:p>
    <w:p>
      <w:pPr>
        <w:sectPr>
          <w:pgSz w:w="11900" w:h="16838" w:orient="portrait"/>
          <w:cols w:equalWidth="0" w:num="1">
            <w:col w:w="11100"/>
          </w:cols>
          <w:pgMar w:left="240" w:top="114" w:right="5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100"/>
          </w:cols>
          <w:pgMar w:left="240" w:top="114" w:right="559" w:bottom="1440" w:gutter="0" w:footer="0" w:header="0"/>
          <w:type w:val="continuous"/>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2002.</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September 25, 2002.</w:t>
      </w:r>
    </w:p>
    <w:p>
      <w:pPr>
        <w:spacing w:after="0" w:line="279"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June 30, 2003.</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October 31, 2012.</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19, 2005.</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12, 2011.</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December 22, 2014.</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November 2, 2016.</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8-K Report filed on June 30, 2017.</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Report on Form 8-K filed on July 20, 2018.</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December 10, 2012.</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April 17, 2018.</w:t>
      </w:r>
    </w:p>
    <w:p>
      <w:pPr>
        <w:spacing w:after="0" w:line="279"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1999.</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2010.</w:t>
      </w:r>
    </w:p>
    <w:p>
      <w:pPr>
        <w:spacing w:after="0" w:line="302" w:lineRule="exact"/>
        <w:rPr>
          <w:rFonts w:ascii="Arial" w:cs="Arial" w:eastAsia="Arial" w:hAnsi="Arial"/>
          <w:sz w:val="16"/>
          <w:szCs w:val="16"/>
          <w:color w:val="auto"/>
        </w:rPr>
      </w:pPr>
    </w:p>
    <w:p>
      <w:pPr>
        <w:ind w:left="660" w:right="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definitive proxy statement for its 2017 annual meeting of shareholders filed on April 26, 2017.</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14, 2010.</w:t>
      </w:r>
    </w:p>
    <w:p>
      <w:pPr>
        <w:spacing w:after="0" w:line="279"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definitive proxy statement for its annual meeting of shareholders filed on March 22, 2013.</w:t>
      </w:r>
    </w:p>
    <w:p>
      <w:pPr>
        <w:spacing w:after="0" w:line="224"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2013 annual meeting of shareholders filed on March 22, 2013.</w:t>
      </w:r>
    </w:p>
    <w:p>
      <w:pPr>
        <w:spacing w:after="0" w:line="224"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2017 annual meeting of shareholders filed on April 26, 2017.</w:t>
      </w:r>
    </w:p>
    <w:p>
      <w:pPr>
        <w:spacing w:after="0" w:line="224"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2017 annual meeting of shareholders filed on April 26, 2017.</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January 11, 2016.</w:t>
      </w:r>
    </w:p>
    <w:p>
      <w:pPr>
        <w:spacing w:after="0" w:line="279" w:lineRule="exact"/>
        <w:rPr>
          <w:rFonts w:ascii="Arial" w:cs="Arial" w:eastAsia="Arial" w:hAnsi="Arial"/>
          <w:sz w:val="18"/>
          <w:szCs w:val="18"/>
          <w:color w:val="auto"/>
        </w:rPr>
      </w:pPr>
    </w:p>
    <w:p>
      <w:pPr>
        <w:ind w:left="660" w:right="12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interactive data files are furnished herewith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ectPr>
          <w:pgSz w:w="11900" w:h="16838" w:orient="portrait"/>
          <w:cols w:equalWidth="0" w:num="1">
            <w:col w:w="11400"/>
          </w:cols>
          <w:pgMar w:left="240" w:top="118"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00"/>
          </w:cols>
          <w:pgMar w:left="240" w:top="118" w:right="25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680" w:type="dxa"/>
            <w:vAlign w:val="bottom"/>
            <w:gridSpan w:val="3"/>
          </w:tcPr>
          <w:p>
            <w:pPr>
              <w:ind w:left="2880"/>
              <w:spacing w:after="0"/>
              <w:rPr>
                <w:sz w:val="20"/>
                <w:szCs w:val="20"/>
                <w:color w:val="auto"/>
              </w:rPr>
            </w:pPr>
            <w:r>
              <w:rPr>
                <w:rFonts w:ascii="Arial" w:cs="Arial" w:eastAsia="Arial" w:hAnsi="Arial"/>
                <w:sz w:val="20"/>
                <w:szCs w:val="20"/>
                <w:b w:val="1"/>
                <w:bCs w:val="1"/>
                <w:color w:val="auto"/>
              </w:rPr>
              <w:t>Subsidiaries of Clean Harbors, Inc.</w:t>
            </w:r>
          </w:p>
        </w:tc>
      </w:tr>
      <w:tr>
        <w:trPr>
          <w:trHeight w:val="347"/>
        </w:trPr>
        <w:tc>
          <w:tcPr>
            <w:tcW w:w="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20"/>
                <w:szCs w:val="20"/>
                <w:b w:val="1"/>
                <w:bCs w:val="1"/>
                <w:color w:val="auto"/>
              </w:rPr>
              <w:t>Subsidiary</w:t>
            </w:r>
          </w:p>
        </w:tc>
        <w:tc>
          <w:tcPr>
            <w:tcW w:w="4100" w:type="dxa"/>
            <w:vAlign w:val="bottom"/>
            <w:gridSpan w:val="2"/>
          </w:tcPr>
          <w:p>
            <w:pPr>
              <w:spacing w:after="0"/>
              <w:rPr>
                <w:sz w:val="20"/>
                <w:szCs w:val="20"/>
                <w:color w:val="auto"/>
              </w:rPr>
            </w:pPr>
            <w:r>
              <w:rPr>
                <w:rFonts w:ascii="Arial" w:cs="Arial" w:eastAsia="Arial" w:hAnsi="Arial"/>
                <w:sz w:val="20"/>
                <w:szCs w:val="20"/>
                <w:b w:val="1"/>
                <w:bCs w:val="1"/>
                <w:color w:val="auto"/>
              </w:rPr>
              <w:t>Jurisdiction of Organization</w:t>
            </w: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700" w:type="dxa"/>
            <w:vAlign w:val="bottom"/>
          </w:tcPr>
          <w:p>
            <w:pPr>
              <w:spacing w:after="0"/>
              <w:rPr>
                <w:sz w:val="4"/>
                <w:szCs w:val="4"/>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Altair Disposal Services,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Baton Rouge Disposal,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BCT Structures, ULC*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Bridgeport Disposal,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Cat Tech International, Ltd.*</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Bahamas</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CH International Holdings,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Andover,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Aragonite,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Arizona,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Baton Rouge,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BDT,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Buttonwillow,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Canada,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New Brunswick</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Caribe,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Puerto Rico</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Chattanooga,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Clive,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Coffeyville,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Colfax,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Deer Park,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Deer Trail,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Development,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Directional Boring Services, ULC*</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Directional Boring Services LP*</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Disposal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El Dorado,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Energy and Industrial Services Corp.*</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Energy and Industrial Services LP*</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Energy and Industrial Western Ltd.*</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Energy Services ULC*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Environmental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Massachusetts</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ES Industrial Services,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Exploration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Nevada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Exploration Services, ULC*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Exploration Services LP*</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Florida,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Grassy Mountain,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India LLP*</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India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Industrial Services Canada,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Industrial Services,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Innu Environmental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Newfoundland</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1"/>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Kansas, LLC</w:t>
            </w:r>
          </w:p>
        </w:tc>
        <w:tc>
          <w:tcPr>
            <w:tcW w:w="4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ectPr>
          <w:pgSz w:w="11900" w:h="16838" w:orient="portrait"/>
          <w:cols w:equalWidth="0" w:num="1">
            <w:col w:w="11020"/>
          </w:cols>
          <w:pgMar w:left="6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Kingston Facility Corporation</w:t>
            </w:r>
          </w:p>
        </w:tc>
        <w:tc>
          <w:tcPr>
            <w:tcW w:w="5040" w:type="dxa"/>
            <w:vAlign w:val="bottom"/>
          </w:tcPr>
          <w:p>
            <w:pPr>
              <w:ind w:left="940"/>
              <w:spacing w:after="0"/>
              <w:rPr>
                <w:sz w:val="20"/>
                <w:szCs w:val="20"/>
                <w:color w:val="auto"/>
              </w:rPr>
            </w:pPr>
            <w:r>
              <w:rPr>
                <w:rFonts w:ascii="Arial" w:cs="Arial" w:eastAsia="Arial" w:hAnsi="Arial"/>
                <w:sz w:val="20"/>
                <w:szCs w:val="20"/>
                <w:color w:val="auto"/>
              </w:rPr>
              <w:t>Massachusetts</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LaPorte,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Laurel,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Lodging Services LP*</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Lodging Services, ULC*</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Lone Mountain,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Mercier, Inc.</w:t>
            </w:r>
          </w:p>
        </w:tc>
        <w:tc>
          <w:tcPr>
            <w:tcW w:w="5040" w:type="dxa"/>
            <w:vAlign w:val="bottom"/>
          </w:tcPr>
          <w:p>
            <w:pPr>
              <w:ind w:left="940"/>
              <w:spacing w:after="0"/>
              <w:rPr>
                <w:sz w:val="20"/>
                <w:szCs w:val="20"/>
                <w:color w:val="auto"/>
              </w:rPr>
            </w:pPr>
            <w:r>
              <w:rPr>
                <w:rFonts w:ascii="Arial" w:cs="Arial" w:eastAsia="Arial" w:hAnsi="Arial"/>
                <w:sz w:val="20"/>
                <w:szCs w:val="20"/>
                <w:color w:val="auto"/>
              </w:rPr>
              <w:t>Quebec</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of Baltimore,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of Braintree, Inc.</w:t>
            </w:r>
          </w:p>
        </w:tc>
        <w:tc>
          <w:tcPr>
            <w:tcW w:w="5040" w:type="dxa"/>
            <w:vAlign w:val="bottom"/>
          </w:tcPr>
          <w:p>
            <w:pPr>
              <w:ind w:left="940"/>
              <w:spacing w:after="0"/>
              <w:rPr>
                <w:sz w:val="20"/>
                <w:szCs w:val="20"/>
                <w:color w:val="auto"/>
              </w:rPr>
            </w:pPr>
            <w:r>
              <w:rPr>
                <w:rFonts w:ascii="Arial" w:cs="Arial" w:eastAsia="Arial" w:hAnsi="Arial"/>
                <w:sz w:val="20"/>
                <w:szCs w:val="20"/>
                <w:color w:val="auto"/>
              </w:rPr>
              <w:t>Massachusetts</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of Connecticut,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Pecatonica,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Production Services, ULC*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Quebec, Inc.*</w:t>
            </w:r>
          </w:p>
        </w:tc>
        <w:tc>
          <w:tcPr>
            <w:tcW w:w="5040" w:type="dxa"/>
            <w:vAlign w:val="bottom"/>
          </w:tcPr>
          <w:p>
            <w:pPr>
              <w:ind w:left="940"/>
              <w:spacing w:after="0"/>
              <w:rPr>
                <w:sz w:val="20"/>
                <w:szCs w:val="20"/>
                <w:color w:val="auto"/>
              </w:rPr>
            </w:pPr>
            <w:r>
              <w:rPr>
                <w:rFonts w:ascii="Arial" w:cs="Arial" w:eastAsia="Arial" w:hAnsi="Arial"/>
                <w:sz w:val="20"/>
                <w:szCs w:val="20"/>
                <w:color w:val="auto"/>
              </w:rPr>
              <w:t>Quebec</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Recycling Services of Chicago,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Recycling Services of Ohio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Reidsville,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San Jose,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San Leon,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Services, Inc.</w:t>
            </w:r>
          </w:p>
        </w:tc>
        <w:tc>
          <w:tcPr>
            <w:tcW w:w="5040" w:type="dxa"/>
            <w:vAlign w:val="bottom"/>
          </w:tcPr>
          <w:p>
            <w:pPr>
              <w:ind w:left="940"/>
              <w:spacing w:after="0"/>
              <w:rPr>
                <w:sz w:val="20"/>
                <w:szCs w:val="20"/>
                <w:color w:val="auto"/>
              </w:rPr>
            </w:pPr>
            <w:r>
              <w:rPr>
                <w:rFonts w:ascii="Arial" w:cs="Arial" w:eastAsia="Arial" w:hAnsi="Arial"/>
                <w:sz w:val="20"/>
                <w:szCs w:val="20"/>
                <w:color w:val="auto"/>
              </w:rPr>
              <w:t>Massachusetts</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Surface Rentals, ULC*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Surface Rentals Partnership*</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Surface Rentals USA,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Tennessee,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Westmorland,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White Castle,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Wichita,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Wilmington,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Crowley Disposal,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CTVI Inc.*</w:t>
            </w:r>
          </w:p>
        </w:tc>
        <w:tc>
          <w:tcPr>
            <w:tcW w:w="5040" w:type="dxa"/>
            <w:vAlign w:val="bottom"/>
          </w:tcPr>
          <w:p>
            <w:pPr>
              <w:ind w:left="940"/>
              <w:spacing w:after="0"/>
              <w:rPr>
                <w:sz w:val="20"/>
                <w:szCs w:val="20"/>
                <w:color w:val="auto"/>
              </w:rPr>
            </w:pPr>
            <w:r>
              <w:rPr>
                <w:rFonts w:ascii="Arial" w:cs="Arial" w:eastAsia="Arial" w:hAnsi="Arial"/>
                <w:sz w:val="20"/>
                <w:szCs w:val="20"/>
                <w:color w:val="auto"/>
              </w:rPr>
              <w:t>Virgin Islands</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Cyn Oil Corporation</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Massachusetts</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Disposal Properties,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Emerald Services,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Washington</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EnviroSORT Inc.</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Grizzco Camp Services, ULC*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British Columbia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GSX Disposal,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Hilliard Disposal,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Industrial Service Oil Company, Inc.</w:t>
            </w:r>
          </w:p>
        </w:tc>
        <w:tc>
          <w:tcPr>
            <w:tcW w:w="5040" w:type="dxa"/>
            <w:vAlign w:val="bottom"/>
          </w:tcPr>
          <w:p>
            <w:pPr>
              <w:ind w:left="940"/>
              <w:spacing w:after="0"/>
              <w:rPr>
                <w:sz w:val="20"/>
                <w:szCs w:val="20"/>
                <w:color w:val="auto"/>
              </w:rPr>
            </w:pPr>
            <w:r>
              <w:rPr>
                <w:rFonts w:ascii="Arial" w:cs="Arial" w:eastAsia="Arial" w:hAnsi="Arial"/>
                <w:sz w:val="20"/>
                <w:szCs w:val="20"/>
                <w:color w:val="auto"/>
              </w:rPr>
              <w:t>California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JL Filtration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JL Filtration Operating Limited Partnership*</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Laidlaw Environmental Services de Mexico S.A. de C.V.*</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Mexico</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Lonestar Sylvan Inc.*</w:t>
            </w:r>
          </w:p>
        </w:tc>
        <w:tc>
          <w:tcPr>
            <w:tcW w:w="5040" w:type="dxa"/>
            <w:vAlign w:val="bottom"/>
          </w:tcPr>
          <w:p>
            <w:pPr>
              <w:ind w:left="940"/>
              <w:spacing w:after="0"/>
              <w:rPr>
                <w:sz w:val="20"/>
                <w:szCs w:val="20"/>
                <w:color w:val="auto"/>
              </w:rPr>
            </w:pPr>
            <w:r>
              <w:rPr>
                <w:rFonts w:ascii="Arial" w:cs="Arial" w:eastAsia="Arial" w:hAnsi="Arial"/>
                <w:sz w:val="20"/>
                <w:szCs w:val="20"/>
                <w:color w:val="auto"/>
              </w:rPr>
              <w:t>Canada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Lonestar Vacuum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Lonestar West Enterprises LLC</w:t>
            </w:r>
          </w:p>
        </w:tc>
        <w:tc>
          <w:tcPr>
            <w:tcW w:w="5040" w:type="dxa"/>
            <w:vAlign w:val="bottom"/>
          </w:tcPr>
          <w:p>
            <w:pPr>
              <w:ind w:left="940"/>
              <w:spacing w:after="0"/>
              <w:rPr>
                <w:sz w:val="20"/>
                <w:szCs w:val="20"/>
                <w:color w:val="auto"/>
              </w:rPr>
            </w:pPr>
            <w:r>
              <w:rPr>
                <w:rFonts w:ascii="Arial" w:cs="Arial" w:eastAsia="Arial" w:hAnsi="Arial"/>
                <w:sz w:val="20"/>
                <w:szCs w:val="20"/>
                <w:color w:val="auto"/>
              </w:rPr>
              <w:t>Oklahoma</w:t>
            </w:r>
          </w:p>
        </w:tc>
      </w:tr>
    </w:tbl>
    <w:p>
      <w:pPr>
        <w:sectPr>
          <w:pgSz w:w="11900" w:h="16838" w:orient="portrait"/>
          <w:cols w:equalWidth="0" w:num="1">
            <w:col w:w="11020"/>
          </w:cols>
          <w:pgMar w:left="6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Lonestar West Inc.*</w:t>
            </w:r>
          </w:p>
        </w:tc>
        <w:tc>
          <w:tcPr>
            <w:tcW w:w="4820" w:type="dxa"/>
            <w:vAlign w:val="bottom"/>
            <w:shd w:val="clear" w:color="auto" w:fill="CCEEFF"/>
          </w:tcPr>
          <w:p>
            <w:pPr>
              <w:ind w:left="720"/>
              <w:spacing w:after="0"/>
              <w:rPr>
                <w:sz w:val="20"/>
                <w:szCs w:val="20"/>
                <w:color w:val="auto"/>
              </w:rPr>
            </w:pPr>
            <w:r>
              <w:rPr>
                <w:rFonts w:ascii="Arial" w:cs="Arial" w:eastAsia="Arial" w:hAnsi="Arial"/>
                <w:sz w:val="20"/>
                <w:szCs w:val="20"/>
                <w:color w:val="auto"/>
              </w:rPr>
              <w:t>Canada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Lonestar West Services LLC</w:t>
            </w:r>
          </w:p>
        </w:tc>
        <w:tc>
          <w:tcPr>
            <w:tcW w:w="4820" w:type="dxa"/>
            <w:vAlign w:val="bottom"/>
          </w:tcPr>
          <w:p>
            <w:pPr>
              <w:ind w:left="720"/>
              <w:spacing w:after="0"/>
              <w:rPr>
                <w:sz w:val="20"/>
                <w:szCs w:val="20"/>
                <w:color w:val="auto"/>
              </w:rPr>
            </w:pPr>
            <w:r>
              <w:rPr>
                <w:rFonts w:ascii="Arial" w:cs="Arial" w:eastAsia="Arial" w:hAnsi="Arial"/>
                <w:sz w:val="20"/>
                <w:szCs w:val="20"/>
                <w:color w:val="auto"/>
              </w:rPr>
              <w:t>Nevada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Murphy's Waste Oil Service,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Massachusetts</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Northeast Casualty Insurance Company</w:t>
            </w:r>
          </w:p>
        </w:tc>
        <w:tc>
          <w:tcPr>
            <w:tcW w:w="4820" w:type="dxa"/>
            <w:vAlign w:val="bottom"/>
          </w:tcPr>
          <w:p>
            <w:pPr>
              <w:ind w:left="720"/>
              <w:spacing w:after="0"/>
              <w:rPr>
                <w:sz w:val="20"/>
                <w:szCs w:val="20"/>
                <w:color w:val="auto"/>
              </w:rPr>
            </w:pPr>
            <w:r>
              <w:rPr>
                <w:rFonts w:ascii="Arial" w:cs="Arial" w:eastAsia="Arial" w:hAnsi="Arial"/>
                <w:sz w:val="20"/>
                <w:szCs w:val="20"/>
                <w:color w:val="auto"/>
              </w:rPr>
              <w:t>Vermont</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Plaquemine Remediation Services, LLC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Rosemead Oil Products, Inc.</w:t>
            </w:r>
          </w:p>
        </w:tc>
        <w:tc>
          <w:tcPr>
            <w:tcW w:w="4820" w:type="dxa"/>
            <w:vAlign w:val="bottom"/>
          </w:tcPr>
          <w:p>
            <w:pPr>
              <w:ind w:left="720"/>
              <w:spacing w:after="0"/>
              <w:rPr>
                <w:sz w:val="20"/>
                <w:szCs w:val="20"/>
                <w:color w:val="auto"/>
              </w:rPr>
            </w:pPr>
            <w:r>
              <w:rPr>
                <w:rFonts w:ascii="Arial" w:cs="Arial" w:eastAsia="Arial" w:hAnsi="Arial"/>
                <w:sz w:val="20"/>
                <w:szCs w:val="20"/>
                <w:color w:val="auto"/>
              </w:rPr>
              <w:t>California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Roebuck Disposal, LLC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de Mexico, S. de R.L. de C.V.*</w:t>
            </w:r>
          </w:p>
        </w:tc>
        <w:tc>
          <w:tcPr>
            <w:tcW w:w="4820" w:type="dxa"/>
            <w:vAlign w:val="bottom"/>
          </w:tcPr>
          <w:p>
            <w:pPr>
              <w:ind w:left="720"/>
              <w:spacing w:after="0"/>
              <w:rPr>
                <w:sz w:val="20"/>
                <w:szCs w:val="20"/>
                <w:color w:val="auto"/>
              </w:rPr>
            </w:pPr>
            <w:r>
              <w:rPr>
                <w:rFonts w:ascii="Arial" w:cs="Arial" w:eastAsia="Arial" w:hAnsi="Arial"/>
                <w:sz w:val="20"/>
                <w:szCs w:val="20"/>
                <w:color w:val="auto"/>
              </w:rPr>
              <w:t>Mexico</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Canada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New Brunswick</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Envirosystems Company</w:t>
            </w:r>
          </w:p>
        </w:tc>
        <w:tc>
          <w:tcPr>
            <w:tcW w:w="4820" w:type="dxa"/>
            <w:vAlign w:val="bottom"/>
          </w:tcPr>
          <w:p>
            <w:pPr>
              <w:ind w:left="720"/>
              <w:spacing w:after="0"/>
              <w:rPr>
                <w:sz w:val="20"/>
                <w:szCs w:val="20"/>
                <w:color w:val="auto"/>
              </w:rPr>
            </w:pPr>
            <w:r>
              <w:rPr>
                <w:rFonts w:ascii="Arial" w:cs="Arial" w:eastAsia="Arial" w:hAnsi="Arial"/>
                <w:sz w:val="20"/>
                <w:szCs w:val="20"/>
                <w:color w:val="auto"/>
              </w:rPr>
              <w:t>California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Envirosystems Company of Puerto Rico,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Indiana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Inc.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International,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International Asia Investment Company Limited*</w:t>
            </w:r>
          </w:p>
        </w:tc>
        <w:tc>
          <w:tcPr>
            <w:tcW w:w="4820" w:type="dxa"/>
            <w:vAlign w:val="bottom"/>
          </w:tcPr>
          <w:p>
            <w:pPr>
              <w:ind w:left="720"/>
              <w:spacing w:after="0"/>
              <w:rPr>
                <w:sz w:val="20"/>
                <w:szCs w:val="20"/>
                <w:color w:val="auto"/>
              </w:rPr>
            </w:pPr>
            <w:r>
              <w:rPr>
                <w:rFonts w:ascii="Arial" w:cs="Arial" w:eastAsia="Arial" w:hAnsi="Arial"/>
                <w:sz w:val="20"/>
                <w:szCs w:val="20"/>
                <w:color w:val="auto"/>
              </w:rPr>
              <w:t>Hong Kong</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of California,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California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Systems, Inc.</w:t>
            </w:r>
          </w:p>
        </w:tc>
        <w:tc>
          <w:tcPr>
            <w:tcW w:w="4820" w:type="dxa"/>
            <w:vAlign w:val="bottom"/>
          </w:tcPr>
          <w:p>
            <w:pPr>
              <w:ind w:left="720"/>
              <w:spacing w:after="0"/>
              <w:rPr>
                <w:sz w:val="20"/>
                <w:szCs w:val="20"/>
                <w:color w:val="auto"/>
              </w:rPr>
            </w:pPr>
            <w:r>
              <w:rPr>
                <w:rFonts w:ascii="Arial" w:cs="Arial" w:eastAsia="Arial" w:hAnsi="Arial"/>
                <w:sz w:val="20"/>
                <w:szCs w:val="20"/>
                <w:color w:val="auto"/>
              </w:rPr>
              <w:t>Wisconsin</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Sanitherm, ULC*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Alberta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Sawyer Disposal Services, LLC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Service Chemical, LLC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SK D’Incineration*</w:t>
            </w:r>
          </w:p>
        </w:tc>
        <w:tc>
          <w:tcPr>
            <w:tcW w:w="4820" w:type="dxa"/>
            <w:vAlign w:val="bottom"/>
          </w:tcPr>
          <w:p>
            <w:pPr>
              <w:ind w:left="720"/>
              <w:spacing w:after="0"/>
              <w:rPr>
                <w:sz w:val="20"/>
                <w:szCs w:val="20"/>
                <w:color w:val="auto"/>
              </w:rPr>
            </w:pPr>
            <w:r>
              <w:rPr>
                <w:rFonts w:ascii="Arial" w:cs="Arial" w:eastAsia="Arial" w:hAnsi="Arial"/>
                <w:sz w:val="20"/>
                <w:szCs w:val="20"/>
                <w:color w:val="auto"/>
              </w:rPr>
              <w:t>Quebec</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SK Servicios Ambientales Administrativos, S. de R.L. de C.V.*</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Mexico</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Spring Grove Resource Recovery, Inc.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The Solvents Recovery Service of New Jersey,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New Jersey</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Thermo Fluids Inc.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Tri-vax Enterprises Ltd.*</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Alberta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Tulsa Disposal, LLC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Veolia ES Industrial Services,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Versant Energy Services, Inc.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Versant Energy Services, LP*</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Alberta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Vulsay Industries Ltd.*</w:t>
            </w:r>
          </w:p>
        </w:tc>
        <w:tc>
          <w:tcPr>
            <w:tcW w:w="4820" w:type="dxa"/>
            <w:vAlign w:val="bottom"/>
          </w:tcPr>
          <w:p>
            <w:pPr>
              <w:ind w:left="720"/>
              <w:spacing w:after="0"/>
              <w:rPr>
                <w:sz w:val="20"/>
                <w:szCs w:val="20"/>
                <w:color w:val="auto"/>
              </w:rPr>
            </w:pPr>
            <w:r>
              <w:rPr>
                <w:rFonts w:ascii="Arial" w:cs="Arial" w:eastAsia="Arial" w:hAnsi="Arial"/>
                <w:sz w:val="20"/>
                <w:szCs w:val="20"/>
                <w:color w:val="auto"/>
              </w:rPr>
              <w:t>Ontario</w:t>
            </w:r>
          </w:p>
        </w:tc>
      </w:tr>
      <w:tr>
        <w:trPr>
          <w:trHeight w:val="338"/>
        </w:trPr>
        <w:tc>
          <w:tcPr>
            <w:tcW w:w="5800" w:type="dxa"/>
            <w:vAlign w:val="bottom"/>
          </w:tcPr>
          <w:p>
            <w:pPr>
              <w:ind w:left="260"/>
              <w:spacing w:after="0"/>
              <w:rPr>
                <w:sz w:val="20"/>
                <w:szCs w:val="20"/>
                <w:color w:val="auto"/>
              </w:rPr>
            </w:pPr>
            <w:r>
              <w:rPr>
                <w:rFonts w:ascii="Arial" w:cs="Arial" w:eastAsia="Arial" w:hAnsi="Arial"/>
                <w:sz w:val="20"/>
                <w:szCs w:val="20"/>
                <w:color w:val="auto"/>
              </w:rPr>
              <w:t>*Foreign entity or subsidiary of foreign entity</w:t>
            </w:r>
          </w:p>
        </w:tc>
        <w:tc>
          <w:tcPr>
            <w:tcW w:w="4820" w:type="dxa"/>
            <w:vAlign w:val="bottom"/>
          </w:tcPr>
          <w:p>
            <w:pPr>
              <w:spacing w:after="0"/>
              <w:rPr>
                <w:sz w:val="24"/>
                <w:szCs w:val="24"/>
                <w:color w:val="auto"/>
              </w:rPr>
            </w:pPr>
          </w:p>
        </w:tc>
      </w:tr>
    </w:tbl>
    <w:p>
      <w:pPr>
        <w:sectPr>
          <w:pgSz w:w="11900" w:h="16838" w:orient="portrait"/>
          <w:cols w:equalWidth="0" w:num="1">
            <w:col w:w="11020"/>
          </w:cols>
          <w:pgMar w:left="6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 333-166963 on Form S-8 of our reports dated February 27, 2019, relating to the financial statements and financial statement schedules of Clean Harbors, Inc. and subsidiaries, and the effectiveness of Clean Harbors, Inc.'s internal control over financial reporting, appearing in this Annual Report on Form 10-K of Clean Harbors, Inc. for the year ended December 31, 2018.</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420"/>
          </w:cols>
          <w:pgMar w:left="240" w:top="202"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Alan S. McKim and Michael L. Battles, signing singly, the undersigned’s true and lawful attorney-in-fact to:</w:t>
      </w:r>
    </w:p>
    <w:p>
      <w:pPr>
        <w:spacing w:after="0" w:line="116" w:lineRule="exact"/>
        <w:rPr>
          <w:sz w:val="20"/>
          <w:szCs w:val="20"/>
          <w:color w:val="auto"/>
        </w:rPr>
      </w:pPr>
    </w:p>
    <w:p>
      <w:pPr>
        <w:ind w:left="660" w:right="140" w:firstLine="645"/>
        <w:spacing w:after="0" w:line="264" w:lineRule="auto"/>
        <w:tabs>
          <w:tab w:leader="none" w:pos="17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127" w:lineRule="exact"/>
        <w:rPr>
          <w:rFonts w:ascii="Arial" w:cs="Arial" w:eastAsia="Arial" w:hAnsi="Arial"/>
          <w:sz w:val="18"/>
          <w:szCs w:val="18"/>
          <w:color w:val="auto"/>
        </w:rPr>
      </w:pPr>
    </w:p>
    <w:p>
      <w:pPr>
        <w:ind w:left="660" w:right="160" w:firstLine="645"/>
        <w:spacing w:after="0" w:line="264" w:lineRule="auto"/>
        <w:tabs>
          <w:tab w:leader="none" w:pos="17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127" w:lineRule="exact"/>
        <w:rPr>
          <w:rFonts w:ascii="Arial" w:cs="Arial" w:eastAsia="Arial" w:hAnsi="Arial"/>
          <w:sz w:val="18"/>
          <w:szCs w:val="18"/>
          <w:color w:val="auto"/>
        </w:rPr>
      </w:pPr>
    </w:p>
    <w:p>
      <w:pPr>
        <w:ind w:left="660" w:right="140" w:firstLine="645"/>
        <w:spacing w:after="0" w:line="277" w:lineRule="auto"/>
        <w:tabs>
          <w:tab w:leader="none" w:pos="17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11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27th day of February, 2019.</w:t>
      </w:r>
    </w:p>
    <w:p>
      <w:pPr>
        <w:spacing w:after="0" w:line="167" w:lineRule="exact"/>
        <w:rPr>
          <w:sz w:val="20"/>
          <w:szCs w:val="20"/>
          <w:color w:val="auto"/>
        </w:rPr>
      </w:pPr>
    </w:p>
    <w:p>
      <w:pPr>
        <w:ind w:left="7460"/>
        <w:spacing w:after="0"/>
        <w:rPr>
          <w:sz w:val="20"/>
          <w:szCs w:val="20"/>
          <w:color w:val="auto"/>
        </w:rPr>
      </w:pPr>
      <w:r>
        <w:rPr>
          <w:rFonts w:ascii="Arial" w:cs="Arial" w:eastAsia="Arial" w:hAnsi="Arial"/>
          <w:sz w:val="18"/>
          <w:szCs w:val="18"/>
          <w:b w:val="1"/>
          <w:bCs w:val="1"/>
          <w:u w:val="single" w:color="auto"/>
          <w:color w:val="auto"/>
        </w:rPr>
        <w:t>Signature</w:t>
      </w:r>
    </w:p>
    <w:p>
      <w:pPr>
        <w:spacing w:after="0" w:line="39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GENE BANUCCI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ROD MARLIN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2018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2018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year ended December 31, 2018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8" w:lineRule="exact"/>
        <w:rPr>
          <w:sz w:val="20"/>
          <w:szCs w:val="20"/>
          <w:color w:val="auto"/>
        </w:rPr>
      </w:pPr>
    </w:p>
    <w:p>
      <w:pPr>
        <w:ind w:left="40"/>
        <w:spacing w:after="0"/>
        <w:tabs>
          <w:tab w:leader="none" w:pos="700" w:val="left"/>
          <w:tab w:leader="none" w:pos="5980" w:val="left"/>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700" w:val="left"/>
          <w:tab w:leader="none" w:pos="5980" w:val="left"/>
          <w:tab w:leader="none" w:pos="7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L. Battles</w:t>
      </w:r>
    </w:p>
    <w:p>
      <w:pPr>
        <w:spacing w:after="0" w:line="58"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1)"/>
      <w:numFmt w:val="decimal"/>
      <w:start w:val="3"/>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lowerLetter"/>
      <w:start w:val="2"/>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2"/>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1"/>
      <w:numFmt w:val="decimal"/>
      <w:start w:val="10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3"/>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Letter"/>
      <w:start w:val="3"/>
    </w:lvl>
  </w:abstractNum>
  <w:abstractNum w:abstractNumId="38">
    <w:nsid w:val="3855585C"/>
    <w:multiLevelType w:val="hybridMultilevel"/>
    <w:lvl w:ilvl="0">
      <w:lvlJc w:val="left"/>
      <w:lvlText w:val="%1."/>
      <w:numFmt w:val="decimal"/>
      <w:start w:val="5"/>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lowerLetter"/>
      <w:start w:val="3"/>
    </w:lvl>
  </w:abstractNum>
  <w:abstractNum w:abstractNumId="42">
    <w:nsid w:val="1D4ED43B"/>
    <w:multiLevelType w:val="hybridMultilevel"/>
    <w:lvl w:ilvl="0">
      <w:lvlJc w:val="left"/>
      <w:lvlText w:val="%1."/>
      <w:numFmt w:val="decimal"/>
      <w:start w:val="5"/>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6" Type="http://schemas.openxmlformats.org/officeDocument/2006/relationships/image" Target="media/image10.png"/><Relationship Id="rId51" Type="http://schemas.openxmlformats.org/officeDocument/2006/relationships/image" Target="media/image11.png"/><Relationship Id="rId52" Type="http://schemas.openxmlformats.org/officeDocument/2006/relationships/image" Target="media/image12.png"/><Relationship Id="rId53" Type="http://schemas.openxmlformats.org/officeDocument/2006/relationships/image" Target="media/image13.png"/><Relationship Id="rId54"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17" Type="http://schemas.openxmlformats.org/officeDocument/2006/relationships/hyperlink" Target="http://www.sec.gov/Archives/edgar/data/822818/000092701602001196/d8k.txt" TargetMode="External"/><Relationship Id="rId18" Type="http://schemas.openxmlformats.org/officeDocument/2006/relationships/hyperlink" Target="http://www.sec.gov/Archives/edgar/data/822818/000092701602001496/dex22.txt" TargetMode="External"/><Relationship Id="rId19" Type="http://schemas.openxmlformats.org/officeDocument/2006/relationships/hyperlink" Target="http://www.sec.gov/Archives/edgar/data/822818/000092701602002924/dex23.htm" TargetMode="External"/><Relationship Id="rId20" Type="http://schemas.openxmlformats.org/officeDocument/2006/relationships/hyperlink" Target="http://www.sec.gov/Archives/edgar/data/822818/000092701602004686/dex24.txt" TargetMode="External"/><Relationship Id="rId21" Type="http://schemas.openxmlformats.org/officeDocument/2006/relationships/hyperlink" Target="http://www.sec.gov/Archives/edgar/data/822818/000119312503037927/dex25.htm" TargetMode="External"/><Relationship Id="rId22" Type="http://schemas.openxmlformats.org/officeDocument/2006/relationships/hyperlink" Target="http://www.sec.gov/Archives/edgar/data/822818/000110465912072515/a12-25471_1ex2d6.htm" TargetMode="External"/><Relationship Id="rId23" Type="http://schemas.openxmlformats.org/officeDocument/2006/relationships/hyperlink" Target="http://www.sec.gov/Archives/edgar/data/822818/000110465905024545/a05-9487_1ex3d1a.htm" TargetMode="External"/><Relationship Id="rId24" Type="http://schemas.openxmlformats.org/officeDocument/2006/relationships/hyperlink" Target="http://www.sec.gov/Archives/edgar/data/822818/000110465911028511/a11-12194_1ex3d1b.htm" TargetMode="External"/><Relationship Id="rId25" Type="http://schemas.openxmlformats.org/officeDocument/2006/relationships/hyperlink" Target="http://www.sec.gov/Archives/edgar/data/822818/000082281814000032/exhibit34d.htm" TargetMode="External"/><Relationship Id="rId26" Type="http://schemas.openxmlformats.org/officeDocument/2006/relationships/hyperlink" Target="http://www.sec.gov/Archives/edgar/data/822818/000082281816000061/ex434_11116.htm" TargetMode="External"/><Relationship Id="rId27" Type="http://schemas.openxmlformats.org/officeDocument/2006/relationships/hyperlink" Target="http://www.sec.gov/Archives/edgar/data/822818/000082281816000061/ex434b_11116.htm" TargetMode="External"/><Relationship Id="rId28" Type="http://schemas.openxmlformats.org/officeDocument/2006/relationships/hyperlink" Target="http://www.sec.gov/Archives/edgar/data/822818/000082281816000061/ex434c_11116.htm" TargetMode="External"/><Relationship Id="rId29" Type="http://schemas.openxmlformats.org/officeDocument/2006/relationships/hyperlink" Target="http://www.sec.gov/Archives/edgar/data/822818/000082281816000061/ex434d_11116.htm" TargetMode="External"/><Relationship Id="rId30" Type="http://schemas.openxmlformats.org/officeDocument/2006/relationships/hyperlink" Target="http://www.sec.gov/Archives/edgar/data/822818/000082281816000061/ex434e_11116.htm" TargetMode="External"/><Relationship Id="rId31" Type="http://schemas.openxmlformats.org/officeDocument/2006/relationships/hyperlink" Target="http://www.sec.gov/Archives/edgar/data/822818/000082281817000024/ex434f_firstamendmenttocre.htm" TargetMode="External"/><Relationship Id="rId32" Type="http://schemas.openxmlformats.org/officeDocument/2006/relationships/hyperlink" Target="http://www.sec.gov/Archives/edgar/data/822818/000082281817000024/ex434g_secondamendedandres.htm" TargetMode="External"/><Relationship Id="rId33" Type="http://schemas.openxmlformats.org/officeDocument/2006/relationships/hyperlink" Target="http://www.sec.gov/Archives/edgar/data/822818/000082281818000039/secondamendmenttocreditagr.htm" TargetMode="External"/><Relationship Id="rId34" Type="http://schemas.openxmlformats.org/officeDocument/2006/relationships/hyperlink" Target="http://www.sec.gov/Archives/edgar/data/822818/000110465912082933/a12-28924_1ex4d42.htm" TargetMode="External"/><Relationship Id="rId35" Type="http://schemas.openxmlformats.org/officeDocument/2006/relationships/hyperlink" Target="http://www.sec.gov/Archives/edgar/data/822818/000082281817000024/ex443_creditagreement.htm" TargetMode="External"/><Relationship Id="rId37" Type="http://schemas.openxmlformats.org/officeDocument/2006/relationships/hyperlink" Target="http://www.sec.gov/Archives/edgar/data/822818/000082281817000024/ex443asecurityagreement.htm" TargetMode="External"/><Relationship Id="rId38" Type="http://schemas.openxmlformats.org/officeDocument/2006/relationships/hyperlink" Target="http://www.sec.gov/Archives/edgar/data/822818/000082281818000013/exhibit443b.htm" TargetMode="External"/><Relationship Id="rId39" Type="http://schemas.openxmlformats.org/officeDocument/2006/relationships/hyperlink" Target="http://www.sec.gov/Archives/edgar/data/822818/000082281818000039/incrementalfacilityamendme.htm" TargetMode="External"/><Relationship Id="rId40" Type="http://schemas.openxmlformats.org/officeDocument/2006/relationships/hyperlink" Target="http://www.sec.gov/Archives/edgar/data/822818/000082281817000024/ex444_intercreditoragreeme.htm" TargetMode="External"/><Relationship Id="rId41" Type="http://schemas.openxmlformats.org/officeDocument/2006/relationships/hyperlink" Target="http://www.sec.gov/Archives/edgar/data/822818/0001047469-99-020385.txt" TargetMode="External"/><Relationship Id="rId42" Type="http://schemas.openxmlformats.org/officeDocument/2006/relationships/hyperlink" Target="http://www.sec.gov/Archives/edgar/data/822818/000104746911001635/a2202164zex-10_43a.htm" TargetMode="External"/><Relationship Id="rId43" Type="http://schemas.openxmlformats.org/officeDocument/2006/relationships/hyperlink" Target="http://www.sec.gov/Archives/edgar/data/822818/000082281817000011/clhproxy2017.htm" TargetMode="External"/><Relationship Id="rId44" Type="http://schemas.openxmlformats.org/officeDocument/2006/relationships/hyperlink" Target="http://www.sec.gov/Archives/edgar/data/822818/000110465910028581/a10-9981_1ex10d54.htm" TargetMode="External"/><Relationship Id="rId45" Type="http://schemas.openxmlformats.org/officeDocument/2006/relationships/hyperlink" Target="http://www.sec.gov/Archives/edgar/data/822818/000104746911001635/a2202164zex-10_54a.htm" TargetMode="External"/><Relationship Id="rId46" Type="http://schemas.openxmlformats.org/officeDocument/2006/relationships/hyperlink" Target="http://www.sec.gov/Archives/edgar/data/822818/000104746911001635/a2202164zex-10_54b.htm" TargetMode="External"/><Relationship Id="rId47" Type="http://schemas.openxmlformats.org/officeDocument/2006/relationships/hyperlink" Target="http://www.sec.gov/Archives/edgar/data/822818/000104746911001635/a2202164zex-10_54c.htm" TargetMode="External"/><Relationship Id="rId48" Type="http://schemas.openxmlformats.org/officeDocument/2006/relationships/hyperlink" Target="http://www.sec.gov/Archives/edgar/data/822818/000144530513000693/clhproxy2013.htm" TargetMode="External"/><Relationship Id="rId49" Type="http://schemas.openxmlformats.org/officeDocument/2006/relationships/hyperlink" Target="http://www.sec.gov/Archives/edgar/data/822818/000082281814000010/clhproxy2014.htm" TargetMode="External"/><Relationship Id="rId50" Type="http://schemas.openxmlformats.org/officeDocument/2006/relationships/hyperlink" Target="http://www.sec.gov/Archives/edgar/data/822818/000082281816000030/ex10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2019-12-28T16:00:42Z</dcterms:created>
  <dcterms:modified xsi:type="dcterms:W3CDTF">2019-12-28T16:00:42Z</dcterms:modified>
</cp:coreProperties>
</file>