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2"/>
          <w:szCs w:val="12"/>
          <w:color w:val="auto"/>
        </w:rPr>
        <w:t>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00" w:lineRule="exact"/>
        <w:rPr>
          <w:sz w:val="24"/>
          <w:szCs w:val="24"/>
          <w:color w:val="auto"/>
        </w:rPr>
      </w:pPr>
    </w:p>
    <w:p>
      <w:pPr>
        <w:ind w:left="2700" w:hanging="230"/>
        <w:spacing w:after="0"/>
        <w:tabs>
          <w:tab w:leader="none" w:pos="27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8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FOR THE QUARTERLY PERIOD ENDED MARCH 31, 2025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63" w:lineRule="exact"/>
        <w:rPr>
          <w:sz w:val="24"/>
          <w:szCs w:val="24"/>
          <w:color w:val="auto"/>
        </w:rPr>
      </w:pPr>
    </w:p>
    <w:p>
      <w:pPr>
        <w:ind w:left="2700" w:hanging="230"/>
        <w:spacing w:after="0"/>
        <w:tabs>
          <w:tab w:leader="none" w:pos="270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ectPr>
          <w:pgSz w:w="11900" w:h="16838" w:orient="portrait"/>
          <w:cols w:equalWidth="0" w:num="1">
            <w:col w:w="11280"/>
          </w:cols>
          <w:pgMar w:left="300" w:top="201" w:right="319" w:bottom="1440" w:gutter="0" w:footer="0" w:header="0"/>
        </w:sectPr>
      </w:pPr>
    </w:p>
    <w:p>
      <w:pPr>
        <w:spacing w:after="0" w:line="11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4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1"/>
          <w:szCs w:val="11"/>
          <w:b w:val="1"/>
          <w:bCs w:val="1"/>
          <w:color w:val="auto"/>
        </w:rPr>
        <w:t>Commission File Number 001-34223</w:t>
      </w:r>
    </w:p>
    <w:p>
      <w:pPr>
        <w:spacing w:after="0" w:line="3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2"/>
          <w:szCs w:val="12"/>
          <w:color w:val="auto"/>
        </w:rPr>
        <w:t>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26670</wp:posOffset>
            </wp:positionV>
            <wp:extent cx="1423035" cy="434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4343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w:t>
      </w:r>
    </w:p>
    <w:p>
      <w:pPr>
        <w:spacing w:after="0" w:line="550" w:lineRule="exact"/>
        <w:rPr>
          <w:sz w:val="24"/>
          <w:szCs w:val="24"/>
          <w:color w:val="auto"/>
        </w:rPr>
      </w:pPr>
    </w:p>
    <w:p>
      <w:pPr>
        <w:sectPr>
          <w:pgSz w:w="11900" w:h="16838" w:orient="portrait"/>
          <w:cols w:equalWidth="0" w:num="2">
            <w:col w:w="6580" w:space="120"/>
            <w:col w:w="4580"/>
          </w:cols>
          <w:pgMar w:left="300" w:top="201"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CLEAN HARBORS, INC.</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83" w:lineRule="exact"/>
        <w:rPr>
          <w:sz w:val="24"/>
          <w:szCs w:val="24"/>
          <w:color w:val="auto"/>
        </w:rPr>
      </w:pPr>
    </w:p>
    <w:tbl>
      <w:tblPr>
        <w:tblLayout w:type="fixed"/>
        <w:tblInd w:w="2620" w:type="dxa"/>
        <w:tblCellMar>
          <w:top w:w="0" w:type="dxa"/>
          <w:left w:w="0" w:type="dxa"/>
          <w:bottom w:w="0" w:type="dxa"/>
          <w:right w:w="0" w:type="dxa"/>
        </w:tblCellMar>
      </w:tblPr>
      <w:tr>
        <w:trPr>
          <w:trHeight w:val="157"/>
        </w:trPr>
        <w:tc>
          <w:tcPr>
            <w:tcW w:w="3640" w:type="dxa"/>
            <w:vAlign w:val="bottom"/>
          </w:tcPr>
          <w:p>
            <w:pPr>
              <w:ind w:left="1240"/>
              <w:spacing w:after="0"/>
              <w:rPr>
                <w:sz w:val="20"/>
                <w:szCs w:val="20"/>
                <w:color w:val="auto"/>
              </w:rPr>
            </w:pPr>
            <w:r>
              <w:rPr>
                <w:rFonts w:ascii="Times New Roman" w:cs="Times New Roman" w:eastAsia="Times New Roman" w:hAnsi="Times New Roman"/>
                <w:sz w:val="12"/>
                <w:szCs w:val="12"/>
                <w:b w:val="1"/>
                <w:bCs w:val="1"/>
                <w:color w:val="auto"/>
              </w:rPr>
              <w:t>Massachusetts</w:t>
            </w:r>
          </w:p>
        </w:tc>
        <w:tc>
          <w:tcPr>
            <w:tcW w:w="2380" w:type="dxa"/>
            <w:vAlign w:val="bottom"/>
          </w:tcPr>
          <w:p>
            <w:pPr>
              <w:jc w:val="center"/>
              <w:ind w:left="660"/>
              <w:spacing w:after="0"/>
              <w:rPr>
                <w:sz w:val="20"/>
                <w:szCs w:val="20"/>
                <w:color w:val="auto"/>
              </w:rPr>
            </w:pPr>
            <w:r>
              <w:rPr>
                <w:rFonts w:ascii="Times New Roman" w:cs="Times New Roman" w:eastAsia="Times New Roman" w:hAnsi="Times New Roman"/>
                <w:sz w:val="12"/>
                <w:szCs w:val="12"/>
                <w:b w:val="1"/>
                <w:bCs w:val="1"/>
                <w:color w:val="auto"/>
                <w:w w:val="99"/>
              </w:rPr>
              <w:t>04-2997780</w:t>
            </w:r>
          </w:p>
        </w:tc>
      </w:tr>
      <w:tr>
        <w:trPr>
          <w:trHeight w:val="149"/>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c>
          <w:tcPr>
            <w:tcW w:w="2380" w:type="dxa"/>
            <w:vAlign w:val="bottom"/>
          </w:tcPr>
          <w:p>
            <w:pPr>
              <w:jc w:val="center"/>
              <w:ind w:left="66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157"/>
        </w:trPr>
        <w:tc>
          <w:tcPr>
            <w:tcW w:w="3640" w:type="dxa"/>
            <w:vAlign w:val="bottom"/>
          </w:tcPr>
          <w:p>
            <w:pPr>
              <w:ind w:left="620"/>
              <w:spacing w:after="0"/>
              <w:rPr>
                <w:sz w:val="20"/>
                <w:szCs w:val="20"/>
                <w:color w:val="auto"/>
              </w:rPr>
            </w:pPr>
            <w:r>
              <w:rPr>
                <w:rFonts w:ascii="Times New Roman" w:cs="Times New Roman" w:eastAsia="Times New Roman" w:hAnsi="Times New Roman"/>
                <w:sz w:val="12"/>
                <w:szCs w:val="12"/>
                <w:b w:val="1"/>
                <w:bCs w:val="1"/>
                <w:color w:val="auto"/>
              </w:rPr>
              <w:t>42 Longwater Drive Norwell  MA</w:t>
            </w:r>
          </w:p>
        </w:tc>
        <w:tc>
          <w:tcPr>
            <w:tcW w:w="2380" w:type="dxa"/>
            <w:vAlign w:val="bottom"/>
          </w:tcPr>
          <w:p>
            <w:pPr>
              <w:jc w:val="center"/>
              <w:ind w:left="660"/>
              <w:spacing w:after="0"/>
              <w:rPr>
                <w:sz w:val="20"/>
                <w:szCs w:val="20"/>
                <w:color w:val="auto"/>
              </w:rPr>
            </w:pPr>
            <w:r>
              <w:rPr>
                <w:rFonts w:ascii="Times New Roman" w:cs="Times New Roman" w:eastAsia="Times New Roman" w:hAnsi="Times New Roman"/>
                <w:sz w:val="12"/>
                <w:szCs w:val="12"/>
                <w:b w:val="1"/>
                <w:bCs w:val="1"/>
                <w:color w:val="auto"/>
                <w:w w:val="99"/>
              </w:rPr>
              <w:t>02061-9149</w:t>
            </w:r>
          </w:p>
        </w:tc>
      </w:tr>
      <w:tr>
        <w:trPr>
          <w:trHeight w:val="155"/>
        </w:trPr>
        <w:tc>
          <w:tcPr>
            <w:tcW w:w="364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380" w:type="dxa"/>
            <w:vAlign w:val="bottom"/>
          </w:tcPr>
          <w:p>
            <w:pPr>
              <w:jc w:val="center"/>
              <w:ind w:left="640"/>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(781) 792-5000</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01" w:lineRule="exact"/>
        <w:rPr>
          <w:sz w:val="24"/>
          <w:szCs w:val="24"/>
          <w:color w:val="auto"/>
        </w:rPr>
      </w:pPr>
    </w:p>
    <w:tbl>
      <w:tblPr>
        <w:tblLayout w:type="fixed"/>
        <w:tblInd w:w="840" w:type="dxa"/>
        <w:tblCellMar>
          <w:top w:w="0" w:type="dxa"/>
          <w:left w:w="0" w:type="dxa"/>
          <w:bottom w:w="0" w:type="dxa"/>
          <w:right w:w="0" w:type="dxa"/>
        </w:tblCellMar>
      </w:tblPr>
      <w:tr>
        <w:trPr>
          <w:trHeight w:val="159"/>
        </w:trPr>
        <w:tc>
          <w:tcPr>
            <w:tcW w:w="32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$0.01 par value</w:t>
            </w:r>
          </w:p>
        </w:tc>
        <w:tc>
          <w:tcPr>
            <w:tcW w:w="80" w:type="dxa"/>
            <w:vAlign w:val="bottom"/>
          </w:tcPr>
          <w:p>
            <w:pPr>
              <w:spacing w:after="0"/>
              <w:rPr>
                <w:sz w:val="12"/>
                <w:szCs w:val="12"/>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CLH</w:t>
            </w:r>
          </w:p>
        </w:tc>
        <w:tc>
          <w:tcPr>
            <w:tcW w:w="100" w:type="dxa"/>
            <w:vAlign w:val="bottom"/>
          </w:tcPr>
          <w:p>
            <w:pPr>
              <w:spacing w:after="0"/>
              <w:rPr>
                <w:sz w:val="12"/>
                <w:szCs w:val="12"/>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22" w:lineRule="exact"/>
        <w:rPr>
          <w:sz w:val="24"/>
          <w:szCs w:val="24"/>
          <w:color w:val="auto"/>
        </w:rPr>
      </w:pPr>
    </w:p>
    <w:p>
      <w:pPr>
        <w:ind w:right="60" w:firstLine="216"/>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4" w:lineRule="exact"/>
        <w:rPr>
          <w:sz w:val="24"/>
          <w:szCs w:val="24"/>
          <w:color w:val="auto"/>
        </w:rPr>
      </w:pPr>
    </w:p>
    <w:p>
      <w:pPr>
        <w:ind w:firstLine="216"/>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4" w:lineRule="exact"/>
        <w:rPr>
          <w:sz w:val="24"/>
          <w:szCs w:val="24"/>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“merging growth company” in Rule 12b-2 of the Exchange Act. (Check one):</w:t>
      </w:r>
    </w:p>
    <w:p>
      <w:pPr>
        <w:sectPr>
          <w:pgSz w:w="11900" w:h="16838" w:orient="portrait"/>
          <w:cols w:equalWidth="0" w:num="1">
            <w:col w:w="11280"/>
          </w:cols>
          <w:pgMar w:left="300" w:top="201" w:right="319" w:bottom="1440" w:gutter="0" w:footer="0" w:header="0"/>
          <w:type w:val="continuous"/>
        </w:sectPr>
      </w:pP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83" w:lineRule="exact"/>
        <w:rPr>
          <w:sz w:val="20"/>
          <w:szCs w:val="20"/>
          <w:color w:val="auto"/>
        </w:rPr>
      </w:pPr>
      <w:r>
        <w:rPr>
          <w:rFonts w:ascii="MS PGothic" w:cs="MS PGothic" w:eastAsia="MS PGothic" w:hAnsi="MS PGothic"/>
          <w:sz w:val="10"/>
          <w:szCs w:val="10"/>
          <w:color w:val="auto"/>
        </w:rPr>
        <w:t>☒</w:t>
      </w:r>
    </w:p>
    <w:p>
      <w:pPr>
        <w:spacing w:after="0" w:line="8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ind w:left="520"/>
        <w:spacing w:after="0" w:line="109"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67"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27"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32" w:lineRule="exact"/>
        <w:rPr>
          <w:sz w:val="24"/>
          <w:szCs w:val="24"/>
          <w:color w:val="auto"/>
        </w:rPr>
      </w:pPr>
    </w:p>
    <w:p>
      <w:pPr>
        <w:sectPr>
          <w:pgSz w:w="11900" w:h="16838" w:orient="portrait"/>
          <w:cols w:equalWidth="0" w:num="3">
            <w:col w:w="3420" w:space="120"/>
            <w:col w:w="3920" w:space="720"/>
            <w:col w:w="3100"/>
          </w:cols>
          <w:pgMar w:left="300" w:top="201" w:right="319" w:bottom="1440" w:gutter="0" w:footer="0" w:header="0"/>
          <w:type w:val="continuous"/>
        </w:sectPr>
      </w:pPr>
    </w:p>
    <w:p>
      <w:pPr>
        <w:ind w:firstLine="216"/>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5" w:lineRule="exact"/>
        <w:rPr>
          <w:sz w:val="24"/>
          <w:szCs w:val="24"/>
          <w:color w:val="auto"/>
        </w:rPr>
      </w:pPr>
    </w:p>
    <w:p>
      <w:pPr>
        <w:ind w:left="200" w:right="4920"/>
        <w:spacing w:after="0" w:line="20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by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The number of shares of Common Stock, $0.01 par value, of the registrant outstanding at April 25, 2025 was 53,579,601.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490220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20" w:type="dxa"/>
            <w:vAlign w:val="bottom"/>
            <w:gridSpan w:val="4"/>
          </w:tcPr>
          <w:p>
            <w:pPr>
              <w:jc w:val="center"/>
              <w:ind w:right="3880"/>
              <w:spacing w:after="0"/>
              <w:rPr>
                <w:sz w:val="20"/>
                <w:szCs w:val="20"/>
                <w:color w:val="auto"/>
              </w:rPr>
            </w:pPr>
            <w:r>
              <w:rPr>
                <w:rFonts w:ascii="Times New Roman" w:cs="Times New Roman" w:eastAsia="Times New Roman" w:hAnsi="Times New Roman"/>
                <w:sz w:val="12"/>
                <w:szCs w:val="12"/>
                <w:b w:val="1"/>
                <w:bCs w:val="1"/>
                <w:color w:val="auto"/>
              </w:rPr>
              <w:t>CLEAN HARBORS, INC.</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40" w:type="dxa"/>
            <w:vAlign w:val="bottom"/>
            <w:gridSpan w:val="6"/>
          </w:tcPr>
          <w:p>
            <w:pPr>
              <w:jc w:val="center"/>
              <w:ind w:right="2760"/>
              <w:spacing w:after="0"/>
              <w:rPr>
                <w:sz w:val="20"/>
                <w:szCs w:val="20"/>
                <w:color w:val="auto"/>
              </w:rPr>
            </w:pPr>
            <w:r>
              <w:rPr>
                <w:rFonts w:ascii="Times New Roman" w:cs="Times New Roman" w:eastAsia="Times New Roman" w:hAnsi="Times New Roman"/>
                <w:sz w:val="12"/>
                <w:szCs w:val="12"/>
                <w:b w:val="1"/>
                <w:bCs w:val="1"/>
                <w:color w:val="auto"/>
                <w:w w:val="98"/>
              </w:rPr>
              <w:t>QUARTERLY REPORT ON FORM 10-Q</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gridSpan w:val="4"/>
          </w:tcPr>
          <w:p>
            <w:pPr>
              <w:jc w:val="center"/>
              <w:ind w:right="388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60" w:type="dxa"/>
            <w:vAlign w:val="bottom"/>
            <w:gridSpan w:val="3"/>
          </w:tcPr>
          <w:p>
            <w:pPr>
              <w:ind w:left="240"/>
              <w:spacing w:after="0"/>
              <w:rPr>
                <w:sz w:val="20"/>
                <w:szCs w:val="20"/>
                <w:color w:val="auto"/>
              </w:rPr>
            </w:pPr>
            <w:r>
              <w:rPr>
                <w:rFonts w:ascii="Times New Roman" w:cs="Times New Roman" w:eastAsia="Times New Roman" w:hAnsi="Times New Roman"/>
                <w:sz w:val="10"/>
                <w:szCs w:val="10"/>
                <w:b w:val="1"/>
                <w:bCs w:val="1"/>
                <w:color w:val="auto"/>
              </w:rPr>
              <w:t>Page No.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20" w:type="dxa"/>
            <w:vAlign w:val="bottom"/>
            <w:gridSpan w:val="5"/>
          </w:tcPr>
          <w:p>
            <w:pPr>
              <w:jc w:val="center"/>
              <w:ind w:right="3780"/>
              <w:spacing w:after="0"/>
              <w:rPr>
                <w:sz w:val="20"/>
                <w:szCs w:val="20"/>
                <w:color w:val="auto"/>
              </w:rPr>
            </w:pPr>
            <w:r>
              <w:rPr>
                <w:rFonts w:ascii="Times New Roman" w:cs="Times New Roman" w:eastAsia="Times New Roman" w:hAnsi="Times New Roman"/>
                <w:sz w:val="12"/>
                <w:szCs w:val="12"/>
                <w:b w:val="1"/>
                <w:bCs w:val="1"/>
                <w:color w:val="0000FF"/>
                <w:w w:val="98"/>
              </w:rPr>
              <w:t>PART I: FINANCIAL INFORMATION</w:t>
            </w: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gridSpan w:val="19"/>
          </w:tcPr>
          <w:p>
            <w:pPr>
              <w:spacing w:after="0"/>
              <w:rPr>
                <w:sz w:val="20"/>
                <w:szCs w:val="20"/>
                <w:color w:val="auto"/>
              </w:rPr>
            </w:pPr>
            <w:r>
              <w:rPr>
                <w:rFonts w:ascii="Times New Roman" w:cs="Times New Roman" w:eastAsia="Times New Roman" w:hAnsi="Times New Roman"/>
                <w:sz w:val="12"/>
                <w:szCs w:val="12"/>
                <w:b w:val="1"/>
                <w:bCs w:val="1"/>
                <w:color w:val="0000FF"/>
              </w:rPr>
              <w:t>ITEM 1: Unaudited Consolidated Financial Statements</w:t>
            </w:r>
          </w:p>
        </w:tc>
        <w:tc>
          <w:tcPr>
            <w:tcW w:w="2040" w:type="dxa"/>
            <w:vAlign w:val="bottom"/>
            <w:tcBorders>
              <w:top w:val="single" w:sz="8" w:color="0000FF"/>
            </w:tcBorders>
            <w:gridSpan w:val="4"/>
          </w:tcPr>
          <w:p>
            <w:pPr>
              <w:spacing w:after="0"/>
              <w:rPr>
                <w:sz w:val="14"/>
                <w:szCs w:val="14"/>
                <w:color w:val="auto"/>
              </w:rPr>
            </w:pPr>
          </w:p>
        </w:tc>
        <w:tc>
          <w:tcPr>
            <w:tcW w:w="3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0" w:type="dxa"/>
            <w:vAlign w:val="bottom"/>
            <w:tcBorders>
              <w:top w:val="single" w:sz="8" w:color="0000FF"/>
              <w:bottom w:val="single" w:sz="8" w:color="0000FF"/>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FF"/>
                <w:w w:val="99"/>
              </w:rPr>
              <w:t>Consolidated Balance Sheets</w:t>
            </w:r>
          </w:p>
        </w:tc>
        <w:tc>
          <w:tcPr>
            <w:tcW w:w="1360" w:type="dxa"/>
            <w:vAlign w:val="bottom"/>
            <w:tcBorders>
              <w:top w:val="single" w:sz="8" w:color="0000FF"/>
            </w:tcBorders>
            <w:gridSpan w:val="7"/>
          </w:tcPr>
          <w:p>
            <w:pPr>
              <w:spacing w:after="0"/>
              <w:rPr>
                <w:sz w:val="11"/>
                <w:szCs w:val="11"/>
                <w:color w:val="auto"/>
              </w:rPr>
            </w:pPr>
          </w:p>
        </w:tc>
        <w:tc>
          <w:tcPr>
            <w:tcW w:w="7600" w:type="dxa"/>
            <w:vAlign w:val="bottom"/>
            <w:gridSpan w:val="10"/>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tcBorders>
              <w:bottom w:val="single" w:sz="8" w:color="0000FF"/>
            </w:tcBorders>
            <w:gridSpan w:val="10"/>
          </w:tcPr>
          <w:p>
            <w:pPr>
              <w:spacing w:after="0" w:line="133" w:lineRule="exact"/>
              <w:rPr>
                <w:sz w:val="20"/>
                <w:szCs w:val="20"/>
                <w:color w:val="auto"/>
              </w:rPr>
            </w:pPr>
            <w:r>
              <w:rPr>
                <w:rFonts w:ascii="Times New Roman" w:cs="Times New Roman" w:eastAsia="Times New Roman" w:hAnsi="Times New Roman"/>
                <w:sz w:val="12"/>
                <w:szCs w:val="12"/>
                <w:color w:val="0000FF"/>
                <w:w w:val="99"/>
              </w:rPr>
              <w:t>Unaudited Consolidated Statements of Operations</w:t>
            </w:r>
          </w:p>
        </w:tc>
        <w:tc>
          <w:tcPr>
            <w:tcW w:w="7940" w:type="dxa"/>
            <w:vAlign w:val="bottom"/>
            <w:gridSpan w:val="13"/>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360" w:type="dxa"/>
            <w:vAlign w:val="bottom"/>
            <w:gridSpan w:val="23"/>
          </w:tcPr>
          <w:p>
            <w:pPr>
              <w:spacing w:after="0" w:line="133" w:lineRule="exact"/>
              <w:rPr>
                <w:sz w:val="20"/>
                <w:szCs w:val="20"/>
                <w:color w:val="auto"/>
              </w:rPr>
            </w:pPr>
            <w:r>
              <w:rPr>
                <w:rFonts w:ascii="Times New Roman" w:cs="Times New Roman" w:eastAsia="Times New Roman" w:hAnsi="Times New Roman"/>
                <w:sz w:val="12"/>
                <w:szCs w:val="12"/>
                <w:color w:val="0000FF"/>
              </w:rPr>
              <w:t>Unaudited Consolidated Statements of Comprehensive Income</w:t>
            </w: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20" w:type="dxa"/>
            <w:vAlign w:val="bottom"/>
            <w:tcBorders>
              <w:top w:val="single" w:sz="8" w:color="0000FF"/>
            </w:tcBorders>
            <w:gridSpan w:val="15"/>
          </w:tcPr>
          <w:p>
            <w:pPr>
              <w:spacing w:after="0" w:line="133" w:lineRule="exact"/>
              <w:rPr>
                <w:sz w:val="20"/>
                <w:szCs w:val="20"/>
                <w:color w:val="auto"/>
              </w:rPr>
            </w:pPr>
            <w:r>
              <w:rPr>
                <w:rFonts w:ascii="Times New Roman" w:cs="Times New Roman" w:eastAsia="Times New Roman" w:hAnsi="Times New Roman"/>
                <w:sz w:val="12"/>
                <w:szCs w:val="12"/>
                <w:color w:val="0000FF"/>
              </w:rPr>
              <w:t>Unaudited Consolidated Statements of Cash Flows</w:t>
            </w:r>
          </w:p>
        </w:tc>
        <w:tc>
          <w:tcPr>
            <w:tcW w:w="7340" w:type="dxa"/>
            <w:vAlign w:val="bottom"/>
            <w:gridSpan w:val="8"/>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00" w:type="dxa"/>
            <w:vAlign w:val="bottom"/>
            <w:tcBorders>
              <w:bottom w:val="single" w:sz="8" w:color="0000FF"/>
            </w:tcBorders>
            <w:gridSpan w:val="14"/>
          </w:tcPr>
          <w:p>
            <w:pPr>
              <w:spacing w:after="0" w:line="133" w:lineRule="exact"/>
              <w:rPr>
                <w:sz w:val="20"/>
                <w:szCs w:val="20"/>
                <w:color w:val="auto"/>
              </w:rPr>
            </w:pPr>
            <w:r>
              <w:rPr>
                <w:rFonts w:ascii="Times New Roman" w:cs="Times New Roman" w:eastAsia="Times New Roman" w:hAnsi="Times New Roman"/>
                <w:sz w:val="12"/>
                <w:szCs w:val="12"/>
                <w:color w:val="0000FF"/>
                <w:w w:val="99"/>
              </w:rPr>
              <w:t>Unaudited Consolidated Statements of Stockholders’ Equity</w:t>
            </w:r>
          </w:p>
        </w:tc>
        <w:tc>
          <w:tcPr>
            <w:tcW w:w="7460" w:type="dxa"/>
            <w:vAlign w:val="bottom"/>
            <w:gridSpan w:val="9"/>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40" w:type="dxa"/>
            <w:vAlign w:val="bottom"/>
            <w:tcBorders>
              <w:bottom w:val="single" w:sz="8" w:color="0000FF"/>
            </w:tcBorders>
            <w:gridSpan w:val="12"/>
          </w:tcPr>
          <w:p>
            <w:pPr>
              <w:spacing w:after="0" w:line="133" w:lineRule="exact"/>
              <w:rPr>
                <w:sz w:val="20"/>
                <w:szCs w:val="20"/>
                <w:color w:val="auto"/>
              </w:rPr>
            </w:pPr>
            <w:r>
              <w:rPr>
                <w:rFonts w:ascii="Times New Roman" w:cs="Times New Roman" w:eastAsia="Times New Roman" w:hAnsi="Times New Roman"/>
                <w:sz w:val="12"/>
                <w:szCs w:val="12"/>
                <w:color w:val="0000FF"/>
                <w:w w:val="99"/>
              </w:rPr>
              <w:t>Notes to Unaudited Consolidated Financial Statements</w:t>
            </w:r>
          </w:p>
        </w:tc>
        <w:tc>
          <w:tcPr>
            <w:tcW w:w="7720" w:type="dxa"/>
            <w:vAlign w:val="bottom"/>
            <w:gridSpan w:val="11"/>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2"/>
                <w:szCs w:val="12"/>
                <w:b w:val="1"/>
                <w:bCs w:val="1"/>
                <w:color w:val="0000FF"/>
              </w:rPr>
              <w:t>ITEM 2: Management’s Discussion and Analysis of Financial Condition and Results of Operations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gridSpan w:val="21"/>
          </w:tcPr>
          <w:p>
            <w:pPr>
              <w:spacing w:after="0"/>
              <w:rPr>
                <w:sz w:val="20"/>
                <w:szCs w:val="20"/>
                <w:color w:val="auto"/>
              </w:rPr>
            </w:pPr>
            <w:r>
              <w:rPr>
                <w:rFonts w:ascii="Times New Roman" w:cs="Times New Roman" w:eastAsia="Times New Roman" w:hAnsi="Times New Roman"/>
                <w:sz w:val="12"/>
                <w:szCs w:val="12"/>
                <w:b w:val="1"/>
                <w:bCs w:val="1"/>
                <w:color w:val="0000FF"/>
              </w:rPr>
              <w:t>ITEM 3: Quantitative and Qualitative Disclosures About Market Risk</w:t>
            </w:r>
          </w:p>
        </w:tc>
        <w:tc>
          <w:tcPr>
            <w:tcW w:w="5400" w:type="dxa"/>
            <w:vAlign w:val="bottom"/>
            <w:gridSpan w:val="3"/>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0000FF"/>
            </w:tcBorders>
            <w:gridSpan w:val="18"/>
            <w:vMerge w:val="restart"/>
          </w:tcPr>
          <w:p>
            <w:pPr>
              <w:spacing w:after="0"/>
              <w:rPr>
                <w:sz w:val="20"/>
                <w:szCs w:val="20"/>
                <w:color w:val="auto"/>
              </w:rPr>
            </w:pPr>
            <w:r>
              <w:rPr>
                <w:rFonts w:ascii="Times New Roman" w:cs="Times New Roman" w:eastAsia="Times New Roman" w:hAnsi="Times New Roman"/>
                <w:sz w:val="12"/>
                <w:szCs w:val="12"/>
                <w:b w:val="1"/>
                <w:bCs w:val="1"/>
                <w:color w:val="0000FF"/>
              </w:rPr>
              <w:t>ITEM 4: Controls and Procedures</w:t>
            </w:r>
          </w:p>
        </w:tc>
        <w:tc>
          <w:tcPr>
            <w:tcW w:w="6840" w:type="dxa"/>
            <w:vAlign w:val="bottom"/>
            <w:gridSpan w:val="6"/>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18"/>
            <w:vMerge w:val="continue"/>
          </w:tcPr>
          <w:p>
            <w:pPr>
              <w:spacing w:after="0"/>
              <w:rPr>
                <w:sz w:val="12"/>
                <w:szCs w:val="12"/>
                <w:color w:val="auto"/>
              </w:rPr>
            </w:pPr>
          </w:p>
        </w:tc>
        <w:tc>
          <w:tcPr>
            <w:tcW w:w="6840" w:type="dxa"/>
            <w:vAlign w:val="bottom"/>
            <w:gridSpan w:val="6"/>
            <w:vMerge w:val="continue"/>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20" w:type="dxa"/>
            <w:vAlign w:val="bottom"/>
            <w:gridSpan w:val="4"/>
          </w:tcPr>
          <w:p>
            <w:pPr>
              <w:jc w:val="center"/>
              <w:ind w:right="3860"/>
              <w:spacing w:after="0"/>
              <w:rPr>
                <w:sz w:val="20"/>
                <w:szCs w:val="20"/>
                <w:color w:val="auto"/>
              </w:rPr>
            </w:pPr>
            <w:r>
              <w:rPr>
                <w:rFonts w:ascii="Times New Roman" w:cs="Times New Roman" w:eastAsia="Times New Roman" w:hAnsi="Times New Roman"/>
                <w:sz w:val="12"/>
                <w:szCs w:val="12"/>
                <w:b w:val="1"/>
                <w:bCs w:val="1"/>
                <w:color w:val="0000FF"/>
                <w:w w:val="99"/>
              </w:rPr>
              <w:t>PART II: OTHER INFORMATION</w:t>
            </w:r>
          </w:p>
        </w:tc>
        <w:tc>
          <w:tcPr>
            <w:tcW w:w="7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gridSpan w:val="20"/>
          </w:tcPr>
          <w:p>
            <w:pPr>
              <w:spacing w:after="0"/>
              <w:rPr>
                <w:sz w:val="20"/>
                <w:szCs w:val="20"/>
                <w:color w:val="auto"/>
              </w:rPr>
            </w:pPr>
            <w:r>
              <w:rPr>
                <w:rFonts w:ascii="Times New Roman" w:cs="Times New Roman" w:eastAsia="Times New Roman" w:hAnsi="Times New Roman"/>
                <w:sz w:val="12"/>
                <w:szCs w:val="12"/>
                <w:b w:val="1"/>
                <w:bCs w:val="1"/>
                <w:color w:val="0000FF"/>
              </w:rPr>
              <w:t>ITEM 1: Legal Proceedings</w:t>
            </w:r>
          </w:p>
        </w:tc>
        <w:tc>
          <w:tcPr>
            <w:tcW w:w="1840" w:type="dxa"/>
            <w:vAlign w:val="bottom"/>
            <w:tcBorders>
              <w:top w:val="single" w:sz="8" w:color="0000FF"/>
            </w:tcBorders>
            <w:gridSpan w:val="2"/>
          </w:tcPr>
          <w:p>
            <w:pPr>
              <w:spacing w:after="0"/>
              <w:rPr>
                <w:sz w:val="14"/>
                <w:szCs w:val="14"/>
                <w:color w:val="auto"/>
              </w:rPr>
            </w:pPr>
          </w:p>
        </w:tc>
        <w:tc>
          <w:tcPr>
            <w:tcW w:w="3880" w:type="dxa"/>
            <w:vAlign w:val="bottom"/>
            <w:gridSpan w:val="2"/>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40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b w:val="1"/>
                <w:bCs w:val="1"/>
                <w:color w:val="0000FF"/>
              </w:rPr>
              <w:t>ITEM 1A: Risk Factors</w:t>
            </w:r>
          </w:p>
        </w:tc>
        <w:tc>
          <w:tcPr>
            <w:tcW w:w="9020" w:type="dxa"/>
            <w:vAlign w:val="bottom"/>
            <w:gridSpan w:val="19"/>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gridSpan w:val="17"/>
          </w:tcPr>
          <w:p>
            <w:pPr>
              <w:spacing w:after="0" w:line="133" w:lineRule="exact"/>
              <w:rPr>
                <w:sz w:val="20"/>
                <w:szCs w:val="20"/>
                <w:color w:val="auto"/>
              </w:rPr>
            </w:pPr>
            <w:r>
              <w:rPr>
                <w:rFonts w:ascii="Times New Roman" w:cs="Times New Roman" w:eastAsia="Times New Roman" w:hAnsi="Times New Roman"/>
                <w:sz w:val="12"/>
                <w:szCs w:val="12"/>
                <w:b w:val="1"/>
                <w:bCs w:val="1"/>
                <w:color w:val="0000FF"/>
                <w:w w:val="99"/>
              </w:rPr>
              <w:t>ITEM 2: Unregistered Sales of Equity Securities and Use of Proceeds</w:t>
            </w:r>
          </w:p>
        </w:tc>
        <w:tc>
          <w:tcPr>
            <w:tcW w:w="6900" w:type="dxa"/>
            <w:vAlign w:val="bottom"/>
            <w:gridSpan w:val="7"/>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0000FF"/>
            </w:tcBorders>
            <w:gridSpan w:val="17"/>
            <w:vMerge w:val="restart"/>
          </w:tcPr>
          <w:p>
            <w:pPr>
              <w:spacing w:after="0" w:line="133" w:lineRule="exact"/>
              <w:rPr>
                <w:sz w:val="20"/>
                <w:szCs w:val="20"/>
                <w:color w:val="auto"/>
              </w:rPr>
            </w:pPr>
            <w:r>
              <w:rPr>
                <w:rFonts w:ascii="Times New Roman" w:cs="Times New Roman" w:eastAsia="Times New Roman" w:hAnsi="Times New Roman"/>
                <w:sz w:val="12"/>
                <w:szCs w:val="12"/>
                <w:b w:val="1"/>
                <w:bCs w:val="1"/>
                <w:color w:val="0000FF"/>
              </w:rPr>
              <w:t>ITEM 3: Defaults Upon Senior Securities</w:t>
            </w:r>
          </w:p>
        </w:tc>
        <w:tc>
          <w:tcPr>
            <w:tcW w:w="6900" w:type="dxa"/>
            <w:vAlign w:val="bottom"/>
            <w:gridSpan w:val="7"/>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3520" w:type="dxa"/>
            <w:vAlign w:val="bottom"/>
            <w:gridSpan w:val="17"/>
            <w:vMerge w:val="continue"/>
          </w:tcPr>
          <w:p>
            <w:pPr>
              <w:spacing w:after="0"/>
              <w:rPr>
                <w:sz w:val="9"/>
                <w:szCs w:val="9"/>
                <w:color w:val="auto"/>
              </w:rPr>
            </w:pPr>
          </w:p>
        </w:tc>
        <w:tc>
          <w:tcPr>
            <w:tcW w:w="6900" w:type="dxa"/>
            <w:vAlign w:val="bottom"/>
            <w:gridSpan w:val="7"/>
            <w:vMerge w:val="continue"/>
          </w:tcPr>
          <w:p>
            <w:pPr>
              <w:spacing w:after="0"/>
              <w:rPr>
                <w:sz w:val="9"/>
                <w:szCs w:val="9"/>
                <w:color w:val="auto"/>
              </w:rPr>
            </w:pPr>
          </w:p>
        </w:tc>
        <w:tc>
          <w:tcPr>
            <w:tcW w:w="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2"/>
                <w:szCs w:val="12"/>
                <w:color w:val="0000FF"/>
              </w:rPr>
              <w:t>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gridSpan w:val="8"/>
          </w:tcPr>
          <w:p>
            <w:pPr>
              <w:spacing w:after="0" w:line="133" w:lineRule="exact"/>
              <w:rPr>
                <w:sz w:val="20"/>
                <w:szCs w:val="20"/>
                <w:color w:val="auto"/>
              </w:rPr>
            </w:pPr>
            <w:r>
              <w:rPr>
                <w:rFonts w:ascii="Times New Roman" w:cs="Times New Roman" w:eastAsia="Times New Roman" w:hAnsi="Times New Roman"/>
                <w:sz w:val="12"/>
                <w:szCs w:val="12"/>
                <w:b w:val="1"/>
                <w:bCs w:val="1"/>
                <w:color w:val="0000FF"/>
                <w:w w:val="98"/>
              </w:rPr>
              <w:t>ITEM 4: Mine Safety Disclosures</w:t>
            </w:r>
          </w:p>
        </w:tc>
        <w:tc>
          <w:tcPr>
            <w:tcW w:w="400" w:type="dxa"/>
            <w:vAlign w:val="bottom"/>
            <w:gridSpan w:val="2"/>
          </w:tcPr>
          <w:p>
            <w:pPr>
              <w:spacing w:after="0"/>
              <w:rPr>
                <w:sz w:val="11"/>
                <w:szCs w:val="11"/>
                <w:color w:val="auto"/>
              </w:rPr>
            </w:pPr>
          </w:p>
        </w:tc>
        <w:tc>
          <w:tcPr>
            <w:tcW w:w="8320" w:type="dxa"/>
            <w:vAlign w:val="bottom"/>
            <w:gridSpan w:val="14"/>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72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44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b w:val="1"/>
                <w:bCs w:val="1"/>
                <w:color w:val="0000FF"/>
                <w:w w:val="98"/>
              </w:rPr>
              <w:t>ITEM 5: Other Information</w:t>
            </w:r>
          </w:p>
        </w:tc>
        <w:tc>
          <w:tcPr>
            <w:tcW w:w="260" w:type="dxa"/>
            <w:vAlign w:val="bottom"/>
            <w:gridSpan w:val="2"/>
          </w:tcPr>
          <w:p>
            <w:pPr>
              <w:spacing w:after="0"/>
              <w:rPr>
                <w:sz w:val="11"/>
                <w:szCs w:val="11"/>
                <w:color w:val="auto"/>
              </w:rPr>
            </w:pPr>
          </w:p>
        </w:tc>
        <w:tc>
          <w:tcPr>
            <w:tcW w:w="8720" w:type="dxa"/>
            <w:vAlign w:val="bottom"/>
            <w:gridSpan w:val="16"/>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980" w:type="dxa"/>
            <w:vAlign w:val="bottom"/>
            <w:gridSpan w:val="1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b w:val="1"/>
                <w:bCs w:val="1"/>
                <w:color w:val="0000FF"/>
                <w:w w:val="96"/>
              </w:rPr>
              <w:t>ITEM 6: Exhibits</w:t>
            </w:r>
          </w:p>
        </w:tc>
        <w:tc>
          <w:tcPr>
            <w:tcW w:w="540" w:type="dxa"/>
            <w:vAlign w:val="bottom"/>
            <w:gridSpan w:val="3"/>
          </w:tcPr>
          <w:p>
            <w:pPr>
              <w:spacing w:after="0"/>
              <w:rPr>
                <w:sz w:val="11"/>
                <w:szCs w:val="11"/>
                <w:color w:val="auto"/>
              </w:rPr>
            </w:pPr>
          </w:p>
        </w:tc>
        <w:tc>
          <w:tcPr>
            <w:tcW w:w="8980" w:type="dxa"/>
            <w:vAlign w:val="bottom"/>
            <w:gridSpan w:val="18"/>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520" w:type="dxa"/>
            <w:vAlign w:val="bottom"/>
            <w:gridSpan w:val="2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b w:val="1"/>
                <w:bCs w:val="1"/>
                <w:color w:val="0000FF"/>
              </w:rPr>
              <w:t>Signatures</w:t>
            </w:r>
          </w:p>
        </w:tc>
        <w:tc>
          <w:tcPr>
            <w:tcW w:w="9520" w:type="dxa"/>
            <w:vAlign w:val="bottom"/>
            <w:gridSpan w:val="21"/>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rPr>
              <w:t>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4"/>
        </w:trPr>
        <w:tc>
          <w:tcPr>
            <w:tcW w:w="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CLEAN HARBORS, INC. AND SUBSIDIARIES</w:t>
      </w:r>
    </w:p>
    <w:p>
      <w:pPr>
        <w:spacing w:after="0" w:line="7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1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w w:val="96"/>
              </w:rPr>
              <w:t>March 31, 2025</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December 31, 2024</w:t>
            </w:r>
          </w:p>
        </w:tc>
      </w:tr>
      <w:tr>
        <w:trPr>
          <w:trHeight w:val="141"/>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53"/>
        </w:trPr>
        <w:tc>
          <w:tcPr>
            <w:tcW w:w="81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489,417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687,192</w:t>
            </w:r>
          </w:p>
        </w:tc>
      </w:tr>
      <w:tr>
        <w:trPr>
          <w:trHeight w:val="153"/>
        </w:trPr>
        <w:tc>
          <w:tcPr>
            <w:tcW w:w="8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Short-term marketable securities</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105,895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102,634</w:t>
            </w: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receivable, net of allowances aggregating $48,888 and $47,242, respectively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1,077,510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1,015,357</w:t>
            </w:r>
          </w:p>
        </w:tc>
      </w:tr>
      <w:tr>
        <w:trPr>
          <w:trHeight w:val="153"/>
        </w:trPr>
        <w:tc>
          <w:tcPr>
            <w:tcW w:w="8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Unbilled accounts receivable</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171,089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162,215</w:t>
            </w: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Inventories and supplies</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376,024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384,657</w:t>
            </w:r>
          </w:p>
        </w:tc>
      </w:tr>
      <w:tr>
        <w:trPr>
          <w:trHeight w:val="15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90,747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81,741</w:t>
            </w:r>
          </w:p>
        </w:tc>
      </w:tr>
      <w:tr>
        <w:trPr>
          <w:trHeight w:val="142"/>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2,310,682</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2,433,796</w:t>
            </w:r>
          </w:p>
        </w:tc>
      </w:tr>
      <w:tr>
        <w:trPr>
          <w:trHeight w:val="142"/>
        </w:trPr>
        <w:tc>
          <w:tcPr>
            <w:tcW w:w="8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2,463,620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2,447,941</w:t>
            </w:r>
          </w:p>
        </w:tc>
      </w:tr>
      <w:tr>
        <w:trPr>
          <w:trHeight w:val="133"/>
        </w:trPr>
        <w:tc>
          <w:tcPr>
            <w:tcW w:w="818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Other assets:</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53"/>
        </w:trPr>
        <w:tc>
          <w:tcPr>
            <w:tcW w:w="8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247,414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250,853</w:t>
            </w: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Goodwill</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1,477,307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1,477,199</w:t>
            </w:r>
          </w:p>
        </w:tc>
      </w:tr>
      <w:tr>
        <w:trPr>
          <w:trHeight w:val="153"/>
        </w:trPr>
        <w:tc>
          <w:tcPr>
            <w:tcW w:w="8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Permits and other intangibles, net</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688,957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701,987</w:t>
            </w: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 long-term assets</w:t>
            </w: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58,407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65,502</w:t>
            </w:r>
          </w:p>
        </w:tc>
      </w:tr>
      <w:tr>
        <w:trPr>
          <w:trHeight w:val="142"/>
        </w:trPr>
        <w:tc>
          <w:tcPr>
            <w:tcW w:w="81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2"/>
                <w:szCs w:val="12"/>
                <w:color w:val="auto"/>
              </w:rPr>
              <w:t>Total other assets</w:t>
            </w: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2,472,085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2,495,541</w:t>
            </w:r>
          </w:p>
        </w:tc>
      </w:tr>
      <w:tr>
        <w:trPr>
          <w:trHeight w:val="158"/>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7,246,387</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7,377,278</w:t>
            </w:r>
          </w:p>
        </w:tc>
      </w:tr>
      <w:tr>
        <w:trPr>
          <w:trHeight w:val="126"/>
        </w:trPr>
        <w:tc>
          <w:tcPr>
            <w:tcW w:w="8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53"/>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3"/>
        </w:trPr>
        <w:tc>
          <w:tcPr>
            <w:tcW w:w="81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15,102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15,102</w:t>
            </w:r>
          </w:p>
        </w:tc>
      </w:tr>
      <w:tr>
        <w:trPr>
          <w:trHeight w:val="153"/>
        </w:trPr>
        <w:tc>
          <w:tcPr>
            <w:tcW w:w="8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payable</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443,654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487,286</w:t>
            </w: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Deferred revenue</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96,171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88,545</w:t>
            </w:r>
          </w:p>
        </w:tc>
      </w:tr>
      <w:tr>
        <w:trPr>
          <w:trHeight w:val="153"/>
        </w:trPr>
        <w:tc>
          <w:tcPr>
            <w:tcW w:w="8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325,759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419,445</w:t>
            </w: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Current portion of closure, post-closure and remedial liabilities</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23,792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20,625</w:t>
            </w:r>
          </w:p>
        </w:tc>
      </w:tr>
      <w:tr>
        <w:trPr>
          <w:trHeight w:val="15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71,865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71,663</w:t>
            </w:r>
          </w:p>
        </w:tc>
      </w:tr>
      <w:tr>
        <w:trPr>
          <w:trHeight w:val="142"/>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976,343</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1,102,666</w:t>
            </w:r>
          </w:p>
        </w:tc>
      </w:tr>
      <w:tr>
        <w:trPr>
          <w:trHeight w:val="133"/>
        </w:trPr>
        <w:tc>
          <w:tcPr>
            <w:tcW w:w="818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Other liabilities:</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Closure and post-closure liabilities, less current portion of $12,948 and $10,304, respectively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121,221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119,484</w:t>
            </w:r>
          </w:p>
        </w:tc>
      </w:tr>
      <w:tr>
        <w:trPr>
          <w:trHeight w:val="153"/>
        </w:trPr>
        <w:tc>
          <w:tcPr>
            <w:tcW w:w="8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Remedial liabilities, less current portion of $10,844 and $10,321, respectively</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101,424</w:t>
            </w: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Long-term debt, less current portion</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2,768,815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2,771,117</w:t>
            </w:r>
          </w:p>
        </w:tc>
      </w:tr>
      <w:tr>
        <w:trPr>
          <w:trHeight w:val="153"/>
        </w:trPr>
        <w:tc>
          <w:tcPr>
            <w:tcW w:w="8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Operating lease liabilities, less current portion</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179,454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182,883</w:t>
            </w: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Deferred tax liabilities</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360,404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363,623</w:t>
            </w:r>
          </w:p>
        </w:tc>
      </w:tr>
      <w:tr>
        <w:trPr>
          <w:trHeight w:val="15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179,895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162,552</w:t>
            </w:r>
          </w:p>
        </w:tc>
      </w:tr>
      <w:tr>
        <w:trPr>
          <w:trHeight w:val="142"/>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Total other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3,698,820</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3,701,083</w:t>
            </w:r>
          </w:p>
        </w:tc>
      </w:tr>
      <w:tr>
        <w:trPr>
          <w:trHeight w:val="133"/>
        </w:trPr>
        <w:tc>
          <w:tcPr>
            <w:tcW w:w="818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Commitments and contingent liabilities (See Note 15)</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53"/>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3"/>
        </w:trPr>
        <w:tc>
          <w:tcPr>
            <w:tcW w:w="8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Authorized 80,000,000 shares; issued and outstanding 53,636,038 and 53,832,692 shares, respectively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r>
      <w:tr>
        <w:trPr>
          <w:trHeight w:val="153"/>
        </w:trPr>
        <w:tc>
          <w:tcPr>
            <w:tcW w:w="8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365,698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421,749</w:t>
            </w:r>
          </w:p>
        </w:tc>
      </w:tr>
      <w:tr>
        <w:trPr>
          <w:trHeight w:val="1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(218,567)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(213,635)</w:t>
            </w:r>
          </w:p>
        </w:tc>
      </w:tr>
      <w:tr>
        <w:trPr>
          <w:trHeight w:val="153"/>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Retained earnings</w:t>
            </w: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2,423,557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2,364,877</w:t>
            </w:r>
          </w:p>
        </w:tc>
      </w:tr>
      <w:tr>
        <w:trPr>
          <w:trHeight w:val="14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2,571,224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2,573,529</w:t>
            </w:r>
          </w:p>
        </w:tc>
      </w:tr>
      <w:tr>
        <w:trPr>
          <w:trHeight w:val="142"/>
        </w:trPr>
        <w:tc>
          <w:tcPr>
            <w:tcW w:w="81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7,246,387</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7,377,278</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CLEAN HARBORS, INC. AND SUBSIDIARIES</w:t>
      </w:r>
    </w:p>
    <w:p>
      <w:pPr>
        <w:spacing w:after="0" w:line="7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40" w:type="dxa"/>
            <w:vAlign w:val="bottom"/>
          </w:tcPr>
          <w:p>
            <w:pPr>
              <w:spacing w:after="0"/>
              <w:rPr>
                <w:sz w:val="10"/>
                <w:szCs w:val="10"/>
                <w:color w:val="auto"/>
              </w:rPr>
            </w:pPr>
          </w:p>
        </w:tc>
      </w:tr>
      <w:tr>
        <w:trPr>
          <w:trHeight w:val="143"/>
        </w:trPr>
        <w:tc>
          <w:tcPr>
            <w:tcW w:w="88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740" w:type="dxa"/>
            <w:vAlign w:val="bottom"/>
            <w:tcBorders>
              <w:bottom w:val="single" w:sz="8" w:color="auto"/>
            </w:tcBorders>
          </w:tcPr>
          <w:p>
            <w:pPr>
              <w:spacing w:after="0"/>
              <w:rPr>
                <w:sz w:val="12"/>
                <w:szCs w:val="12"/>
                <w:color w:val="auto"/>
              </w:rPr>
            </w:pPr>
          </w:p>
        </w:tc>
      </w:tr>
      <w:tr>
        <w:trPr>
          <w:trHeight w:val="128"/>
        </w:trPr>
        <w:tc>
          <w:tcPr>
            <w:tcW w:w="88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8"/>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3"/>
        </w:trPr>
        <w:tc>
          <w:tcPr>
            <w:tcW w:w="88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Service revenues</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1,201,454</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1,151,858</w:t>
            </w:r>
          </w:p>
        </w:tc>
      </w:tr>
      <w:tr>
        <w:trPr>
          <w:trHeight w:val="153"/>
        </w:trPr>
        <w:tc>
          <w:tcPr>
            <w:tcW w:w="8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Product revenues</w:t>
            </w:r>
          </w:p>
        </w:tc>
        <w:tc>
          <w:tcPr>
            <w:tcW w:w="3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230,496</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224,837</w:t>
            </w:r>
          </w:p>
        </w:tc>
      </w:tr>
      <w:tr>
        <w:trPr>
          <w:trHeight w:val="142"/>
        </w:trPr>
        <w:tc>
          <w:tcPr>
            <w:tcW w:w="8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Total revenues</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1,431,950</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1,376,695</w:t>
            </w:r>
          </w:p>
        </w:tc>
      </w:tr>
      <w:tr>
        <w:trPr>
          <w:trHeight w:val="133"/>
        </w:trPr>
        <w:tc>
          <w:tcPr>
            <w:tcW w:w="88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Cost of revenues: (exclusive of items shown separately below)</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3"/>
        </w:trPr>
        <w:tc>
          <w:tcPr>
            <w:tcW w:w="88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Service revenues</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839,744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816,349</w:t>
            </w:r>
          </w:p>
        </w:tc>
      </w:tr>
      <w:tr>
        <w:trPr>
          <w:trHeight w:val="153"/>
        </w:trPr>
        <w:tc>
          <w:tcPr>
            <w:tcW w:w="8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Product revenues</w:t>
            </w:r>
          </w:p>
        </w:tc>
        <w:tc>
          <w:tcPr>
            <w:tcW w:w="3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182,140</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154,721</w:t>
            </w:r>
          </w:p>
        </w:tc>
      </w:tr>
      <w:tr>
        <w:trPr>
          <w:trHeight w:val="142"/>
        </w:trPr>
        <w:tc>
          <w:tcPr>
            <w:tcW w:w="8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Total cost of revenues</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1,021,884</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971,070</w:t>
            </w:r>
          </w:p>
        </w:tc>
      </w:tr>
      <w:tr>
        <w:trPr>
          <w:trHeight w:val="142"/>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182,847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181,868</w:t>
            </w:r>
          </w:p>
        </w:tc>
      </w:tr>
      <w:tr>
        <w:trPr>
          <w:trHeight w:val="153"/>
        </w:trPr>
        <w:tc>
          <w:tcPr>
            <w:tcW w:w="8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Accretion of environmental liabilities</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3,217</w:t>
            </w:r>
          </w:p>
        </w:tc>
      </w:tr>
      <w:tr>
        <w:trPr>
          <w:trHeight w:val="153"/>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111,980</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95,065</w:t>
            </w:r>
          </w:p>
        </w:tc>
      </w:tr>
      <w:tr>
        <w:trPr>
          <w:trHeight w:val="142"/>
        </w:trPr>
        <w:tc>
          <w:tcPr>
            <w:tcW w:w="88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Income from operations</w:t>
            </w:r>
          </w:p>
        </w:tc>
        <w:tc>
          <w:tcPr>
            <w:tcW w:w="3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111,619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125,475</w:t>
            </w:r>
          </w:p>
        </w:tc>
      </w:tr>
      <w:tr>
        <w:trPr>
          <w:trHeight w:val="153"/>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expense, net</w:t>
            </w: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(1,141)</w:t>
            </w:r>
          </w:p>
        </w:tc>
      </w:tr>
      <w:tr>
        <w:trPr>
          <w:trHeight w:val="153"/>
        </w:trPr>
        <w:tc>
          <w:tcPr>
            <w:tcW w:w="8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Interest expense, net of interest income of $5,628 and $3,514, respectively</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(36,077)</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(28,539)</w:t>
            </w:r>
          </w:p>
        </w:tc>
      </w:tr>
      <w:tr>
        <w:trPr>
          <w:trHeight w:val="142"/>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Income before provision for income taxes</w:t>
            </w: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74,610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95,795</w:t>
            </w:r>
          </w:p>
        </w:tc>
      </w:tr>
      <w:tr>
        <w:trPr>
          <w:trHeight w:val="153"/>
        </w:trPr>
        <w:tc>
          <w:tcPr>
            <w:tcW w:w="8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15,930</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25,963</w:t>
            </w:r>
          </w:p>
        </w:tc>
      </w:tr>
      <w:tr>
        <w:trPr>
          <w:trHeight w:val="162"/>
        </w:trPr>
        <w:tc>
          <w:tcPr>
            <w:tcW w:w="8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58,680</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69,832</w:t>
            </w:r>
          </w:p>
        </w:tc>
      </w:tr>
      <w:tr>
        <w:trPr>
          <w:trHeight w:val="131"/>
        </w:trPr>
        <w:tc>
          <w:tcPr>
            <w:tcW w:w="8800" w:type="dxa"/>
            <w:vAlign w:val="bottom"/>
          </w:tcPr>
          <w:p>
            <w:pPr>
              <w:ind w:left="100"/>
              <w:spacing w:after="0" w:line="131" w:lineRule="exact"/>
              <w:rPr>
                <w:sz w:val="20"/>
                <w:szCs w:val="20"/>
                <w:color w:val="auto"/>
              </w:rPr>
            </w:pPr>
            <w:r>
              <w:rPr>
                <w:rFonts w:ascii="Times New Roman" w:cs="Times New Roman" w:eastAsia="Times New Roman" w:hAnsi="Times New Roman"/>
                <w:sz w:val="12"/>
                <w:szCs w:val="12"/>
                <w:b w:val="1"/>
                <w:bCs w:val="1"/>
                <w:color w:val="auto"/>
              </w:rPr>
              <w:t>Earnings per share:</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9"/>
        </w:trPr>
        <w:tc>
          <w:tcPr>
            <w:tcW w:w="8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69"/>
        </w:trPr>
        <w:tc>
          <w:tcPr>
            <w:tcW w:w="8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169"/>
        </w:trPr>
        <w:tc>
          <w:tcPr>
            <w:tcW w:w="8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Shares used to compute earnings per share - Basic</w:t>
            </w:r>
          </w:p>
        </w:tc>
        <w:tc>
          <w:tcPr>
            <w:tcW w:w="3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53,759</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53,930</w:t>
            </w:r>
          </w:p>
        </w:tc>
      </w:tr>
      <w:tr>
        <w:trPr>
          <w:trHeight w:val="153"/>
        </w:trPr>
        <w:tc>
          <w:tcPr>
            <w:tcW w:w="8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Shares used to compute earnings per share - Diluted</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53,993</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54,213</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CLEAN HARBORS, INC. AND SUBSIDIARIES</w:t>
      </w:r>
    </w:p>
    <w:p>
      <w:pPr>
        <w:spacing w:after="0" w:line="7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740" w:type="dxa"/>
            <w:vAlign w:val="bottom"/>
          </w:tcPr>
          <w:p>
            <w:pPr>
              <w:spacing w:after="0"/>
              <w:rPr>
                <w:sz w:val="10"/>
                <w:szCs w:val="10"/>
                <w:color w:val="auto"/>
              </w:rPr>
            </w:pPr>
          </w:p>
        </w:tc>
      </w:tr>
      <w:tr>
        <w:trPr>
          <w:trHeight w:val="143"/>
        </w:trPr>
        <w:tc>
          <w:tcPr>
            <w:tcW w:w="88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740" w:type="dxa"/>
            <w:vAlign w:val="bottom"/>
            <w:tcBorders>
              <w:bottom w:val="single" w:sz="8" w:color="auto"/>
            </w:tcBorders>
          </w:tcPr>
          <w:p>
            <w:pPr>
              <w:spacing w:after="0"/>
              <w:rPr>
                <w:sz w:val="12"/>
                <w:szCs w:val="12"/>
                <w:color w:val="auto"/>
              </w:rPr>
            </w:pPr>
          </w:p>
        </w:tc>
      </w:tr>
      <w:tr>
        <w:trPr>
          <w:trHeight w:val="128"/>
        </w:trPr>
        <w:tc>
          <w:tcPr>
            <w:tcW w:w="88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2025</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w:t>
            </w:r>
          </w:p>
        </w:tc>
        <w:tc>
          <w:tcPr>
            <w:tcW w:w="76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58,680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69,832</w:t>
            </w:r>
          </w:p>
        </w:tc>
      </w:tr>
      <w:tr>
        <w:trPr>
          <w:trHeight w:val="153"/>
        </w:trPr>
        <w:tc>
          <w:tcPr>
            <w:tcW w:w="8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comprehensive loss, net of tax:</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3"/>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Unrealized gain (loss) on available-for-sale securities</w:t>
            </w: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53"/>
        </w:trPr>
        <w:tc>
          <w:tcPr>
            <w:tcW w:w="88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Unrealized (loss) gain on fair value of interest rate hedges</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8,661</w:t>
            </w:r>
          </w:p>
        </w:tc>
      </w:tr>
      <w:tr>
        <w:trPr>
          <w:trHeight w:val="153"/>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Reclassification adjustment for interest rate hedge amounts realized in net income</w:t>
            </w:r>
          </w:p>
        </w:tc>
        <w:tc>
          <w:tcPr>
            <w:tcW w:w="7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(3,733)</w:t>
            </w:r>
          </w:p>
        </w:tc>
      </w:tr>
      <w:tr>
        <w:trPr>
          <w:trHeight w:val="153"/>
        </w:trPr>
        <w:tc>
          <w:tcPr>
            <w:tcW w:w="88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Pension adjustments</w:t>
            </w:r>
          </w:p>
        </w:tc>
        <w:tc>
          <w:tcPr>
            <w:tcW w:w="7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3"/>
        </w:trPr>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7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(9,150)</w:t>
            </w:r>
          </w:p>
        </w:tc>
      </w:tr>
      <w:tr>
        <w:trPr>
          <w:trHeight w:val="142"/>
        </w:trPr>
        <w:tc>
          <w:tcPr>
            <w:tcW w:w="8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Other comprehensive loss, net of tax</w:t>
            </w:r>
          </w:p>
        </w:tc>
        <w:tc>
          <w:tcPr>
            <w:tcW w:w="7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(4,932)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(4,287)</w:t>
            </w:r>
          </w:p>
        </w:tc>
      </w:tr>
      <w:tr>
        <w:trPr>
          <w:trHeight w:val="158"/>
        </w:trPr>
        <w:tc>
          <w:tcPr>
            <w:tcW w:w="8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Comprehensive income</w:t>
            </w:r>
          </w:p>
        </w:tc>
        <w:tc>
          <w:tcPr>
            <w:tcW w:w="760" w:type="dxa"/>
            <w:vAlign w:val="bottom"/>
            <w:tcBorders>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53,748</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65,545</w:t>
            </w: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CLEAN HARBORS, INC. AND SUBSIDIARIES</w:t>
      </w:r>
    </w:p>
    <w:p>
      <w:pPr>
        <w:spacing w:after="0" w:line="7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8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40" w:type="dxa"/>
            <w:vAlign w:val="bottom"/>
          </w:tcPr>
          <w:p>
            <w:pPr>
              <w:spacing w:after="0"/>
              <w:rPr>
                <w:sz w:val="10"/>
                <w:szCs w:val="10"/>
                <w:color w:val="auto"/>
              </w:rPr>
            </w:pPr>
          </w:p>
        </w:tc>
      </w:tr>
      <w:tr>
        <w:trPr>
          <w:trHeight w:val="143"/>
        </w:trPr>
        <w:tc>
          <w:tcPr>
            <w:tcW w:w="87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740" w:type="dxa"/>
            <w:vAlign w:val="bottom"/>
            <w:tcBorders>
              <w:bottom w:val="single" w:sz="8" w:color="auto"/>
            </w:tcBorders>
          </w:tcPr>
          <w:p>
            <w:pPr>
              <w:spacing w:after="0"/>
              <w:rPr>
                <w:sz w:val="12"/>
                <w:szCs w:val="12"/>
                <w:color w:val="auto"/>
              </w:rPr>
            </w:pPr>
          </w:p>
        </w:tc>
      </w:tr>
      <w:tr>
        <w:trPr>
          <w:trHeight w:val="128"/>
        </w:trPr>
        <w:tc>
          <w:tcPr>
            <w:tcW w:w="87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9"/>
        </w:trPr>
        <w:tc>
          <w:tcPr>
            <w:tcW w:w="876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1"/>
                <w:szCs w:val="11"/>
                <w:color w:val="auto"/>
              </w:rPr>
              <w:t>Cash flows from operating activities:</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58,680</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69,832</w:t>
            </w:r>
          </w:p>
        </w:tc>
      </w:tr>
      <w:tr>
        <w:trPr>
          <w:trHeight w:val="146"/>
        </w:trPr>
        <w:tc>
          <w:tcPr>
            <w:tcW w:w="8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Adjustments to reconcile net income to net cash from operating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111,980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95,065</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Allowance for doubtful accounts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1,728</w:t>
            </w: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deferred financing costs and debt discount</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Accretion of environmental liabilities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3,217</w:t>
            </w: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Changes in environmental liability estimates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917</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Deferred income taxes</w:t>
            </w:r>
          </w:p>
        </w:tc>
        <w:tc>
          <w:tcPr>
            <w:tcW w:w="7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 expense, net</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Stock-based compensation</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7,635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6,338</w:t>
            </w: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Environmental expenditures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(4,729)</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Changes in assets and liabilities, net of acquisitions: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2"/>
        </w:trPr>
        <w:tc>
          <w:tcPr>
            <w:tcW w:w="87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Accounts receivable and unbilled accounts receivable</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(74,576)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(44,383)</w:t>
            </w:r>
          </w:p>
        </w:tc>
      </w:tr>
      <w:tr>
        <w:trPr>
          <w:trHeight w:val="146"/>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Inventories and supplies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(13,572)</w:t>
            </w:r>
          </w:p>
        </w:tc>
      </w:tr>
      <w:tr>
        <w:trPr>
          <w:trHeight w:val="142"/>
        </w:trPr>
        <w:tc>
          <w:tcPr>
            <w:tcW w:w="87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Other current and long-term assets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(25,918)</w:t>
            </w:r>
          </w:p>
        </w:tc>
      </w:tr>
      <w:tr>
        <w:trPr>
          <w:trHeight w:val="146"/>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Accounts payable</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(10,989)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(17,358)</w:t>
            </w:r>
          </w:p>
        </w:tc>
      </w:tr>
      <w:tr>
        <w:trPr>
          <w:trHeight w:val="142"/>
        </w:trPr>
        <w:tc>
          <w:tcPr>
            <w:tcW w:w="8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1"/>
                <w:szCs w:val="11"/>
                <w:color w:val="auto"/>
              </w:rPr>
              <w:t>Other current and long-term liabilities</w:t>
            </w: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(89,401)</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(54,970)</w:t>
            </w:r>
          </w:p>
        </w:tc>
      </w:tr>
      <w:tr>
        <w:trPr>
          <w:trHeight w:val="135"/>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Net cash from operating activities</w:t>
            </w:r>
          </w:p>
        </w:tc>
        <w:tc>
          <w:tcPr>
            <w:tcW w:w="7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1,605</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18,549</w:t>
            </w:r>
          </w:p>
        </w:tc>
      </w:tr>
      <w:tr>
        <w:trPr>
          <w:trHeight w:val="122"/>
        </w:trPr>
        <w:tc>
          <w:tcPr>
            <w:tcW w:w="8760" w:type="dxa"/>
            <w:vAlign w:val="bottom"/>
          </w:tcPr>
          <w:p>
            <w:pPr>
              <w:ind w:left="100"/>
              <w:spacing w:after="0" w:line="121" w:lineRule="exact"/>
              <w:rPr>
                <w:sz w:val="20"/>
                <w:szCs w:val="20"/>
                <w:color w:val="auto"/>
              </w:rPr>
            </w:pPr>
            <w:r>
              <w:rPr>
                <w:rFonts w:ascii="Times New Roman" w:cs="Times New Roman" w:eastAsia="Times New Roman" w:hAnsi="Times New Roman"/>
                <w:sz w:val="11"/>
                <w:szCs w:val="11"/>
                <w:color w:val="auto"/>
              </w:rPr>
              <w:t>Cash flows used in investing activities:</w:t>
            </w: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Additions to property, plant and equipment</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(118,695)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(137,913)</w:t>
            </w: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Proceeds from sale and disposal of fixed assets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1,008</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 net of cash acquired</w:t>
            </w:r>
          </w:p>
        </w:tc>
        <w:tc>
          <w:tcPr>
            <w:tcW w:w="7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(475,306)</w:t>
            </w: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Proceeds from sale of business</w:t>
            </w:r>
          </w:p>
        </w:tc>
        <w:tc>
          <w:tcPr>
            <w:tcW w:w="7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Additions to intangible assets including costs to obtain or renew permits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w:t>
            </w: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Purchases of available-for-sale securities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(24,186)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(31,228)</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Proceeds from sale of available-for-sale securities</w:t>
            </w: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21,456</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33,350</w:t>
            </w:r>
          </w:p>
        </w:tc>
      </w:tr>
      <w:tr>
        <w:trPr>
          <w:trHeight w:val="131"/>
        </w:trPr>
        <w:tc>
          <w:tcPr>
            <w:tcW w:w="8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7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(120,330)</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(609,873)</w:t>
            </w:r>
          </w:p>
        </w:tc>
      </w:tr>
      <w:tr>
        <w:trPr>
          <w:trHeight w:val="126"/>
        </w:trPr>
        <w:tc>
          <w:tcPr>
            <w:tcW w:w="876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1"/>
                <w:szCs w:val="11"/>
                <w:color w:val="auto"/>
              </w:rPr>
              <w:t>Cash flows (used in) from financing activities:</w:t>
            </w:r>
          </w:p>
        </w:tc>
        <w:tc>
          <w:tcPr>
            <w:tcW w:w="7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Change in uncashed checks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7,778</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 payments related to withholdings on vested restricted stock</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(8,688)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(3,052)</w:t>
            </w: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(55,000)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Deferred financing costs paid</w:t>
            </w:r>
          </w:p>
        </w:tc>
        <w:tc>
          <w:tcPr>
            <w:tcW w:w="7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(4,641)</w:t>
            </w: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Payments on finance leases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(10,081)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(4,665)</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Principal payments on debt</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(3,776)</w:t>
            </w: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Proceeds from issuance of debt, net of discount</w:t>
            </w:r>
          </w:p>
        </w:tc>
        <w:tc>
          <w:tcPr>
            <w:tcW w:w="7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499,375</w:t>
            </w:r>
          </w:p>
        </w:tc>
      </w:tr>
      <w:tr>
        <w:trPr>
          <w:trHeight w:val="135"/>
        </w:trPr>
        <w:tc>
          <w:tcPr>
            <w:tcW w:w="87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Net cash (used in) from financing activities</w:t>
            </w: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(79,259)</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486,019</w:t>
            </w:r>
          </w:p>
        </w:tc>
      </w:tr>
      <w:tr>
        <w:trPr>
          <w:trHeight w:val="131"/>
        </w:trPr>
        <w:tc>
          <w:tcPr>
            <w:tcW w:w="8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Effect of exchange rate change on cash</w:t>
            </w:r>
          </w:p>
        </w:tc>
        <w:tc>
          <w:tcPr>
            <w:tcW w:w="7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(1,568)</w:t>
            </w:r>
          </w:p>
        </w:tc>
      </w:tr>
      <w:tr>
        <w:trPr>
          <w:trHeight w:val="135"/>
        </w:trPr>
        <w:tc>
          <w:tcPr>
            <w:tcW w:w="8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Decrease in cash and cash equivalents</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(197,775)</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(106,873)</w:t>
            </w:r>
          </w:p>
        </w:tc>
      </w:tr>
      <w:tr>
        <w:trPr>
          <w:trHeight w:val="142"/>
        </w:trPr>
        <w:tc>
          <w:tcPr>
            <w:tcW w:w="8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687,192</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444,698</w:t>
            </w:r>
          </w:p>
        </w:tc>
      </w:tr>
      <w:tr>
        <w:trPr>
          <w:trHeight w:val="155"/>
        </w:trPr>
        <w:tc>
          <w:tcPr>
            <w:tcW w:w="8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74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489,417</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337,825</w:t>
            </w:r>
          </w:p>
        </w:tc>
      </w:tr>
      <w:tr>
        <w:trPr>
          <w:trHeight w:val="120"/>
        </w:trPr>
        <w:tc>
          <w:tcPr>
            <w:tcW w:w="876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Supplemental information:</w:t>
            </w: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6"/>
        </w:trPr>
        <w:tc>
          <w:tcPr>
            <w:tcW w:w="8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payments for interest and income taxes: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2"/>
        </w:trPr>
        <w:tc>
          <w:tcPr>
            <w:tcW w:w="8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Interest paid</w:t>
            </w:r>
          </w:p>
        </w:tc>
        <w:tc>
          <w:tcPr>
            <w:tcW w:w="740" w:type="dxa"/>
            <w:vAlign w:val="bottom"/>
          </w:tcPr>
          <w:p>
            <w:pPr>
              <w:jc w:val="right"/>
              <w:ind w:right="608"/>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56,671</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51,243</w:t>
            </w: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Income taxes paid, net of refunds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8,020</w:t>
            </w:r>
          </w:p>
        </w:tc>
      </w:tr>
      <w:tr>
        <w:trPr>
          <w:trHeight w:val="142"/>
        </w:trPr>
        <w:tc>
          <w:tcPr>
            <w:tcW w:w="87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Non-cash investing activities: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Property, plant and equipment accrued</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12,462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28,266</w:t>
            </w:r>
          </w:p>
        </w:tc>
      </w:tr>
      <w:tr>
        <w:trPr>
          <w:trHeight w:val="142"/>
        </w:trPr>
        <w:tc>
          <w:tcPr>
            <w:tcW w:w="87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ROU assets obtained in exchange for operating lease liabilities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23,101</w:t>
            </w:r>
          </w:p>
        </w:tc>
      </w:tr>
      <w:tr>
        <w:trPr>
          <w:trHeight w:val="146"/>
        </w:trPr>
        <w:tc>
          <w:tcPr>
            <w:tcW w:w="8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ROU assets obtained in exchange for finance lease liabilities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27,181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14,519</w:t>
            </w:r>
          </w:p>
        </w:tc>
      </w:tr>
    </w:tbl>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CLEAN HARBORS, INC. AND SUBSIDIARIES</w:t>
      </w:r>
    </w:p>
    <w:p>
      <w:pPr>
        <w:spacing w:after="0" w:line="7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5"/>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jc w:val="center"/>
              <w:ind w:left="312"/>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0"/>
                <w:szCs w:val="10"/>
                <w:b w:val="1"/>
                <w:bCs w:val="1"/>
                <w:color w:val="auto"/>
              </w:rPr>
              <w:t>$0.01</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9"/>
                <w:szCs w:val="9"/>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92"/>
        </w:trPr>
        <w:tc>
          <w:tcPr>
            <w:tcW w:w="38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jc w:val="center"/>
              <w:ind w:left="292"/>
              <w:spacing w:after="0" w:line="92"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jc w:val="right"/>
              <w:ind w:right="108"/>
              <w:spacing w:after="0" w:line="92" w:lineRule="exact"/>
              <w:rPr>
                <w:sz w:val="20"/>
                <w:szCs w:val="20"/>
                <w:color w:val="auto"/>
              </w:rPr>
            </w:pPr>
            <w:r>
              <w:rPr>
                <w:rFonts w:ascii="Times New Roman" w:cs="Times New Roman" w:eastAsia="Times New Roman" w:hAnsi="Times New Roman"/>
                <w:sz w:val="10"/>
                <w:szCs w:val="10"/>
                <w:b w:val="1"/>
                <w:bCs w:val="1"/>
                <w:color w:val="auto"/>
              </w:rPr>
              <w:t>Par</w:t>
            </w: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center"/>
              <w:ind w:right="320"/>
              <w:spacing w:after="0" w:line="92" w:lineRule="exact"/>
              <w:rPr>
                <w:sz w:val="20"/>
                <w:szCs w:val="20"/>
                <w:color w:val="auto"/>
              </w:rPr>
            </w:pPr>
            <w:r>
              <w:rPr>
                <w:rFonts w:ascii="Times New Roman" w:cs="Times New Roman" w:eastAsia="Times New Roman" w:hAnsi="Times New Roman"/>
                <w:sz w:val="10"/>
                <w:szCs w:val="10"/>
                <w:b w:val="1"/>
                <w:bCs w:val="1"/>
                <w:color w:val="auto"/>
                <w:w w:val="96"/>
              </w:rPr>
              <w:t>Paid-in</w:t>
            </w:r>
          </w:p>
        </w:tc>
        <w:tc>
          <w:tcPr>
            <w:tcW w:w="140" w:type="dxa"/>
            <w:vAlign w:val="bottom"/>
          </w:tcPr>
          <w:p>
            <w:pPr>
              <w:spacing w:after="0"/>
              <w:rPr>
                <w:sz w:val="7"/>
                <w:szCs w:val="7"/>
                <w:color w:val="auto"/>
              </w:rPr>
            </w:pPr>
          </w:p>
        </w:tc>
        <w:tc>
          <w:tcPr>
            <w:tcW w:w="1240" w:type="dxa"/>
            <w:vAlign w:val="bottom"/>
            <w:gridSpan w:val="2"/>
          </w:tcPr>
          <w:p>
            <w:pPr>
              <w:jc w:val="center"/>
              <w:ind w:right="260"/>
              <w:spacing w:after="0" w:line="9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7"/>
                <w:szCs w:val="7"/>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180" w:type="dxa"/>
            <w:vAlign w:val="bottom"/>
          </w:tcPr>
          <w:p>
            <w:pPr>
              <w:spacing w:after="0"/>
              <w:rPr>
                <w:sz w:val="7"/>
                <w:szCs w:val="7"/>
                <w:color w:val="auto"/>
              </w:rPr>
            </w:pPr>
          </w:p>
        </w:tc>
        <w:tc>
          <w:tcPr>
            <w:tcW w:w="960" w:type="dxa"/>
            <w:vAlign w:val="bottom"/>
          </w:tcPr>
          <w:p>
            <w:pPr>
              <w:jc w:val="center"/>
              <w:ind w:right="144"/>
              <w:spacing w:after="0" w:line="92" w:lineRule="exact"/>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134"/>
        </w:trPr>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left="332"/>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Value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Comprehensive Loss</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24"/>
              <w:spacing w:after="0"/>
              <w:rPr>
                <w:sz w:val="20"/>
                <w:szCs w:val="20"/>
                <w:color w:val="auto"/>
              </w:rPr>
            </w:pPr>
            <w:r>
              <w:rPr>
                <w:rFonts w:ascii="Times New Roman" w:cs="Times New Roman" w:eastAsia="Times New Roman" w:hAnsi="Times New Roman"/>
                <w:sz w:val="10"/>
                <w:szCs w:val="10"/>
                <w:b w:val="1"/>
                <w:bCs w:val="1"/>
                <w:color w:val="auto"/>
                <w:w w:val="89"/>
              </w:rPr>
              <w:t>Equity</w:t>
            </w:r>
          </w:p>
        </w:tc>
        <w:tc>
          <w:tcPr>
            <w:tcW w:w="0" w:type="dxa"/>
            <w:vAlign w:val="bottom"/>
          </w:tcPr>
          <w:p>
            <w:pPr>
              <w:spacing w:after="0"/>
              <w:rPr>
                <w:sz w:val="1"/>
                <w:szCs w:val="1"/>
                <w:color w:val="auto"/>
              </w:rPr>
            </w:pPr>
          </w:p>
        </w:tc>
      </w:tr>
      <w:tr>
        <w:trPr>
          <w:trHeight w:val="15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2025</w:t>
            </w:r>
          </w:p>
        </w:tc>
        <w:tc>
          <w:tcPr>
            <w:tcW w:w="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6"/>
              </w:rPr>
              <w:t>53,833</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421,749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(213,635)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2,364,877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2,573,529</w:t>
            </w:r>
          </w:p>
        </w:tc>
        <w:tc>
          <w:tcPr>
            <w:tcW w:w="0" w:type="dxa"/>
            <w:vAlign w:val="bottom"/>
          </w:tcPr>
          <w:p>
            <w:pPr>
              <w:spacing w:after="0"/>
              <w:rPr>
                <w:sz w:val="1"/>
                <w:szCs w:val="1"/>
                <w:color w:val="auto"/>
              </w:rPr>
            </w:pPr>
          </w:p>
        </w:tc>
      </w:tr>
      <w:tr>
        <w:trPr>
          <w:trHeight w:val="153"/>
        </w:trPr>
        <w:tc>
          <w:tcPr>
            <w:tcW w:w="46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Net income</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58,680</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comprehensive loss</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(4,932)</w:t>
            </w:r>
          </w:p>
        </w:tc>
        <w:tc>
          <w:tcPr>
            <w:tcW w:w="0" w:type="dxa"/>
            <w:vAlign w:val="bottom"/>
          </w:tcPr>
          <w:p>
            <w:pPr>
              <w:spacing w:after="0"/>
              <w:rPr>
                <w:sz w:val="1"/>
                <w:szCs w:val="1"/>
                <w:color w:val="auto"/>
              </w:rPr>
            </w:pPr>
          </w:p>
        </w:tc>
      </w:tr>
      <w:tr>
        <w:trPr>
          <w:trHeight w:val="153"/>
        </w:trPr>
        <w:tc>
          <w:tcPr>
            <w:tcW w:w="46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Stock-based compensation</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7,635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7,635</w:t>
            </w:r>
          </w:p>
        </w:tc>
        <w:tc>
          <w:tcPr>
            <w:tcW w:w="0" w:type="dxa"/>
            <w:vAlign w:val="bottom"/>
          </w:tcPr>
          <w:p>
            <w:pPr>
              <w:spacing w:after="0"/>
              <w:rPr>
                <w:sz w:val="1"/>
                <w:szCs w:val="1"/>
                <w:color w:val="auto"/>
              </w:rPr>
            </w:pPr>
          </w:p>
        </w:tc>
      </w:tr>
      <w:tr>
        <w:trPr>
          <w:trHeight w:val="117"/>
        </w:trPr>
        <w:tc>
          <w:tcPr>
            <w:tcW w:w="4620" w:type="dxa"/>
            <w:vAlign w:val="bottom"/>
            <w:gridSpan w:val="3"/>
            <w:shd w:val="clear" w:color="auto" w:fill="CCEEFF"/>
          </w:tcPr>
          <w:p>
            <w:pPr>
              <w:ind w:left="100"/>
              <w:spacing w:after="0" w:line="117" w:lineRule="exact"/>
              <w:rPr>
                <w:sz w:val="20"/>
                <w:szCs w:val="20"/>
                <w:color w:val="auto"/>
              </w:rPr>
            </w:pPr>
            <w:r>
              <w:rPr>
                <w:rFonts w:ascii="Times New Roman" w:cs="Times New Roman" w:eastAsia="Times New Roman" w:hAnsi="Times New Roman"/>
                <w:sz w:val="12"/>
                <w:szCs w:val="12"/>
                <w:color w:val="auto"/>
              </w:rPr>
              <w:t>Issuance of common stock for restricted share vesting, net of employee tax</w:t>
            </w: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withholdings</w:t>
            </w: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(8,688)</w:t>
            </w:r>
          </w:p>
        </w:tc>
        <w:tc>
          <w:tcPr>
            <w:tcW w:w="0" w:type="dxa"/>
            <w:vAlign w:val="bottom"/>
          </w:tcPr>
          <w:p>
            <w:pPr>
              <w:spacing w:after="0"/>
              <w:rPr>
                <w:sz w:val="1"/>
                <w:szCs w:val="1"/>
                <w:color w:val="auto"/>
              </w:rPr>
            </w:pPr>
          </w:p>
        </w:tc>
      </w:tr>
      <w:tr>
        <w:trPr>
          <w:trHeight w:val="153"/>
        </w:trPr>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760" w:type="dxa"/>
            <w:vAlign w:val="bottom"/>
            <w:tcBorders>
              <w:bottom w:val="single" w:sz="8" w:color="auto"/>
            </w:tcBorders>
            <w:gridSpan w:val="2"/>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(54,997)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(55,000)</w:t>
            </w:r>
          </w:p>
        </w:tc>
        <w:tc>
          <w:tcPr>
            <w:tcW w:w="0" w:type="dxa"/>
            <w:vAlign w:val="bottom"/>
          </w:tcPr>
          <w:p>
            <w:pPr>
              <w:spacing w:after="0"/>
              <w:rPr>
                <w:sz w:val="1"/>
                <w:szCs w:val="1"/>
                <w:color w:val="auto"/>
              </w:rPr>
            </w:pPr>
          </w:p>
        </w:tc>
      </w:tr>
      <w:tr>
        <w:trPr>
          <w:trHeight w:val="169"/>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March 31, 2025</w:t>
            </w:r>
          </w:p>
        </w:tc>
        <w:tc>
          <w:tcPr>
            <w:tcW w:w="760" w:type="dxa"/>
            <w:vAlign w:val="bottom"/>
            <w:tcBorders>
              <w:bottom w:val="single" w:sz="8" w:color="auto"/>
            </w:tcBorders>
            <w:gridSpan w:val="2"/>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6"/>
              </w:rPr>
              <w:t>53,636</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365,698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(218,567)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2,423,557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2,571,224</w:t>
            </w:r>
          </w:p>
        </w:tc>
        <w:tc>
          <w:tcPr>
            <w:tcW w:w="0" w:type="dxa"/>
            <w:vAlign w:val="bottom"/>
          </w:tcPr>
          <w:p>
            <w:pPr>
              <w:spacing w:after="0"/>
              <w:rPr>
                <w:sz w:val="1"/>
                <w:szCs w:val="1"/>
                <w:color w:val="auto"/>
              </w:rPr>
            </w:pPr>
          </w:p>
        </w:tc>
      </w:tr>
      <w:tr>
        <w:trPr>
          <w:trHeight w:val="520"/>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right"/>
              <w:ind w:right="46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0"/>
                <w:szCs w:val="10"/>
                <w:b w:val="1"/>
                <w:bCs w:val="1"/>
                <w:color w:val="auto"/>
              </w:rPr>
              <w:t>$0.01</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97"/>
        </w:trPr>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jc w:val="center"/>
              <w:ind w:left="332"/>
              <w:spacing w:after="0" w:line="98"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jc w:val="right"/>
              <w:ind w:right="88"/>
              <w:spacing w:after="0" w:line="98" w:lineRule="exact"/>
              <w:rPr>
                <w:sz w:val="20"/>
                <w:szCs w:val="20"/>
                <w:color w:val="auto"/>
              </w:rPr>
            </w:pPr>
            <w:r>
              <w:rPr>
                <w:rFonts w:ascii="Times New Roman" w:cs="Times New Roman" w:eastAsia="Times New Roman" w:hAnsi="Times New Roman"/>
                <w:sz w:val="10"/>
                <w:szCs w:val="10"/>
                <w:b w:val="1"/>
                <w:bCs w:val="1"/>
                <w:color w:val="auto"/>
              </w:rPr>
              <w:t>Par</w:t>
            </w: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tcPr>
          <w:p>
            <w:pPr>
              <w:jc w:val="center"/>
              <w:ind w:right="280"/>
              <w:spacing w:after="0" w:line="98" w:lineRule="exact"/>
              <w:rPr>
                <w:sz w:val="20"/>
                <w:szCs w:val="20"/>
                <w:color w:val="auto"/>
              </w:rPr>
            </w:pPr>
            <w:r>
              <w:rPr>
                <w:rFonts w:ascii="Times New Roman" w:cs="Times New Roman" w:eastAsia="Times New Roman" w:hAnsi="Times New Roman"/>
                <w:sz w:val="10"/>
                <w:szCs w:val="10"/>
                <w:b w:val="1"/>
                <w:bCs w:val="1"/>
                <w:color w:val="auto"/>
                <w:w w:val="96"/>
              </w:rPr>
              <w:t>Paid-in</w:t>
            </w:r>
          </w:p>
        </w:tc>
        <w:tc>
          <w:tcPr>
            <w:tcW w:w="140" w:type="dxa"/>
            <w:vAlign w:val="bottom"/>
          </w:tcPr>
          <w:p>
            <w:pPr>
              <w:spacing w:after="0"/>
              <w:rPr>
                <w:sz w:val="8"/>
                <w:szCs w:val="8"/>
                <w:color w:val="auto"/>
              </w:rPr>
            </w:pPr>
          </w:p>
        </w:tc>
        <w:tc>
          <w:tcPr>
            <w:tcW w:w="1240" w:type="dxa"/>
            <w:vAlign w:val="bottom"/>
            <w:gridSpan w:val="2"/>
          </w:tcPr>
          <w:p>
            <w:pPr>
              <w:jc w:val="center"/>
              <w:ind w:right="240"/>
              <w:spacing w:after="0" w:line="98"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12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180" w:type="dxa"/>
            <w:vAlign w:val="bottom"/>
          </w:tcPr>
          <w:p>
            <w:pPr>
              <w:spacing w:after="0"/>
              <w:rPr>
                <w:sz w:val="8"/>
                <w:szCs w:val="8"/>
                <w:color w:val="auto"/>
              </w:rPr>
            </w:pPr>
          </w:p>
        </w:tc>
        <w:tc>
          <w:tcPr>
            <w:tcW w:w="960" w:type="dxa"/>
            <w:vAlign w:val="bottom"/>
          </w:tcPr>
          <w:p>
            <w:pPr>
              <w:jc w:val="center"/>
              <w:ind w:right="144"/>
              <w:spacing w:after="0" w:line="98" w:lineRule="exact"/>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24"/>
              <w:spacing w:after="0"/>
              <w:rPr>
                <w:sz w:val="20"/>
                <w:szCs w:val="20"/>
                <w:color w:val="auto"/>
              </w:rPr>
            </w:pPr>
            <w:r>
              <w:rPr>
                <w:rFonts w:ascii="Times New Roman" w:cs="Times New Roman" w:eastAsia="Times New Roman" w:hAnsi="Times New Roman"/>
                <w:sz w:val="10"/>
                <w:szCs w:val="10"/>
                <w:b w:val="1"/>
                <w:bCs w:val="1"/>
                <w:color w:val="auto"/>
                <w:w w:val="89"/>
              </w:rPr>
              <w:t>Equity</w:t>
            </w:r>
          </w:p>
        </w:tc>
        <w:tc>
          <w:tcPr>
            <w:tcW w:w="0" w:type="dxa"/>
            <w:vAlign w:val="bottom"/>
          </w:tcPr>
          <w:p>
            <w:pPr>
              <w:spacing w:after="0"/>
              <w:rPr>
                <w:sz w:val="1"/>
                <w:szCs w:val="1"/>
                <w:color w:val="auto"/>
              </w:rPr>
            </w:pPr>
          </w:p>
        </w:tc>
      </w:tr>
      <w:tr>
        <w:trPr>
          <w:trHeight w:val="146"/>
        </w:trPr>
        <w:tc>
          <w:tcPr>
            <w:tcW w:w="3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2024</w:t>
            </w:r>
          </w:p>
        </w:tc>
        <w:tc>
          <w:tcPr>
            <w:tcW w:w="7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53,930</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459,728</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(175,339)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1,962,578</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2,247,506</w:t>
            </w:r>
          </w:p>
        </w:tc>
        <w:tc>
          <w:tcPr>
            <w:tcW w:w="0" w:type="dxa"/>
            <w:vAlign w:val="bottom"/>
          </w:tcPr>
          <w:p>
            <w:pPr>
              <w:spacing w:after="0"/>
              <w:rPr>
                <w:sz w:val="1"/>
                <w:szCs w:val="1"/>
                <w:color w:val="auto"/>
              </w:rPr>
            </w:pPr>
          </w:p>
        </w:tc>
      </w:tr>
      <w:tr>
        <w:trPr>
          <w:trHeight w:val="153"/>
        </w:trPr>
        <w:tc>
          <w:tcPr>
            <w:tcW w:w="46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Net income</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69,832</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comprehensive loss</w:t>
            </w: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(4,287)</w:t>
            </w:r>
          </w:p>
        </w:tc>
        <w:tc>
          <w:tcPr>
            <w:tcW w:w="0" w:type="dxa"/>
            <w:vAlign w:val="bottom"/>
          </w:tcPr>
          <w:p>
            <w:pPr>
              <w:spacing w:after="0"/>
              <w:rPr>
                <w:sz w:val="1"/>
                <w:szCs w:val="1"/>
                <w:color w:val="auto"/>
              </w:rPr>
            </w:pPr>
          </w:p>
        </w:tc>
      </w:tr>
      <w:tr>
        <w:trPr>
          <w:trHeight w:val="153"/>
        </w:trPr>
        <w:tc>
          <w:tcPr>
            <w:tcW w:w="46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Stock-based compensation</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6,338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6,338</w:t>
            </w:r>
          </w:p>
        </w:tc>
        <w:tc>
          <w:tcPr>
            <w:tcW w:w="0" w:type="dxa"/>
            <w:vAlign w:val="bottom"/>
          </w:tcPr>
          <w:p>
            <w:pPr>
              <w:spacing w:after="0"/>
              <w:rPr>
                <w:sz w:val="1"/>
                <w:szCs w:val="1"/>
                <w:color w:val="auto"/>
              </w:rPr>
            </w:pPr>
          </w:p>
        </w:tc>
      </w:tr>
      <w:tr>
        <w:trPr>
          <w:trHeight w:val="124"/>
        </w:trPr>
        <w:tc>
          <w:tcPr>
            <w:tcW w:w="462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Issuance of common stock for restricted share vesting, net of employee tax</w:t>
            </w: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6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withholdings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(3,052)</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0" w:type="dxa"/>
            <w:vAlign w:val="bottom"/>
          </w:tcPr>
          <w:p>
            <w:pPr>
              <w:spacing w:after="0"/>
              <w:rPr>
                <w:sz w:val="1"/>
                <w:szCs w:val="1"/>
                <w:color w:val="auto"/>
              </w:rPr>
            </w:pPr>
          </w:p>
        </w:tc>
      </w:tr>
      <w:tr>
        <w:trPr>
          <w:trHeight w:val="158"/>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March 31, 2024</w:t>
            </w:r>
          </w:p>
        </w:tc>
        <w:tc>
          <w:tcPr>
            <w:tcW w:w="7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53,926</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458,014</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(179,626)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2,032,410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2,311,337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consolidated financial statements.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CLEAN HARBORS,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UNAUDITED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BASIS OF PRESENTATION</w:t>
      </w:r>
    </w:p>
    <w:p>
      <w:pPr>
        <w:spacing w:after="0" w:line="109" w:lineRule="exact"/>
        <w:rPr>
          <w:sz w:val="20"/>
          <w:szCs w:val="20"/>
          <w:color w:val="auto"/>
        </w:rPr>
      </w:pPr>
    </w:p>
    <w:p>
      <w:pPr>
        <w:ind w:right="140" w:firstLine="432"/>
        <w:spacing w:after="0" w:line="257" w:lineRule="auto"/>
        <w:rPr>
          <w:sz w:val="20"/>
          <w:szCs w:val="20"/>
          <w:color w:val="auto"/>
        </w:rPr>
      </w:pPr>
      <w:r>
        <w:rPr>
          <w:rFonts w:ascii="Times New Roman" w:cs="Times New Roman" w:eastAsia="Times New Roman" w:hAnsi="Times New Roman"/>
          <w:sz w:val="12"/>
          <w:szCs w:val="12"/>
          <w:color w:val="auto"/>
        </w:rPr>
        <w:t>The accompanying consolidated interim financial statements are unaudited and include the accounts of Clean Harbors, Inc. and its subsidiaries (collectively, “Clean Harbors” or the “Company”) and have been prepared pursuant to the rules and regulations of the Securities and Exchange Commission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SIGNIFICANT ACCOUNTING POLICIES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Company’s significant accounting policies are described in Note 2, “Significant Accounting Policies,” in the Company's Annual Report on Form 10-K for the year ended December 31, 2024.</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Recent Accounting Pronouncements</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Accounting Pronouncements Adopted</w:t>
      </w:r>
    </w:p>
    <w:p>
      <w:pPr>
        <w:spacing w:after="0" w:line="105"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2"/>
          <w:szCs w:val="12"/>
          <w:color w:val="auto"/>
        </w:rPr>
        <w:t xml:space="preserve">In November 2023, the Financial Accounting Standards Board (“FASB”) issued Accounting Standards Update (“ASU”) No. 2023-07, </w:t>
      </w:r>
      <w:r>
        <w:rPr>
          <w:rFonts w:ascii="Times New Roman" w:cs="Times New Roman" w:eastAsia="Times New Roman" w:hAnsi="Times New Roman"/>
          <w:sz w:val="12"/>
          <w:szCs w:val="12"/>
          <w:i w:val="1"/>
          <w:iCs w:val="1"/>
          <w:color w:val="auto"/>
        </w:rPr>
        <w:t>Segment Reporting (Topic 280): Improvements to Reportable Segment Disclosures</w:t>
      </w:r>
      <w:r>
        <w:rPr>
          <w:rFonts w:ascii="Times New Roman" w:cs="Times New Roman" w:eastAsia="Times New Roman" w:hAnsi="Times New Roman"/>
          <w:sz w:val="12"/>
          <w:szCs w:val="12"/>
          <w:color w:val="auto"/>
        </w:rPr>
        <w:t>, which requires an enhanced disclosure of significant segment expenses on an annual and interim basis. The Company adopted ASU No. 2023-07 for the year ended December 31, 2024. The only significant impact from the adoption of this standard relates to incremental disclosures now required. See Note 16 for applicable reportable segment disclosures required by this guidance.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Accounting Pronouncements Not Yet Adopted</w:t>
      </w:r>
    </w:p>
    <w:p>
      <w:pPr>
        <w:spacing w:after="0" w:line="9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2"/>
          <w:szCs w:val="12"/>
          <w:color w:val="auto"/>
        </w:rPr>
        <w:t xml:space="preserve">In December 2023, the FASB issued ASU No. 2023-09, Income Taxes (Topic 740): </w:t>
      </w:r>
      <w:r>
        <w:rPr>
          <w:rFonts w:ascii="Times New Roman" w:cs="Times New Roman" w:eastAsia="Times New Roman" w:hAnsi="Times New Roman"/>
          <w:sz w:val="12"/>
          <w:szCs w:val="12"/>
          <w:i w:val="1"/>
          <w:iCs w:val="1"/>
          <w:color w:val="auto"/>
        </w:rPr>
        <w:t>Improvements to Income Tax Disclosures</w:t>
      </w:r>
      <w:r>
        <w:rPr>
          <w:rFonts w:ascii="Times New Roman" w:cs="Times New Roman" w:eastAsia="Times New Roman" w:hAnsi="Times New Roman"/>
          <w:sz w:val="12"/>
          <w:szCs w:val="12"/>
          <w:color w:val="auto"/>
        </w:rPr>
        <w:t>, which enhances income tax disclosures related to the tax rate reconciliation and income taxes paid. This guidance will be effective for the annual periods beginning the year ended December 31, 2025. Early adoption is permitted. Upon adoption, the guidance can be applied prospectively or retrospectively. The requirements of this ASU are disclosure-related and are not expected to have an impact on the Company’s financial condition, results of operations, or cash flows. The Company is currently evaluating the impact of adopting this new pronouncement on its income tax disclosures.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In November 2024, the FASB issued ASU No. 2024-03, </w:t>
      </w:r>
      <w:r>
        <w:rPr>
          <w:rFonts w:ascii="Times New Roman" w:cs="Times New Roman" w:eastAsia="Times New Roman" w:hAnsi="Times New Roman"/>
          <w:sz w:val="12"/>
          <w:szCs w:val="12"/>
          <w:i w:val="1"/>
          <w:iCs w:val="1"/>
          <w:color w:val="auto"/>
        </w:rPr>
        <w:t>Income Statement—Reporting Comprehensive</w:t>
      </w:r>
    </w:p>
    <w:p>
      <w:pPr>
        <w:spacing w:after="0" w:line="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i w:val="1"/>
          <w:iCs w:val="1"/>
          <w:color w:val="auto"/>
        </w:rPr>
        <w:t>Income—Expense Disaggregation Disclosures (Subtopic 220-40)</w:t>
      </w:r>
      <w:r>
        <w:rPr>
          <w:rFonts w:ascii="Times New Roman" w:cs="Times New Roman" w:eastAsia="Times New Roman" w:hAnsi="Times New Roman"/>
          <w:sz w:val="12"/>
          <w:szCs w:val="12"/>
          <w:color w:val="auto"/>
        </w:rPr>
        <w:t>, which requires disaggregated disclosure of income statement expenses. This guidance will be effective for annual periods beginning the year ended December 31, 2027.</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Early adoption is permitted. Upon adoption, the guidance can be applied prospectively or retrospectively. The Company is currently evaluating the impact of adopting this new pronouncement on its consolidated financial statements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REVENUES</w:t>
      </w:r>
    </w:p>
    <w:p>
      <w:pPr>
        <w:spacing w:after="0" w:line="109"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2"/>
          <w:szCs w:val="12"/>
          <w:color w:val="auto"/>
        </w:rPr>
        <w:t>The Company generates revenues through the following operating segments: Environmental Services and Safety-Kleen Sustainability Solutions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tables below present revenue billed to outside customers by a particular segment. Should it be necessary, there will be intercompany transactions to present the direct revenues in the appropriate segment results. The Company’s significant sources of revenue include:</w:t>
      </w:r>
    </w:p>
    <w:p>
      <w:pPr>
        <w:spacing w:after="0" w:line="7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Technical Services</w:t>
      </w:r>
      <w:r>
        <w:rPr>
          <w:rFonts w:ascii="Times New Roman" w:cs="Times New Roman" w:eastAsia="Times New Roman" w:hAnsi="Times New Roman"/>
          <w:sz w:val="12"/>
          <w:szCs w:val="12"/>
          <w:color w:val="auto"/>
        </w:rPr>
        <w:t>—Technical Services contribute to the revenues of the Environmental Services operating segment. Revenues for these services are generated from fees charged for waste material management and disposal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services including onsite environmental management services, collection and transportation, packaging, recycling, treatment and disposal of waste and remediation projects. These services handle hazardous and/or non-hazardous waste, including per- and polyfluoroalkyl substances (“PFAS”). Revenue is primarily generated by short-term projects, most of which are governed by master service agreements that are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long-term in nature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81"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Industrial Services</w:t>
      </w:r>
      <w:r>
        <w:rPr>
          <w:rFonts w:ascii="Times New Roman" w:cs="Times New Roman" w:eastAsia="Times New Roman" w:hAnsi="Times New Roman"/>
          <w:sz w:val="12"/>
          <w:szCs w:val="12"/>
          <w:color w:val="auto"/>
        </w:rPr>
        <w:t>—Industrial Services contribute to the revenues of the Environmental Services operating segment. These revenues are primarily generated from industrial and specialty services provided to refineries,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6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Field and Emergency Response Services</w:t>
      </w:r>
      <w:r>
        <w:rPr>
          <w:rFonts w:ascii="Times New Roman" w:cs="Times New Roman" w:eastAsia="Times New Roman" w:hAnsi="Times New Roman"/>
          <w:sz w:val="12"/>
          <w:szCs w:val="12"/>
          <w:color w:val="auto"/>
        </w:rPr>
        <w:t>—Field and Emergency Response Services, which includes contributions from Hepaco Blocker, Inc. and its subsidiaries (collectively, “HEPACO”) since its acquisition on March 22,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2024, contribute to the revenues of the Environmental Services 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7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Safety-Kleen Environmental Services</w:t>
      </w:r>
      <w:r>
        <w:rPr>
          <w:rFonts w:ascii="Times New Roman" w:cs="Times New Roman" w:eastAsia="Times New Roman" w:hAnsi="Times New Roman"/>
          <w:sz w:val="12"/>
          <w:szCs w:val="12"/>
          <w:color w:val="auto"/>
        </w:rPr>
        <w:t>—Safety-Kleen Environmental Services revenues contribute both to the Environmental Services operating segment and the SKSS operating segment. Revenues from providing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SKSS operating segment. Due to the complementary nature of these products and services and their customer base, there are some cross-overs of Safety-Kleen Environmental Services revenue streams between the Environmental Services and SKSS operating segments.</w:t>
      </w:r>
    </w:p>
    <w:p>
      <w:pPr>
        <w:spacing w:after="0" w:line="79"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1"/>
          <w:szCs w:val="11"/>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64" w:lineRule="exact"/>
        <w:rPr>
          <w:sz w:val="20"/>
          <w:szCs w:val="20"/>
          <w:color w:val="auto"/>
        </w:rPr>
      </w:pPr>
    </w:p>
    <w:p>
      <w:pPr>
        <w:jc w:val="both"/>
        <w:ind w:right="100"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Safety-Kleen Oil</w:t>
      </w:r>
      <w:r>
        <w:rPr>
          <w:rFonts w:ascii="Times New Roman" w:cs="Times New Roman" w:eastAsia="Times New Roman" w:hAnsi="Times New Roman"/>
          <w:sz w:val="12"/>
          <w:szCs w:val="12"/>
          <w:color w:val="auto"/>
        </w:rPr>
        <w:t>—Safety-Kleen Oil related sales contribute to the revenues of the SKSS segment. These revenues are generated from bulk sales of high-quality base and blended lubricating oils to many industries, including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major oil brands, lubricant blenders and manufacturers, blended lubricant distributors and government agencies. The business also sells recycled fuel oil to asphalt plants, industrial plants and pulp and paper companies. The used oil is also processed into vacuum gas oil which can be further re-refined into lubricant base oils or sold directly into the marine diesel oil fuel market. By-products coming off the refinery are a mixture of light end distillates and asphalt flux that are sold into various markets. Revenue for oil products is recognized at a point in time, upon the transfer of control. Generally, control transfers when the products are delivered to the customer.</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tables present the Company’s third-party revenue disaggregated by source of revenue and geography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gridSpan w:val="10"/>
          </w:tcPr>
          <w:p>
            <w:pPr>
              <w:ind w:left="68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Environmental Services</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4"/>
          </w:tcPr>
          <w:p>
            <w:pPr>
              <w:jc w:val="center"/>
              <w:ind w:right="100"/>
              <w:spacing w:after="0" w:line="99" w:lineRule="exact"/>
              <w:rPr>
                <w:sz w:val="20"/>
                <w:szCs w:val="20"/>
                <w:color w:val="auto"/>
              </w:rPr>
            </w:pPr>
            <w:r>
              <w:rPr>
                <w:rFonts w:ascii="Times New Roman" w:cs="Times New Roman" w:eastAsia="Times New Roman" w:hAnsi="Times New Roman"/>
                <w:sz w:val="11"/>
                <w:szCs w:val="11"/>
                <w:b w:val="1"/>
                <w:bCs w:val="1"/>
                <w:color w:val="auto"/>
                <w:w w:val="98"/>
              </w:rPr>
              <w:t>Safety-Kleen Sustainability</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vMerge w:val="restart"/>
          </w:tcPr>
          <w:p>
            <w:pPr>
              <w:jc w:val="right"/>
              <w:ind w:right="62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3"/>
        </w:trPr>
        <w:tc>
          <w:tcPr>
            <w:tcW w:w="10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Solutions</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620" w:type="dxa"/>
            <w:vAlign w:val="bottom"/>
            <w:gridSpan w:val="3"/>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Primary Geographical Markets</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30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1,116,267</w:t>
            </w: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200,019</w:t>
            </w:r>
          </w:p>
        </w:tc>
        <w:tc>
          <w:tcPr>
            <w:tcW w:w="2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c>
          <w:tcPr>
            <w:tcW w:w="4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2"/>
                <w:szCs w:val="12"/>
                <w:color w:val="auto"/>
              </w:rPr>
              <w:t>1,316,383</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Canada</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90,771</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24,796</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115,567</w:t>
            </w:r>
          </w:p>
        </w:tc>
        <w:tc>
          <w:tcPr>
            <w:tcW w:w="0" w:type="dxa"/>
            <w:vAlign w:val="bottom"/>
          </w:tcPr>
          <w:p>
            <w:pPr>
              <w:spacing w:after="0"/>
              <w:rPr>
                <w:sz w:val="1"/>
                <w:szCs w:val="1"/>
                <w:color w:val="auto"/>
              </w:rPr>
            </w:pPr>
          </w:p>
        </w:tc>
      </w:tr>
      <w:tr>
        <w:trPr>
          <w:trHeight w:val="158"/>
        </w:trPr>
        <w:tc>
          <w:tcPr>
            <w:tcW w:w="4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Total third-party revenues</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1,207,038</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224,815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1,431,950</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62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Sources of Revenue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Technical Services</w:t>
            </w:r>
          </w:p>
        </w:tc>
        <w:tc>
          <w:tcPr>
            <w:tcW w:w="3620" w:type="dxa"/>
            <w:vAlign w:val="bottom"/>
            <w:gridSpan w:val="2"/>
            <w:shd w:val="clear" w:color="auto" w:fill="CCEEFF"/>
          </w:tcPr>
          <w:p>
            <w:pPr>
              <w:spacing w:after="0"/>
              <w:rPr>
                <w:sz w:val="13"/>
                <w:szCs w:val="13"/>
                <w:color w:val="auto"/>
              </w:rPr>
            </w:pPr>
          </w:p>
        </w:tc>
        <w:tc>
          <w:tcPr>
            <w:tcW w:w="1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426,205</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426,205</w:t>
            </w:r>
          </w:p>
        </w:tc>
        <w:tc>
          <w:tcPr>
            <w:tcW w:w="0" w:type="dxa"/>
            <w:vAlign w:val="bottom"/>
          </w:tcPr>
          <w:p>
            <w:pPr>
              <w:spacing w:after="0"/>
              <w:rPr>
                <w:sz w:val="1"/>
                <w:szCs w:val="1"/>
                <w:color w:val="auto"/>
              </w:rPr>
            </w:pPr>
          </w:p>
        </w:tc>
      </w:tr>
      <w:tr>
        <w:trPr>
          <w:trHeight w:val="153"/>
        </w:trPr>
        <w:tc>
          <w:tcPr>
            <w:tcW w:w="4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Industrial Services and 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322,358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322,455</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Field and Emergency Response Services</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215,702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215,702</w:t>
            </w:r>
          </w:p>
        </w:tc>
        <w:tc>
          <w:tcPr>
            <w:tcW w:w="0" w:type="dxa"/>
            <w:vAlign w:val="bottom"/>
          </w:tcPr>
          <w:p>
            <w:pPr>
              <w:spacing w:after="0"/>
              <w:rPr>
                <w:sz w:val="1"/>
                <w:szCs w:val="1"/>
                <w:color w:val="auto"/>
              </w:rPr>
            </w:pPr>
          </w:p>
        </w:tc>
      </w:tr>
      <w:tr>
        <w:trPr>
          <w:trHeight w:val="153"/>
        </w:trPr>
        <w:tc>
          <w:tcPr>
            <w:tcW w:w="4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Safety-Kleen Environmental Services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242,773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64,901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307,674</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Safety-Kleen Oil</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159,914</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159,914</w:t>
            </w:r>
          </w:p>
        </w:tc>
        <w:tc>
          <w:tcPr>
            <w:tcW w:w="0" w:type="dxa"/>
            <w:vAlign w:val="bottom"/>
          </w:tcPr>
          <w:p>
            <w:pPr>
              <w:spacing w:after="0"/>
              <w:rPr>
                <w:sz w:val="1"/>
                <w:szCs w:val="1"/>
                <w:color w:val="auto"/>
              </w:rPr>
            </w:pPr>
          </w:p>
        </w:tc>
      </w:tr>
      <w:tr>
        <w:trPr>
          <w:trHeight w:val="142"/>
        </w:trPr>
        <w:tc>
          <w:tcPr>
            <w:tcW w:w="4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 third-party revenues</w:t>
            </w: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1,207,038</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224,815</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1,431,950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0"/>
          </w:tcPr>
          <w:p>
            <w:pPr>
              <w:ind w:left="66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Environmental Services</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4"/>
          </w:tcPr>
          <w:p>
            <w:pPr>
              <w:jc w:val="center"/>
              <w:ind w:right="140"/>
              <w:spacing w:after="0" w:line="99" w:lineRule="exact"/>
              <w:rPr>
                <w:sz w:val="20"/>
                <w:szCs w:val="20"/>
                <w:color w:val="auto"/>
              </w:rPr>
            </w:pPr>
            <w:r>
              <w:rPr>
                <w:rFonts w:ascii="Times New Roman" w:cs="Times New Roman" w:eastAsia="Times New Roman" w:hAnsi="Times New Roman"/>
                <w:sz w:val="11"/>
                <w:szCs w:val="11"/>
                <w:b w:val="1"/>
                <w:bCs w:val="1"/>
                <w:color w:val="auto"/>
                <w:w w:val="98"/>
              </w:rPr>
              <w:t>Safety-Kleen Sustainability</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vMerge w:val="restart"/>
          </w:tcPr>
          <w:p>
            <w:pPr>
              <w:jc w:val="right"/>
              <w:ind w:right="62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3"/>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Solutions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620" w:type="dxa"/>
            <w:vAlign w:val="bottom"/>
            <w:tcBorders>
              <w:top w:val="single" w:sz="8" w:color="CCEEFF"/>
            </w:tcBorders>
            <w:gridSpan w:val="3"/>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Primary Geographical Markets</w:t>
            </w:r>
          </w:p>
        </w:tc>
        <w:tc>
          <w:tcPr>
            <w:tcW w:w="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4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30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gridSpan w:val="2"/>
          </w:tcPr>
          <w:p>
            <w:pPr>
              <w:jc w:val="right"/>
              <w:ind w:right="46"/>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1,053,458</w:t>
            </w: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193,912</w:t>
            </w:r>
          </w:p>
        </w:tc>
        <w:tc>
          <w:tcPr>
            <w:tcW w:w="2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2"/>
                <w:szCs w:val="12"/>
                <w:color w:val="auto"/>
              </w:rPr>
              <w:t>1,247,472</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Canada</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107,821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21,402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129,223</w:t>
            </w:r>
          </w:p>
        </w:tc>
        <w:tc>
          <w:tcPr>
            <w:tcW w:w="0" w:type="dxa"/>
            <w:vAlign w:val="bottom"/>
          </w:tcPr>
          <w:p>
            <w:pPr>
              <w:spacing w:after="0"/>
              <w:rPr>
                <w:sz w:val="1"/>
                <w:szCs w:val="1"/>
                <w:color w:val="auto"/>
              </w:rPr>
            </w:pPr>
          </w:p>
        </w:tc>
      </w:tr>
      <w:tr>
        <w:trPr>
          <w:trHeight w:val="158"/>
        </w:trPr>
        <w:tc>
          <w:tcPr>
            <w:tcW w:w="4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Total third-party revenues</w:t>
            </w:r>
          </w:p>
        </w:tc>
        <w:tc>
          <w:tcPr>
            <w:tcW w:w="180" w:type="dxa"/>
            <w:vAlign w:val="bottom"/>
            <w:tcBorders>
              <w:top w:val="single" w:sz="8" w:color="auto"/>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1,161,279</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215,314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1,376,695</w:t>
            </w:r>
          </w:p>
        </w:tc>
        <w:tc>
          <w:tcPr>
            <w:tcW w:w="0" w:type="dxa"/>
            <w:vAlign w:val="bottom"/>
          </w:tcPr>
          <w:p>
            <w:pPr>
              <w:spacing w:after="0"/>
              <w:rPr>
                <w:sz w:val="1"/>
                <w:szCs w:val="1"/>
                <w:color w:val="auto"/>
              </w:rPr>
            </w:pPr>
          </w:p>
        </w:tc>
      </w:tr>
      <w:tr>
        <w:trPr>
          <w:trHeight w:val="126"/>
        </w:trPr>
        <w:tc>
          <w:tcPr>
            <w:tcW w:w="10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62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Sources of Revenue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Technical Services</w:t>
            </w:r>
          </w:p>
        </w:tc>
        <w:tc>
          <w:tcPr>
            <w:tcW w:w="3620" w:type="dxa"/>
            <w:vAlign w:val="bottom"/>
            <w:gridSpan w:val="2"/>
            <w:shd w:val="clear" w:color="auto" w:fill="CCEEFF"/>
          </w:tcPr>
          <w:p>
            <w:pPr>
              <w:spacing w:after="0"/>
              <w:rPr>
                <w:sz w:val="13"/>
                <w:szCs w:val="13"/>
                <w:color w:val="auto"/>
              </w:rPr>
            </w:pPr>
          </w:p>
        </w:tc>
        <w:tc>
          <w:tcPr>
            <w:tcW w:w="1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407,491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407,491</w:t>
            </w:r>
          </w:p>
        </w:tc>
        <w:tc>
          <w:tcPr>
            <w:tcW w:w="0" w:type="dxa"/>
            <w:vAlign w:val="bottom"/>
          </w:tcPr>
          <w:p>
            <w:pPr>
              <w:spacing w:after="0"/>
              <w:rPr>
                <w:sz w:val="1"/>
                <w:szCs w:val="1"/>
                <w:color w:val="auto"/>
              </w:rPr>
            </w:pPr>
          </w:p>
        </w:tc>
      </w:tr>
      <w:tr>
        <w:trPr>
          <w:trHeight w:val="153"/>
        </w:trPr>
        <w:tc>
          <w:tcPr>
            <w:tcW w:w="4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Industrial Services and 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359,397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359,499</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Field and Emergency Response Services</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163,469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163,469</w:t>
            </w:r>
          </w:p>
        </w:tc>
        <w:tc>
          <w:tcPr>
            <w:tcW w:w="0" w:type="dxa"/>
            <w:vAlign w:val="bottom"/>
          </w:tcPr>
          <w:p>
            <w:pPr>
              <w:spacing w:after="0"/>
              <w:rPr>
                <w:sz w:val="1"/>
                <w:szCs w:val="1"/>
                <w:color w:val="auto"/>
              </w:rPr>
            </w:pPr>
          </w:p>
        </w:tc>
      </w:tr>
      <w:tr>
        <w:trPr>
          <w:trHeight w:val="153"/>
        </w:trPr>
        <w:tc>
          <w:tcPr>
            <w:tcW w:w="4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Safety-Kleen Environmental Services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230,922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53,021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283,943</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Safety-Kleen Oil</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162,293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162,293</w:t>
            </w:r>
          </w:p>
        </w:tc>
        <w:tc>
          <w:tcPr>
            <w:tcW w:w="0" w:type="dxa"/>
            <w:vAlign w:val="bottom"/>
          </w:tcPr>
          <w:p>
            <w:pPr>
              <w:spacing w:after="0"/>
              <w:rPr>
                <w:sz w:val="1"/>
                <w:szCs w:val="1"/>
                <w:color w:val="auto"/>
              </w:rPr>
            </w:pPr>
          </w:p>
        </w:tc>
      </w:tr>
      <w:tr>
        <w:trPr>
          <w:trHeight w:val="142"/>
        </w:trPr>
        <w:tc>
          <w:tcPr>
            <w:tcW w:w="4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 third-party revenues</w:t>
            </w:r>
          </w:p>
        </w:tc>
        <w:tc>
          <w:tcPr>
            <w:tcW w:w="180" w:type="dxa"/>
            <w:vAlign w:val="bottom"/>
            <w:tcBorders>
              <w:top w:val="single" w:sz="8" w:color="auto"/>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1,161,279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215,314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1,376,695</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Contract Balances</w:t>
            </w: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620" w:type="dxa"/>
            <w:vAlign w:val="bottom"/>
            <w:gridSpan w:val="3"/>
            <w:vMerge w:val="continue"/>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46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3"/>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44"/>
        </w:trPr>
        <w:tc>
          <w:tcPr>
            <w:tcW w:w="46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Receivables</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1,077,510</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1,015,357</w:t>
            </w:r>
          </w:p>
        </w:tc>
        <w:tc>
          <w:tcPr>
            <w:tcW w:w="0" w:type="dxa"/>
            <w:vAlign w:val="bottom"/>
          </w:tcPr>
          <w:p>
            <w:pPr>
              <w:spacing w:after="0"/>
              <w:rPr>
                <w:sz w:val="1"/>
                <w:szCs w:val="1"/>
                <w:color w:val="auto"/>
              </w:rPr>
            </w:pPr>
          </w:p>
        </w:tc>
      </w:tr>
      <w:tr>
        <w:trPr>
          <w:trHeight w:val="153"/>
        </w:trPr>
        <w:tc>
          <w:tcPr>
            <w:tcW w:w="4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Contract assets (unbilled receivables)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171,089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162,215</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liabilities (deferred revenue)</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96,171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88,545</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The timing of revenue recognition, billings and cash collections results in billed accounts receivable, unbilled receivables (contract assets) and customer advances and deposits or deferred revenue (contract liabilities) on the consolidated balance sheet.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are generally fully recognized in the subsequent three-month period.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BUSINESS COMBINATIONS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2024 Acquisitions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March 22, 2024, the Company acquired HEPACO for an all-cash purchase price of $392.2 million, net of cash acquired. The operations of HEPACO expand the Environmental Services segment’s field services business.</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 finalized the purchase accounting for this acquisition in the first quarter of 2025. The allocation of the purchase price was based on estimates of the fair value and assets acquired and liabilities assumed as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22, 2024. The following table summarizes the preliminary and final determinations and recognition of assets acquired and liabilities assumed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At Acquisition Date As Reported</w:t>
            </w: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Final Allocation At Acquisition Date As</w:t>
            </w:r>
          </w:p>
        </w:tc>
      </w:tr>
      <w:tr>
        <w:trPr>
          <w:trHeight w:val="149"/>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Measurement Period Adjustments</w:t>
            </w:r>
          </w:p>
        </w:tc>
        <w:tc>
          <w:tcPr>
            <w:tcW w:w="120" w:type="dxa"/>
            <w:vAlign w:val="bottom"/>
          </w:tcPr>
          <w:p>
            <w:pPr>
              <w:spacing w:after="0"/>
              <w:rPr>
                <w:sz w:val="12"/>
                <w:szCs w:val="12"/>
                <w:color w:val="auto"/>
              </w:rPr>
            </w:pPr>
          </w:p>
        </w:tc>
        <w:tc>
          <w:tcPr>
            <w:tcW w:w="208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Reported March 31, 2025</w:t>
            </w:r>
          </w:p>
        </w:tc>
      </w:tr>
      <w:tr>
        <w:trPr>
          <w:trHeight w:val="148"/>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 including unbilled receivables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69,072</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68,216</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Inventories and supplies</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2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384</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4,260</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47,125</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47,510</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Permits and other intangibles</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130,500</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130,500</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9,385</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2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9,385</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5,712</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6,845</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(30,602)</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(30,602)</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(16,005)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(16,305)</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(2,758)</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less current portion</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(6,627)</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Closure and post-closure liabilities</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(2,492)</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(2,877)</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Remedial liabilities</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(2,435)</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r>
      <w:tr>
        <w:trPr>
          <w:trHeight w:val="160"/>
        </w:trPr>
        <w:tc>
          <w:tcPr>
            <w:tcW w:w="550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identifiable net assets</w:t>
            </w:r>
          </w:p>
        </w:tc>
        <w:tc>
          <w:tcPr>
            <w:tcW w:w="8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205,268</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205,122</w:t>
            </w:r>
          </w:p>
        </w:tc>
      </w:tr>
      <w:tr>
        <w:trPr>
          <w:trHeight w:val="171"/>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Goodwill</w:t>
            </w: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186,911</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187,057</w:t>
            </w:r>
          </w:p>
        </w:tc>
      </w:tr>
      <w:tr>
        <w:trPr>
          <w:trHeight w:val="176"/>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purchase price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392,179</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392,179</w:t>
            </w:r>
          </w:p>
        </w:tc>
      </w:tr>
    </w:tbl>
    <w:p>
      <w:pPr>
        <w:spacing w:after="0" w:line="151"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2"/>
          <w:szCs w:val="12"/>
          <w:color w:val="auto"/>
        </w:rPr>
        <w:t>Other intangible assets acquired include customer relationships and trademarks/tradenames and are anticipated to have estimated useful lives of between seven and 20 years with a weighted average useful life of approximately 19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assembled workforce and growth potential that the Company expects to realize from the acquisition. Goodwill generated from the acquisition is not deductible for tax purposes.</w:t>
      </w:r>
    </w:p>
    <w:p>
      <w:pPr>
        <w:spacing w:after="0" w:line="68"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operations of HEPACO are included in the Company’s financial statements as of the date of acquisition. Pro forma revenue and earnings amounts on a combined basis as if this acquisition had been completed on January 1, 2024 are immaterial to the consolidated financial statements of the Company.</w:t>
      </w:r>
    </w:p>
    <w:p>
      <w:pPr>
        <w:spacing w:after="0" w:line="66"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On March 1, 2024, the Company acquired Noble Oil Services, Inc and its subsidiaries (collectively, “Noble”) for an all-cash purchase price of $68.7 million, net of cash acquired. The acquisition of Noble expands the SKSS segment’s oil collection operations in the southeastern region of the United States while also adding incremental production from the re-refinery owned and operated by the acquired company.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Company finalized the purchase accounting for this acquisition in the first quarter of 2025. The allocation of the purchase price was based on estimates of the fair value and assets acquired and liabilities assumed as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 2024. The following table summarizes the preliminary and final determinations and recognition of assets acquired and liabilities assumed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At Acquisition Date As Reported</w:t>
            </w: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Final Allocation At Acquisition Date As</w:t>
            </w:r>
          </w:p>
        </w:tc>
      </w:tr>
      <w:tr>
        <w:trPr>
          <w:trHeight w:val="158"/>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Measurement Period Adjustments</w:t>
            </w:r>
          </w:p>
        </w:tc>
        <w:tc>
          <w:tcPr>
            <w:tcW w:w="120" w:type="dxa"/>
            <w:vAlign w:val="bottom"/>
          </w:tcPr>
          <w:p>
            <w:pPr>
              <w:spacing w:after="0"/>
              <w:rPr>
                <w:sz w:val="13"/>
                <w:szCs w:val="13"/>
                <w:color w:val="auto"/>
              </w:rPr>
            </w:pPr>
          </w:p>
        </w:tc>
        <w:tc>
          <w:tcPr>
            <w:tcW w:w="208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Reported March 31, 2025</w:t>
            </w:r>
          </w:p>
        </w:tc>
      </w:tr>
      <w:tr>
        <w:trPr>
          <w:trHeight w:val="14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 including unbilled receivables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5,855</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5,847</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Inventories and supplies</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6,598</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2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6,598</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408</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55,615</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55,650</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Permits and other intangibles</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14,500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14,500</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3,615</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2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3,615</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92</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(7,752)</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(1,128)</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less current portion</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(1,792)</w:t>
            </w:r>
          </w:p>
        </w:tc>
      </w:tr>
      <w:tr>
        <w:trPr>
          <w:trHeight w:val="171"/>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Closure and post-closure liabilities</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(8,929)</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(8,964)</w:t>
            </w:r>
          </w:p>
        </w:tc>
      </w:tr>
      <w:tr>
        <w:trPr>
          <w:trHeight w:val="171"/>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Remedial liabilities</w:t>
            </w:r>
          </w:p>
        </w:tc>
        <w:tc>
          <w:tcPr>
            <w:tcW w:w="8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(2,757)</w:t>
            </w:r>
          </w:p>
        </w:tc>
        <w:tc>
          <w:tcPr>
            <w:tcW w:w="1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(2,667)</w:t>
            </w:r>
          </w:p>
        </w:tc>
      </w:tr>
      <w:tr>
        <w:trPr>
          <w:trHeight w:val="152"/>
        </w:trPr>
        <w:tc>
          <w:tcPr>
            <w:tcW w:w="55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identifiable net assets</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62,485</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62,584</w:t>
            </w:r>
          </w:p>
        </w:tc>
      </w:tr>
      <w:tr>
        <w:trPr>
          <w:trHeight w:val="17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6,257</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6,158</w:t>
            </w:r>
          </w:p>
        </w:tc>
      </w:tr>
      <w:tr>
        <w:trPr>
          <w:trHeight w:val="160"/>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Total purchase price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68,742</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68,742</w:t>
            </w:r>
          </w:p>
        </w:tc>
      </w:tr>
      <w:tr>
        <w:trPr>
          <w:trHeight w:val="20"/>
        </w:trPr>
        <w:tc>
          <w:tcPr>
            <w:tcW w:w="5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Other intangible assets acquired include customer relationships and trademarks/tradenames and are anticipated to have estimated useful lives of between seven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and assembled workforce that the Company expects to realize from the acquisition. Goodwill generated from the acquisition is deductible for tax purposes.</w:t>
      </w:r>
    </w:p>
    <w:p>
      <w:pPr>
        <w:spacing w:after="0" w:line="74"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The operations of Noble are included in the Company’s financial statements as of the date of acquisition. Pro forma revenue and earnings amounts on a combined basis as if this acquisition had been completed on January 1, 2024 are immaterial to the consolidated financial statements of the Company.</w:t>
      </w:r>
    </w:p>
    <w:p>
      <w:pPr>
        <w:spacing w:after="0" w:line="66" w:lineRule="exact"/>
        <w:rPr>
          <w:sz w:val="20"/>
          <w:szCs w:val="20"/>
          <w:color w:val="auto"/>
        </w:rPr>
      </w:pPr>
    </w:p>
    <w:p>
      <w:pPr>
        <w:ind w:right="560" w:firstLine="432"/>
        <w:spacing w:after="0" w:line="279" w:lineRule="auto"/>
        <w:rPr>
          <w:sz w:val="20"/>
          <w:szCs w:val="20"/>
          <w:color w:val="auto"/>
        </w:rPr>
      </w:pPr>
      <w:r>
        <w:rPr>
          <w:rFonts w:ascii="Times New Roman" w:cs="Times New Roman" w:eastAsia="Times New Roman" w:hAnsi="Times New Roman"/>
          <w:sz w:val="12"/>
          <w:szCs w:val="12"/>
          <w:color w:val="auto"/>
        </w:rPr>
        <w:t>During 2024, the Company completed the acquisition of three additional privately-owned businesses for $17.1 million in total cash consideration. The operations of the acquired businesses were consolidated into the Environmental Services and SKSS segments. The acquisitions of the acquired businesses were not material in 2024 to the consolidated financial statements of the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INVENTORIES AND SUPPLIES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Inventories and supplies consisted of the following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8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44"/>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Supplies</w:t>
            </w:r>
          </w:p>
        </w:tc>
        <w:tc>
          <w:tcPr>
            <w:tcW w:w="1260" w:type="dxa"/>
            <w:vAlign w:val="bottom"/>
            <w:shd w:val="clear" w:color="auto" w:fill="CCEEFF"/>
          </w:tcPr>
          <w:p>
            <w:pPr>
              <w:jc w:val="right"/>
              <w:ind w:right="112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211,022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200,905</w:t>
            </w:r>
          </w:p>
        </w:tc>
      </w:tr>
      <w:tr>
        <w:trPr>
          <w:trHeight w:val="153"/>
        </w:trPr>
        <w:tc>
          <w:tcPr>
            <w:tcW w:w="7840" w:type="dxa"/>
            <w:vAlign w:val="bottom"/>
          </w:tcPr>
          <w:p>
            <w:pPr>
              <w:spacing w:after="0"/>
              <w:rPr>
                <w:sz w:val="20"/>
                <w:szCs w:val="20"/>
                <w:color w:val="auto"/>
              </w:rPr>
            </w:pPr>
            <w:r>
              <w:rPr>
                <w:rFonts w:ascii="Times New Roman" w:cs="Times New Roman" w:eastAsia="Times New Roman" w:hAnsi="Times New Roman"/>
                <w:sz w:val="12"/>
                <w:szCs w:val="12"/>
                <w:color w:val="auto"/>
              </w:rPr>
              <w:t>Oil and oil related products</w:t>
            </w:r>
          </w:p>
        </w:tc>
        <w:tc>
          <w:tcPr>
            <w:tcW w:w="1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134,786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152,992</w:t>
            </w:r>
          </w:p>
        </w:tc>
      </w:tr>
      <w:tr>
        <w:trPr>
          <w:trHeight w:val="153"/>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Solvent and solutions</w:t>
            </w:r>
          </w:p>
        </w:tc>
        <w:tc>
          <w:tcPr>
            <w:tcW w:w="1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12,330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12,458</w:t>
            </w:r>
          </w:p>
        </w:tc>
      </w:tr>
      <w:tr>
        <w:trPr>
          <w:trHeight w:val="153"/>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1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17,886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18,302</w:t>
            </w:r>
          </w:p>
        </w:tc>
      </w:tr>
      <w:tr>
        <w:trPr>
          <w:trHeight w:val="158"/>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inventories and supplies</w:t>
            </w:r>
          </w:p>
        </w:tc>
        <w:tc>
          <w:tcPr>
            <w:tcW w:w="1260" w:type="dxa"/>
            <w:vAlign w:val="bottom"/>
            <w:tcBorders>
              <w:bottom w:val="single" w:sz="8" w:color="auto"/>
            </w:tcBorders>
            <w:shd w:val="clear" w:color="auto" w:fill="CCEEFF"/>
          </w:tcPr>
          <w:p>
            <w:pPr>
              <w:jc w:val="right"/>
              <w:ind w:right="112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376,024</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384,657</w:t>
            </w:r>
          </w:p>
        </w:tc>
      </w:tr>
    </w:tbl>
    <w:p>
      <w:pPr>
        <w:spacing w:after="0" w:line="142" w:lineRule="exact"/>
        <w:rPr>
          <w:sz w:val="20"/>
          <w:szCs w:val="20"/>
          <w:color w:val="auto"/>
        </w:rPr>
      </w:pPr>
    </w:p>
    <w:p>
      <w:pPr>
        <w:ind w:right="380" w:firstLine="432"/>
        <w:spacing w:after="0" w:line="279" w:lineRule="auto"/>
        <w:rPr>
          <w:sz w:val="20"/>
          <w:szCs w:val="20"/>
          <w:color w:val="auto"/>
        </w:rPr>
      </w:pPr>
      <w:r>
        <w:rPr>
          <w:rFonts w:ascii="Times New Roman" w:cs="Times New Roman" w:eastAsia="Times New Roman" w:hAnsi="Times New Roman"/>
          <w:sz w:val="12"/>
          <w:szCs w:val="12"/>
          <w:color w:val="auto"/>
        </w:rPr>
        <w:t>Supplies inventories consist primarily of critical spare parts to support the Company’s incinerator and re-refinery operations and other general supplies used in our normal day-to-day operations. Other inventories consist primarily of parts washer components, cleaning fluids, absorbents and automotive fluids, such as windshield washer fluid and antifreeze.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PROPERTY, PLANT AND EQUIPMENT</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Property, plant and equipment consisted of the following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40" w:type="dxa"/>
            <w:vAlign w:val="bottom"/>
          </w:tcPr>
          <w:p>
            <w:pPr>
              <w:spacing w:after="0"/>
              <w:rPr>
                <w:sz w:val="12"/>
                <w:szCs w:val="12"/>
                <w:color w:val="auto"/>
              </w:rPr>
            </w:pPr>
          </w:p>
        </w:tc>
        <w:tc>
          <w:tcPr>
            <w:tcW w:w="1420" w:type="dxa"/>
            <w:vAlign w:val="bottom"/>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44"/>
        </w:trPr>
        <w:tc>
          <w:tcPr>
            <w:tcW w:w="7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w:t>
            </w: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184,361</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184,191</w:t>
            </w:r>
          </w:p>
        </w:tc>
      </w:tr>
      <w:tr>
        <w:trPr>
          <w:trHeight w:val="153"/>
        </w:trPr>
        <w:tc>
          <w:tcPr>
            <w:tcW w:w="7840" w:type="dxa"/>
            <w:vAlign w:val="bottom"/>
          </w:tcPr>
          <w:p>
            <w:pPr>
              <w:spacing w:after="0"/>
              <w:rPr>
                <w:sz w:val="20"/>
                <w:szCs w:val="20"/>
                <w:color w:val="auto"/>
              </w:rPr>
            </w:pPr>
            <w:r>
              <w:rPr>
                <w:rFonts w:ascii="Times New Roman" w:cs="Times New Roman" w:eastAsia="Times New Roman" w:hAnsi="Times New Roman"/>
                <w:sz w:val="12"/>
                <w:szCs w:val="12"/>
                <w:color w:val="auto"/>
              </w:rPr>
              <w:t>Asset retirement costs (non-landfill)</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39,268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38,705</w:t>
            </w:r>
          </w:p>
        </w:tc>
      </w:tr>
      <w:tr>
        <w:trPr>
          <w:trHeight w:val="153"/>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Landfill assets</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259,129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258,138</w:t>
            </w:r>
          </w:p>
        </w:tc>
      </w:tr>
      <w:tr>
        <w:trPr>
          <w:trHeight w:val="153"/>
        </w:trPr>
        <w:tc>
          <w:tcPr>
            <w:tcW w:w="784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 xml:space="preserve">Buildings and improvements </w:t>
            </w:r>
            <w:r>
              <w:rPr>
                <w:rFonts w:ascii="Times New Roman" w:cs="Times New Roman" w:eastAsia="Times New Roman" w:hAnsi="Times New Roman"/>
                <w:sz w:val="15"/>
                <w:szCs w:val="15"/>
                <w:color w:val="auto"/>
                <w:vertAlign w:val="superscript"/>
              </w:rPr>
              <w:t>(1)</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718,973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719,439</w:t>
            </w:r>
          </w:p>
        </w:tc>
      </w:tr>
      <w:tr>
        <w:trPr>
          <w:trHeight w:val="153"/>
        </w:trPr>
        <w:tc>
          <w:tcPr>
            <w:tcW w:w="78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Vehicles </w:t>
            </w:r>
            <w:r>
              <w:rPr>
                <w:rFonts w:ascii="Times New Roman" w:cs="Times New Roman" w:eastAsia="Times New Roman" w:hAnsi="Times New Roman"/>
                <w:sz w:val="15"/>
                <w:szCs w:val="15"/>
                <w:color w:val="auto"/>
                <w:vertAlign w:val="superscript"/>
              </w:rPr>
              <w:t>(2)</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1,500,145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1,455,530</w:t>
            </w:r>
          </w:p>
        </w:tc>
      </w:tr>
      <w:tr>
        <w:trPr>
          <w:trHeight w:val="153"/>
        </w:trPr>
        <w:tc>
          <w:tcPr>
            <w:tcW w:w="784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 xml:space="preserve">Equipment </w:t>
            </w:r>
            <w:r>
              <w:rPr>
                <w:rFonts w:ascii="Times New Roman" w:cs="Times New Roman" w:eastAsia="Times New Roman" w:hAnsi="Times New Roman"/>
                <w:sz w:val="15"/>
                <w:szCs w:val="15"/>
                <w:color w:val="auto"/>
                <w:vertAlign w:val="superscript"/>
              </w:rPr>
              <w:t>(3)</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2,607,003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2,600,085</w:t>
            </w:r>
          </w:p>
        </w:tc>
      </w:tr>
      <w:tr>
        <w:trPr>
          <w:trHeight w:val="153"/>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3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73,565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70,305</w:t>
            </w:r>
          </w:p>
        </w:tc>
      </w:tr>
      <w:tr>
        <w:trPr>
          <w:trHeight w:val="142"/>
        </w:trPr>
        <w:tc>
          <w:tcPr>
            <w:tcW w:w="7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5,382,444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5,326,393</w:t>
            </w:r>
          </w:p>
        </w:tc>
      </w:tr>
      <w:tr>
        <w:trPr>
          <w:trHeight w:val="153"/>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 accumulated depreciation and amortization</w:t>
            </w:r>
          </w:p>
        </w:tc>
        <w:tc>
          <w:tcPr>
            <w:tcW w:w="3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2,918,824</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2,878,452</w:t>
            </w:r>
          </w:p>
        </w:tc>
      </w:tr>
      <w:tr>
        <w:trPr>
          <w:trHeight w:val="142"/>
        </w:trPr>
        <w:tc>
          <w:tcPr>
            <w:tcW w:w="7840" w:type="dxa"/>
            <w:vAlign w:val="bottom"/>
          </w:tcPr>
          <w:p>
            <w:pPr>
              <w:spacing w:after="0"/>
              <w:rPr>
                <w:sz w:val="20"/>
                <w:szCs w:val="20"/>
                <w:color w:val="auto"/>
              </w:rPr>
            </w:pPr>
            <w:r>
              <w:rPr>
                <w:rFonts w:ascii="Times New Roman" w:cs="Times New Roman" w:eastAsia="Times New Roman" w:hAnsi="Times New Roman"/>
                <w:sz w:val="12"/>
                <w:szCs w:val="12"/>
                <w:color w:val="auto"/>
              </w:rPr>
              <w:t>Total property, plant and equipment, net</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2,463,620</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2,447,941</w:t>
            </w: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w:t>
      </w:r>
    </w:p>
    <w:p>
      <w:pPr>
        <w:spacing w:after="0" w:line="44" w:lineRule="exact"/>
        <w:rPr>
          <w:sz w:val="20"/>
          <w:szCs w:val="20"/>
          <w:color w:val="auto"/>
        </w:rPr>
      </w:pPr>
    </w:p>
    <w:p>
      <w:pPr>
        <w:ind w:left="380" w:hanging="1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Balances inclusive of gross right-of-use (“ROU”) assets classified as finance leases of $8.0 million in both periods.</w:t>
      </w:r>
    </w:p>
    <w:p>
      <w:pPr>
        <w:spacing w:after="0" w:line="16"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Balances inclusive of gross ROU assets classified as finance leases of $258.2 million and $230.5 million, respectively.</w:t>
      </w:r>
    </w:p>
    <w:p>
      <w:pPr>
        <w:spacing w:after="0" w:line="6"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Balances inclusive of gross ROU assets classified as finance leases of $9.2 million in both periods.</w:t>
      </w:r>
    </w:p>
    <w:p>
      <w:pPr>
        <w:spacing w:after="0" w:line="94"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Depreciation expense, inclusive of landfill and finance lease amortization, was $98.7 million and $82.2 million for the three months ended March 31, 2025 and March 31, 2024, respectively. For the three months ended March 31, 2025, capitalized interest recorded by the Company was negligible. For the three months ended March 31, 2024, the Company recorded $2.5 million of capitalized interest mainly due to the construction of the new incinerator in Kimball, Nebraska.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GOODWILL AND OTHER INTANGIBLE ASSETS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changes in goodwill by segment for the three months ended March 31, 2025 were as follows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Environmental Services</w:t>
            </w:r>
          </w:p>
        </w:tc>
        <w:tc>
          <w:tcPr>
            <w:tcW w:w="80" w:type="dxa"/>
            <w:vAlign w:val="bottom"/>
          </w:tcPr>
          <w:p>
            <w:pPr>
              <w:spacing w:after="0"/>
              <w:rPr>
                <w:sz w:val="11"/>
                <w:szCs w:val="11"/>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Safety-Kleen</w:t>
            </w:r>
          </w:p>
        </w:tc>
        <w:tc>
          <w:tcPr>
            <w:tcW w:w="280" w:type="dxa"/>
            <w:vAlign w:val="bottom"/>
          </w:tcPr>
          <w:p>
            <w:pPr>
              <w:spacing w:after="0"/>
              <w:rPr>
                <w:sz w:val="11"/>
                <w:szCs w:val="11"/>
                <w:color w:val="auto"/>
              </w:rPr>
            </w:pPr>
          </w:p>
        </w:tc>
        <w:tc>
          <w:tcPr>
            <w:tcW w:w="980" w:type="dxa"/>
            <w:vAlign w:val="bottom"/>
            <w:vMerge w:val="restart"/>
          </w:tcPr>
          <w:p>
            <w:pPr>
              <w:jc w:val="right"/>
              <w:ind w:right="441"/>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0" w:type="dxa"/>
            <w:vAlign w:val="bottom"/>
          </w:tcPr>
          <w:p>
            <w:pPr>
              <w:spacing w:after="0"/>
              <w:rPr>
                <w:sz w:val="1"/>
                <w:szCs w:val="1"/>
                <w:color w:val="auto"/>
              </w:rPr>
            </w:pPr>
          </w:p>
        </w:tc>
      </w:tr>
      <w:tr>
        <w:trPr>
          <w:trHeight w:val="143"/>
        </w:trPr>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Sustainability Solutions</w:t>
            </w: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1, 2025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1,296,204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180,995</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1,477,199</w:t>
            </w:r>
          </w:p>
        </w:tc>
        <w:tc>
          <w:tcPr>
            <w:tcW w:w="0" w:type="dxa"/>
            <w:vAlign w:val="bottom"/>
          </w:tcPr>
          <w:p>
            <w:pPr>
              <w:spacing w:after="0"/>
              <w:rPr>
                <w:sz w:val="1"/>
                <w:szCs w:val="1"/>
                <w:color w:val="auto"/>
              </w:rPr>
            </w:pPr>
          </w:p>
        </w:tc>
      </w:tr>
      <w:tr>
        <w:trPr>
          <w:trHeight w:val="153"/>
        </w:trPr>
        <w:tc>
          <w:tcPr>
            <w:tcW w:w="7280" w:type="dxa"/>
            <w:vAlign w:val="bottom"/>
          </w:tcPr>
          <w:p>
            <w:pPr>
              <w:spacing w:after="0"/>
              <w:rPr>
                <w:sz w:val="20"/>
                <w:szCs w:val="20"/>
                <w:color w:val="auto"/>
              </w:rPr>
            </w:pPr>
            <w:r>
              <w:rPr>
                <w:rFonts w:ascii="Times New Roman" w:cs="Times New Roman" w:eastAsia="Times New Roman" w:hAnsi="Times New Roman"/>
                <w:sz w:val="12"/>
                <w:szCs w:val="12"/>
                <w:color w:val="auto"/>
              </w:rPr>
              <w:t>Measurement period adjustments from prior period acquisitions</w:t>
            </w:r>
          </w:p>
        </w:tc>
        <w:tc>
          <w:tcPr>
            <w:tcW w:w="80" w:type="dxa"/>
            <w:vAlign w:val="bottom"/>
          </w:tcPr>
          <w:p>
            <w:pPr>
              <w:spacing w:after="0"/>
              <w:rPr>
                <w:sz w:val="13"/>
                <w:szCs w:val="13"/>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5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20"/>
                <w:szCs w:val="20"/>
                <w:color w:val="auto"/>
              </w:rPr>
            </w:pPr>
            <w:r>
              <w:rPr>
                <w:rFonts w:ascii="Times New Roman" w:cs="Times New Roman" w:eastAsia="Times New Roman" w:hAnsi="Times New Roman"/>
                <w:sz w:val="12"/>
                <w:szCs w:val="12"/>
                <w:color w:val="auto"/>
              </w:rPr>
              <w:t>Balance at March 31, 2025</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1,296,394</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180,913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1,477,307</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340" w:firstLine="432"/>
        <w:spacing w:after="0" w:line="279" w:lineRule="auto"/>
        <w:rPr>
          <w:sz w:val="20"/>
          <w:szCs w:val="20"/>
          <w:color w:val="auto"/>
        </w:rPr>
      </w:pPr>
      <w:r>
        <w:rPr>
          <w:rFonts w:ascii="Times New Roman" w:cs="Times New Roman" w:eastAsia="Times New Roman" w:hAnsi="Times New Roman"/>
          <w:sz w:val="12"/>
          <w:szCs w:val="12"/>
          <w:color w:val="auto"/>
        </w:rPr>
        <w:t>The Company assesses goodwill on an annual basis as of December 31 or at an interim date when events or changes in the business environment (“triggering events”) would more likely than not reduce the fair value of a reporting unit below its carrying value. During the period ended March 31, 2025, no such triggering events were identified.</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March 31, 2025 and December 31, 2024, the Company’s intangible assets consisted of the following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March 31, 2025</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8"/>
                <w:szCs w:val="8"/>
                <w:color w:val="auto"/>
              </w:rPr>
            </w:pPr>
          </w:p>
        </w:tc>
        <w:tc>
          <w:tcPr>
            <w:tcW w:w="112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260" w:type="dxa"/>
            <w:vAlign w:val="bottom"/>
          </w:tcPr>
          <w:p>
            <w:pPr>
              <w:spacing w:after="0"/>
              <w:rPr>
                <w:sz w:val="8"/>
                <w:szCs w:val="8"/>
                <w:color w:val="auto"/>
              </w:rPr>
            </w:pP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Net</w:t>
            </w:r>
          </w:p>
        </w:tc>
        <w:tc>
          <w:tcPr>
            <w:tcW w:w="260" w:type="dxa"/>
            <w:vAlign w:val="bottom"/>
          </w:tcPr>
          <w:p>
            <w:pPr>
              <w:spacing w:after="0"/>
              <w:rPr>
                <w:sz w:val="8"/>
                <w:szCs w:val="8"/>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8"/>
                <w:szCs w:val="8"/>
                <w:color w:val="auto"/>
              </w:rPr>
            </w:pPr>
          </w:p>
        </w:tc>
        <w:tc>
          <w:tcPr>
            <w:tcW w:w="11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280" w:type="dxa"/>
            <w:vAlign w:val="bottom"/>
          </w:tcPr>
          <w:p>
            <w:pPr>
              <w:spacing w:after="0"/>
              <w:rPr>
                <w:sz w:val="8"/>
                <w:szCs w:val="8"/>
                <w:color w:val="auto"/>
              </w:rPr>
            </w:pPr>
          </w:p>
        </w:tc>
        <w:tc>
          <w:tcPr>
            <w:tcW w:w="820" w:type="dxa"/>
            <w:vAlign w:val="bottom"/>
            <w:vMerge w:val="restart"/>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Amortization</w:t>
            </w: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Amortization</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Permits</w:t>
            </w: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192,010</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125,528</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66,482</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191,921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123,939</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67,982</w:t>
            </w:r>
          </w:p>
        </w:tc>
        <w:tc>
          <w:tcPr>
            <w:tcW w:w="0" w:type="dxa"/>
            <w:vAlign w:val="bottom"/>
          </w:tcPr>
          <w:p>
            <w:pPr>
              <w:spacing w:after="0"/>
              <w:rPr>
                <w:sz w:val="1"/>
                <w:szCs w:val="1"/>
                <w:color w:val="auto"/>
              </w:rPr>
            </w:pPr>
          </w:p>
        </w:tc>
      </w:tr>
      <w:tr>
        <w:trPr>
          <w:trHeight w:val="153"/>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Customer and supplier relationships</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697,353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265,529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431,824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697,326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256,657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440,669</w:t>
            </w:r>
          </w:p>
        </w:tc>
        <w:tc>
          <w:tcPr>
            <w:tcW w:w="0" w:type="dxa"/>
            <w:vAlign w:val="bottom"/>
          </w:tcPr>
          <w:p>
            <w:pPr>
              <w:spacing w:after="0"/>
              <w:rPr>
                <w:sz w:val="1"/>
                <w:szCs w:val="1"/>
                <w:color w:val="auto"/>
              </w:rPr>
            </w:pPr>
          </w:p>
        </w:tc>
      </w:tr>
      <w:tr>
        <w:trPr>
          <w:trHeight w:val="1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intangible assets</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120,319</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49,189</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71,130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120,316</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46,490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73,826</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Total amortizable permits and other intangible assets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1,009,682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440,246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569,436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1,009,563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427,086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582,477</w:t>
            </w:r>
          </w:p>
        </w:tc>
        <w:tc>
          <w:tcPr>
            <w:tcW w:w="0" w:type="dxa"/>
            <w:vAlign w:val="bottom"/>
          </w:tcPr>
          <w:p>
            <w:pPr>
              <w:spacing w:after="0"/>
              <w:rPr>
                <w:sz w:val="1"/>
                <w:szCs w:val="1"/>
                <w:color w:val="auto"/>
              </w:rPr>
            </w:pPr>
          </w:p>
        </w:tc>
      </w:tr>
      <w:tr>
        <w:trPr>
          <w:trHeight w:val="1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Trademarks and trade names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119,521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119,521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119,510</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Total permits and other intangible assets</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1,129,203</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440,246</w:t>
            </w: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688,957</w:t>
            </w: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1,129,073</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427,086</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701,987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Amortization expense of permits, customer and supplier relationships and other intangible assets was $13.3 million and $12.9 million in the three months ended March 31, 2025 and March 31, 2024,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expected amortization of the net carrying amount of finite-lived intangible assets at March 31, 2025 was as follows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Years Ending December 31,</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w w:val="97"/>
              </w:rPr>
              <w:t>Expected Amortization</w:t>
            </w:r>
          </w:p>
        </w:tc>
        <w:tc>
          <w:tcPr>
            <w:tcW w:w="0" w:type="dxa"/>
            <w:vAlign w:val="bottom"/>
          </w:tcPr>
          <w:p>
            <w:pPr>
              <w:spacing w:after="0"/>
              <w:rPr>
                <w:sz w:val="1"/>
                <w:szCs w:val="1"/>
                <w:color w:val="auto"/>
              </w:rPr>
            </w:pPr>
          </w:p>
        </w:tc>
      </w:tr>
      <w:tr>
        <w:trPr>
          <w:trHeight w:val="20"/>
        </w:trPr>
        <w:tc>
          <w:tcPr>
            <w:tcW w:w="128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2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2025 (nine months)</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39,804</w:t>
            </w:r>
          </w:p>
        </w:tc>
        <w:tc>
          <w:tcPr>
            <w:tcW w:w="0" w:type="dxa"/>
            <w:vAlign w:val="bottom"/>
          </w:tcPr>
          <w:p>
            <w:pPr>
              <w:spacing w:after="0"/>
              <w:rPr>
                <w:sz w:val="1"/>
                <w:szCs w:val="1"/>
                <w:color w:val="auto"/>
              </w:rPr>
            </w:pPr>
          </w:p>
        </w:tc>
      </w:tr>
      <w:tr>
        <w:trPr>
          <w:trHeight w:val="153"/>
        </w:trPr>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51,050</w:t>
            </w:r>
          </w:p>
        </w:tc>
        <w:tc>
          <w:tcPr>
            <w:tcW w:w="0" w:type="dxa"/>
            <w:vAlign w:val="bottom"/>
          </w:tcPr>
          <w:p>
            <w:pPr>
              <w:spacing w:after="0"/>
              <w:rPr>
                <w:sz w:val="1"/>
                <w:szCs w:val="1"/>
                <w:color w:val="auto"/>
              </w:rPr>
            </w:pPr>
          </w:p>
        </w:tc>
      </w:tr>
      <w:tr>
        <w:trPr>
          <w:trHeight w:val="15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5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48,969</w:t>
            </w:r>
          </w:p>
        </w:tc>
        <w:tc>
          <w:tcPr>
            <w:tcW w:w="0" w:type="dxa"/>
            <w:vAlign w:val="bottom"/>
          </w:tcPr>
          <w:p>
            <w:pPr>
              <w:spacing w:after="0"/>
              <w:rPr>
                <w:sz w:val="1"/>
                <w:szCs w:val="1"/>
                <w:color w:val="auto"/>
              </w:rPr>
            </w:pPr>
          </w:p>
        </w:tc>
      </w:tr>
      <w:tr>
        <w:trPr>
          <w:trHeight w:val="153"/>
        </w:trPr>
        <w:tc>
          <w:tcPr>
            <w:tcW w:w="128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47,659</w:t>
            </w:r>
          </w:p>
        </w:tc>
        <w:tc>
          <w:tcPr>
            <w:tcW w:w="0" w:type="dxa"/>
            <w:vAlign w:val="bottom"/>
          </w:tcPr>
          <w:p>
            <w:pPr>
              <w:spacing w:after="0"/>
              <w:rPr>
                <w:sz w:val="1"/>
                <w:szCs w:val="1"/>
                <w:color w:val="auto"/>
              </w:rPr>
            </w:pPr>
          </w:p>
        </w:tc>
      </w:tr>
      <w:tr>
        <w:trPr>
          <w:trHeight w:val="153"/>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5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46,680</w:t>
            </w:r>
          </w:p>
        </w:tc>
        <w:tc>
          <w:tcPr>
            <w:tcW w:w="0" w:type="dxa"/>
            <w:vAlign w:val="bottom"/>
          </w:tcPr>
          <w:p>
            <w:pPr>
              <w:spacing w:after="0"/>
              <w:rPr>
                <w:sz w:val="1"/>
                <w:szCs w:val="1"/>
                <w:color w:val="auto"/>
              </w:rPr>
            </w:pPr>
          </w:p>
        </w:tc>
      </w:tr>
      <w:tr>
        <w:trPr>
          <w:trHeight w:val="153"/>
        </w:trPr>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335,274</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CCEEFF"/>
            </w:tcBorders>
            <w:shd w:val="clear" w:color="auto" w:fill="CCEEFF"/>
          </w:tcPr>
          <w:p>
            <w:pPr>
              <w:spacing w:after="0"/>
              <w:rPr>
                <w:sz w:val="14"/>
                <w:szCs w:val="14"/>
                <w:color w:val="auto"/>
              </w:rPr>
            </w:pPr>
          </w:p>
        </w:tc>
        <w:tc>
          <w:tcPr>
            <w:tcW w:w="54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569,436</w:t>
            </w:r>
          </w:p>
        </w:tc>
        <w:tc>
          <w:tcPr>
            <w:tcW w:w="0" w:type="dxa"/>
            <w:vAlign w:val="bottom"/>
          </w:tcPr>
          <w:p>
            <w:pPr>
              <w:spacing w:after="0"/>
              <w:rPr>
                <w:sz w:val="1"/>
                <w:szCs w:val="1"/>
                <w:color w:val="auto"/>
              </w:rPr>
            </w:pPr>
          </w:p>
        </w:tc>
      </w:tr>
      <w:tr>
        <w:trPr>
          <w:trHeight w:val="320"/>
        </w:trPr>
        <w:tc>
          <w:tcPr>
            <w:tcW w:w="6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(8) ACCRUED EXPENSES AND OTHER CURRENT LIABILITIES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Accrued expenses and other current liabilities consisted of the following (in thousands):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280" w:type="dxa"/>
            <w:vAlign w:val="bottom"/>
            <w:tcBorders>
              <w:bottom w:val="single" w:sz="8" w:color="CCEEFF"/>
            </w:tcBorders>
          </w:tcPr>
          <w:p>
            <w:pPr>
              <w:spacing w:after="0"/>
              <w:rPr>
                <w:sz w:val="13"/>
                <w:szCs w:val="13"/>
                <w:color w:val="auto"/>
              </w:rPr>
            </w:pPr>
          </w:p>
        </w:tc>
        <w:tc>
          <w:tcPr>
            <w:tcW w:w="54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1"/>
                <w:szCs w:val="11"/>
                <w:b w:val="1"/>
                <w:bCs w:val="1"/>
                <w:color w:val="auto"/>
                <w:w w:val="95"/>
              </w:rPr>
              <w:t>March 31, 2025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44"/>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insurance</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105,814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112,367</w:t>
            </w:r>
          </w:p>
        </w:tc>
        <w:tc>
          <w:tcPr>
            <w:tcW w:w="0" w:type="dxa"/>
            <w:vAlign w:val="bottom"/>
          </w:tcPr>
          <w:p>
            <w:pPr>
              <w:spacing w:after="0"/>
              <w:rPr>
                <w:sz w:val="1"/>
                <w:szCs w:val="1"/>
                <w:color w:val="auto"/>
              </w:rPr>
            </w:pPr>
          </w:p>
        </w:tc>
      </w:tr>
      <w:tr>
        <w:trPr>
          <w:trHeight w:val="153"/>
        </w:trPr>
        <w:tc>
          <w:tcPr>
            <w:tcW w:w="6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Accrued compensation and benefits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134,458</w:t>
            </w:r>
          </w:p>
        </w:tc>
        <w:tc>
          <w:tcPr>
            <w:tcW w:w="0" w:type="dxa"/>
            <w:vAlign w:val="bottom"/>
          </w:tcPr>
          <w:p>
            <w:pPr>
              <w:spacing w:after="0"/>
              <w:rPr>
                <w:sz w:val="1"/>
                <w:szCs w:val="1"/>
                <w:color w:val="auto"/>
              </w:rPr>
            </w:pPr>
          </w:p>
        </w:tc>
      </w:tr>
      <w:tr>
        <w:trPr>
          <w:trHeight w:val="153"/>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income, real estate, sales and other taxes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35,631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35,394</w:t>
            </w:r>
          </w:p>
        </w:tc>
        <w:tc>
          <w:tcPr>
            <w:tcW w:w="0" w:type="dxa"/>
            <w:vAlign w:val="bottom"/>
          </w:tcPr>
          <w:p>
            <w:pPr>
              <w:spacing w:after="0"/>
              <w:rPr>
                <w:sz w:val="1"/>
                <w:szCs w:val="1"/>
                <w:color w:val="auto"/>
              </w:rPr>
            </w:pPr>
          </w:p>
        </w:tc>
      </w:tr>
      <w:tr>
        <w:trPr>
          <w:trHeight w:val="153"/>
        </w:trPr>
        <w:tc>
          <w:tcPr>
            <w:tcW w:w="6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Accrued interest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14,797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33,259</w:t>
            </w:r>
          </w:p>
        </w:tc>
        <w:tc>
          <w:tcPr>
            <w:tcW w:w="0" w:type="dxa"/>
            <w:vAlign w:val="bottom"/>
          </w:tcPr>
          <w:p>
            <w:pPr>
              <w:spacing w:after="0"/>
              <w:rPr>
                <w:sz w:val="1"/>
                <w:szCs w:val="1"/>
                <w:color w:val="auto"/>
              </w:rPr>
            </w:pPr>
          </w:p>
        </w:tc>
      </w:tr>
      <w:tr>
        <w:trPr>
          <w:trHeight w:val="153"/>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other</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93,917</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103,967</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325,759</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419,445</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(9) CLOSURE AND POST-CLOSURE LIABILITIES</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67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520" w:type="dxa"/>
            <w:vAlign w:val="bottom"/>
            <w:gridSpan w:val="8"/>
          </w:tcPr>
          <w:p>
            <w:pPr>
              <w:ind w:left="420"/>
              <w:spacing w:after="0"/>
              <w:rPr>
                <w:sz w:val="20"/>
                <w:szCs w:val="20"/>
                <w:color w:val="auto"/>
              </w:rPr>
            </w:pPr>
            <w:r>
              <w:rPr>
                <w:rFonts w:ascii="Times New Roman" w:cs="Times New Roman" w:eastAsia="Times New Roman" w:hAnsi="Times New Roman"/>
                <w:sz w:val="12"/>
                <w:szCs w:val="12"/>
                <w:color w:val="auto"/>
              </w:rPr>
              <w:t>The changes to closure and post-closure liabilities (also referred to as “asset retirement obligations”) from January 1, 2025 through March 31, 2025 were as follows (in thousands):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Landfill</w:t>
            </w:r>
          </w:p>
        </w:tc>
        <w:tc>
          <w:tcPr>
            <w:tcW w:w="60" w:type="dxa"/>
            <w:vAlign w:val="bottom"/>
          </w:tcPr>
          <w:p>
            <w:pPr>
              <w:spacing w:after="0"/>
              <w:rPr>
                <w:sz w:val="10"/>
                <w:szCs w:val="10"/>
                <w:color w:val="auto"/>
              </w:rPr>
            </w:pPr>
          </w:p>
        </w:tc>
        <w:tc>
          <w:tcPr>
            <w:tcW w:w="1180" w:type="dxa"/>
            <w:vAlign w:val="bottom"/>
          </w:tcPr>
          <w:p>
            <w:pPr>
              <w:jc w:val="center"/>
              <w:ind w:left="82"/>
              <w:spacing w:after="0"/>
              <w:rPr>
                <w:sz w:val="20"/>
                <w:szCs w:val="20"/>
                <w:color w:val="auto"/>
              </w:rPr>
            </w:pPr>
            <w:r>
              <w:rPr>
                <w:rFonts w:ascii="Times New Roman" w:cs="Times New Roman" w:eastAsia="Times New Roman" w:hAnsi="Times New Roman"/>
                <w:sz w:val="11"/>
                <w:szCs w:val="11"/>
                <w:b w:val="1"/>
                <w:bCs w:val="1"/>
                <w:color w:val="auto"/>
                <w:w w:val="98"/>
              </w:rPr>
              <w:t>Non-Landfill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3"/>
          </w:tcPr>
          <w:p>
            <w:pPr>
              <w:jc w:val="center"/>
              <w:ind w:right="3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Retirement</w:t>
            </w:r>
          </w:p>
        </w:tc>
        <w:tc>
          <w:tcPr>
            <w:tcW w:w="60" w:type="dxa"/>
            <w:vAlign w:val="bottom"/>
          </w:tcPr>
          <w:p>
            <w:pPr>
              <w:spacing w:after="0"/>
              <w:rPr>
                <w:sz w:val="9"/>
                <w:szCs w:val="9"/>
                <w:color w:val="auto"/>
              </w:rPr>
            </w:pPr>
          </w:p>
        </w:tc>
        <w:tc>
          <w:tcPr>
            <w:tcW w:w="1180" w:type="dxa"/>
            <w:vAlign w:val="bottom"/>
          </w:tcPr>
          <w:p>
            <w:pPr>
              <w:jc w:val="center"/>
              <w:ind w:left="82"/>
              <w:spacing w:after="0" w:line="108" w:lineRule="exact"/>
              <w:rPr>
                <w:sz w:val="20"/>
                <w:szCs w:val="20"/>
                <w:color w:val="auto"/>
              </w:rPr>
            </w:pPr>
            <w:r>
              <w:rPr>
                <w:rFonts w:ascii="Times New Roman" w:cs="Times New Roman" w:eastAsia="Times New Roman" w:hAnsi="Times New Roman"/>
                <w:sz w:val="11"/>
                <w:szCs w:val="11"/>
                <w:b w:val="1"/>
                <w:bCs w:val="1"/>
                <w:color w:val="auto"/>
                <w:w w:val="97"/>
              </w:rPr>
              <w:t>Retirement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restart"/>
          </w:tcPr>
          <w:p>
            <w:pPr>
              <w:jc w:val="right"/>
              <w:ind w:right="56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3"/>
        </w:trPr>
        <w:tc>
          <w:tcPr>
            <w:tcW w:w="12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4"/>
              </w:rPr>
              <w:t>Liability</w:t>
            </w:r>
          </w:p>
        </w:tc>
        <w:tc>
          <w:tcPr>
            <w:tcW w:w="60" w:type="dxa"/>
            <w:vAlign w:val="bottom"/>
          </w:tcPr>
          <w:p>
            <w:pPr>
              <w:spacing w:after="0"/>
              <w:rPr>
                <w:sz w:val="12"/>
                <w:szCs w:val="12"/>
                <w:color w:val="auto"/>
              </w:rPr>
            </w:pPr>
          </w:p>
        </w:tc>
        <w:tc>
          <w:tcPr>
            <w:tcW w:w="1180" w:type="dxa"/>
            <w:vAlign w:val="bottom"/>
          </w:tcPr>
          <w:p>
            <w:pPr>
              <w:jc w:val="center"/>
              <w:ind w:left="82"/>
              <w:spacing w:after="0"/>
              <w:rPr>
                <w:sz w:val="20"/>
                <w:szCs w:val="20"/>
                <w:color w:val="auto"/>
              </w:rPr>
            </w:pPr>
            <w:r>
              <w:rPr>
                <w:rFonts w:ascii="Times New Roman" w:cs="Times New Roman" w:eastAsia="Times New Roman" w:hAnsi="Times New Roman"/>
                <w:sz w:val="11"/>
                <w:szCs w:val="11"/>
                <w:b w:val="1"/>
                <w:bCs w:val="1"/>
                <w:color w:val="auto"/>
                <w:w w:val="99"/>
              </w:rPr>
              <w:t>Liability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1, 2025</w:t>
            </w: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59,400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70,388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129,788</w:t>
            </w:r>
          </w:p>
        </w:tc>
        <w:tc>
          <w:tcPr>
            <w:tcW w:w="0" w:type="dxa"/>
            <w:vAlign w:val="bottom"/>
          </w:tcPr>
          <w:p>
            <w:pPr>
              <w:spacing w:after="0"/>
              <w:rPr>
                <w:sz w:val="1"/>
                <w:szCs w:val="1"/>
                <w:color w:val="auto"/>
              </w:rPr>
            </w:pPr>
          </w:p>
        </w:tc>
      </w:tr>
      <w:tr>
        <w:trPr>
          <w:trHeight w:val="153"/>
        </w:trPr>
        <w:tc>
          <w:tcPr>
            <w:tcW w:w="6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Measurement period adjustments from prior period acquisitions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w w:val="88"/>
              </w:rPr>
              <w:t>420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420</w:t>
            </w:r>
          </w:p>
        </w:tc>
        <w:tc>
          <w:tcPr>
            <w:tcW w:w="0" w:type="dxa"/>
            <w:vAlign w:val="bottom"/>
          </w:tcPr>
          <w:p>
            <w:pPr>
              <w:spacing w:after="0"/>
              <w:rPr>
                <w:sz w:val="1"/>
                <w:szCs w:val="1"/>
                <w:color w:val="auto"/>
              </w:rPr>
            </w:pPr>
          </w:p>
        </w:tc>
      </w:tr>
      <w:tr>
        <w:trPr>
          <w:trHeight w:val="153"/>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asset retirement obligations</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899</w:t>
            </w:r>
          </w:p>
        </w:tc>
        <w:tc>
          <w:tcPr>
            <w:tcW w:w="0" w:type="dxa"/>
            <w:vAlign w:val="bottom"/>
          </w:tcPr>
          <w:p>
            <w:pPr>
              <w:spacing w:after="0"/>
              <w:rPr>
                <w:sz w:val="1"/>
                <w:szCs w:val="1"/>
                <w:color w:val="auto"/>
              </w:rPr>
            </w:pPr>
          </w:p>
        </w:tc>
      </w:tr>
      <w:tr>
        <w:trPr>
          <w:trHeight w:val="153"/>
        </w:trPr>
        <w:tc>
          <w:tcPr>
            <w:tcW w:w="6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Accretion</w:t>
            </w:r>
          </w:p>
        </w:tc>
        <w:tc>
          <w:tcPr>
            <w:tcW w:w="26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1,230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1,341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2,571</w:t>
            </w:r>
          </w:p>
        </w:tc>
        <w:tc>
          <w:tcPr>
            <w:tcW w:w="0" w:type="dxa"/>
            <w:vAlign w:val="bottom"/>
          </w:tcPr>
          <w:p>
            <w:pPr>
              <w:spacing w:after="0"/>
              <w:rPr>
                <w:sz w:val="1"/>
                <w:szCs w:val="1"/>
                <w:color w:val="auto"/>
              </w:rPr>
            </w:pPr>
          </w:p>
        </w:tc>
      </w:tr>
      <w:tr>
        <w:trPr>
          <w:trHeight w:val="153"/>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estimates recorded to consolidated statement of operations</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8"/>
              </w:rPr>
              <w:t>370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643</w:t>
            </w:r>
          </w:p>
        </w:tc>
        <w:tc>
          <w:tcPr>
            <w:tcW w:w="0" w:type="dxa"/>
            <w:vAlign w:val="bottom"/>
          </w:tcPr>
          <w:p>
            <w:pPr>
              <w:spacing w:after="0"/>
              <w:rPr>
                <w:sz w:val="1"/>
                <w:szCs w:val="1"/>
                <w:color w:val="auto"/>
              </w:rPr>
            </w:pPr>
          </w:p>
        </w:tc>
      </w:tr>
      <w:tr>
        <w:trPr>
          <w:trHeight w:val="153"/>
        </w:trPr>
        <w:tc>
          <w:tcPr>
            <w:tcW w:w="6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Changes in estimates recorded to consolidated balance sheet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r>
        <w:trPr>
          <w:trHeight w:val="153"/>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Expenditures</w:t>
            </w:r>
          </w:p>
        </w:tc>
        <w:tc>
          <w:tcPr>
            <w:tcW w:w="2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0" w:type="dxa"/>
            <w:vAlign w:val="bottom"/>
          </w:tcPr>
          <w:p>
            <w:pPr>
              <w:spacing w:after="0"/>
              <w:rPr>
                <w:sz w:val="1"/>
                <w:szCs w:val="1"/>
                <w:color w:val="auto"/>
              </w:rPr>
            </w:pPr>
          </w:p>
        </w:tc>
      </w:tr>
      <w:tr>
        <w:trPr>
          <w:trHeight w:val="153"/>
        </w:trPr>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Currency translation and other</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58"/>
        </w:trPr>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March 31, 2025</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61,651</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72,518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134,169</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the three months ended March 31, 2025, there were no significant benefits or charges resulting from changes in estimates for closure and post-closure liabilities.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(10) REMEDIAL LIABILITIES</w:t>
      </w:r>
    </w:p>
    <w:p>
      <w:pPr>
        <w:spacing w:after="0" w:line="10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changes to remedial liabilities from January 1, 2025 through March 31, 2025 were as follows (in thousands):</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6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Remedial</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Liabilities</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Remedial</w:t>
            </w:r>
          </w:p>
        </w:tc>
        <w:tc>
          <w:tcPr>
            <w:tcW w:w="180" w:type="dxa"/>
            <w:vAlign w:val="bottom"/>
          </w:tcPr>
          <w:p>
            <w:pPr>
              <w:spacing w:after="0"/>
              <w:rPr>
                <w:sz w:val="9"/>
                <w:szCs w:val="9"/>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Remedial</w:t>
            </w:r>
          </w:p>
        </w:tc>
        <w:tc>
          <w:tcPr>
            <w:tcW w:w="180" w:type="dxa"/>
            <w:vAlign w:val="bottom"/>
          </w:tcPr>
          <w:p>
            <w:pPr>
              <w:spacing w:after="0"/>
              <w:rPr>
                <w:sz w:val="9"/>
                <w:szCs w:val="9"/>
                <w:color w:val="auto"/>
              </w:rPr>
            </w:pPr>
          </w:p>
        </w:tc>
        <w:tc>
          <w:tcPr>
            <w:tcW w:w="122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(Including</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Superfund) for</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Liabilities for</w:t>
            </w:r>
          </w:p>
        </w:tc>
        <w:tc>
          <w:tcPr>
            <w:tcW w:w="180" w:type="dxa"/>
            <w:vAlign w:val="bottom"/>
          </w:tcPr>
          <w:p>
            <w:pPr>
              <w:spacing w:after="0"/>
              <w:rPr>
                <w:sz w:val="9"/>
                <w:szCs w:val="9"/>
                <w:color w:val="auto"/>
              </w:rPr>
            </w:pPr>
          </w:p>
        </w:tc>
        <w:tc>
          <w:tcPr>
            <w:tcW w:w="114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Liabilities for</w:t>
            </w:r>
          </w:p>
        </w:tc>
        <w:tc>
          <w:tcPr>
            <w:tcW w:w="180" w:type="dxa"/>
            <w:vAlign w:val="bottom"/>
          </w:tcPr>
          <w:p>
            <w:pPr>
              <w:spacing w:after="0"/>
              <w:rPr>
                <w:sz w:val="9"/>
                <w:szCs w:val="9"/>
                <w:color w:val="auto"/>
              </w:rPr>
            </w:pPr>
          </w:p>
        </w:tc>
        <w:tc>
          <w:tcPr>
            <w:tcW w:w="122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Non-Landfill</w:t>
            </w:r>
          </w:p>
        </w:tc>
        <w:tc>
          <w:tcPr>
            <w:tcW w:w="260" w:type="dxa"/>
            <w:vAlign w:val="bottom"/>
          </w:tcPr>
          <w:p>
            <w:pPr>
              <w:spacing w:after="0"/>
              <w:rPr>
                <w:sz w:val="9"/>
                <w:szCs w:val="9"/>
                <w:color w:val="auto"/>
              </w:rPr>
            </w:pPr>
          </w:p>
        </w:tc>
        <w:tc>
          <w:tcPr>
            <w:tcW w:w="900" w:type="dxa"/>
            <w:vAlign w:val="bottom"/>
            <w:vMerge w:val="restart"/>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3"/>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Landfill Sites</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Inactive Sites</w:t>
            </w:r>
          </w:p>
        </w:tc>
        <w:tc>
          <w:tcPr>
            <w:tcW w:w="18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Operations</w:t>
            </w: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1, 2025</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1,948</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57,036</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52,761</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111,745</w:t>
            </w:r>
          </w:p>
        </w:tc>
        <w:tc>
          <w:tcPr>
            <w:tcW w:w="0" w:type="dxa"/>
            <w:vAlign w:val="bottom"/>
          </w:tcPr>
          <w:p>
            <w:pPr>
              <w:spacing w:after="0"/>
              <w:rPr>
                <w:sz w:val="1"/>
                <w:szCs w:val="1"/>
                <w:color w:val="auto"/>
              </w:rPr>
            </w:pPr>
          </w:p>
        </w:tc>
      </w:tr>
      <w:tr>
        <w:trPr>
          <w:trHeight w:val="153"/>
        </w:trPr>
        <w:tc>
          <w:tcPr>
            <w:tcW w:w="6120" w:type="dxa"/>
            <w:vAlign w:val="bottom"/>
          </w:tcPr>
          <w:p>
            <w:pPr>
              <w:spacing w:after="0"/>
              <w:rPr>
                <w:sz w:val="20"/>
                <w:szCs w:val="20"/>
                <w:color w:val="auto"/>
              </w:rPr>
            </w:pPr>
            <w:r>
              <w:rPr>
                <w:rFonts w:ascii="Times New Roman" w:cs="Times New Roman" w:eastAsia="Times New Roman" w:hAnsi="Times New Roman"/>
                <w:sz w:val="12"/>
                <w:szCs w:val="12"/>
                <w:color w:val="auto"/>
              </w:rPr>
              <w:t>Measurement period adjustment from a prior period acquisition</w:t>
            </w:r>
          </w:p>
        </w:tc>
        <w:tc>
          <w:tcPr>
            <w:tcW w:w="1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Accretion</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439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1,049</w:t>
            </w:r>
          </w:p>
        </w:tc>
        <w:tc>
          <w:tcPr>
            <w:tcW w:w="0" w:type="dxa"/>
            <w:vAlign w:val="bottom"/>
          </w:tcPr>
          <w:p>
            <w:pPr>
              <w:spacing w:after="0"/>
              <w:rPr>
                <w:sz w:val="1"/>
                <w:szCs w:val="1"/>
                <w:color w:val="auto"/>
              </w:rPr>
            </w:pPr>
          </w:p>
        </w:tc>
      </w:tr>
      <w:tr>
        <w:trPr>
          <w:trHeight w:val="153"/>
        </w:trPr>
        <w:tc>
          <w:tcPr>
            <w:tcW w:w="6120" w:type="dxa"/>
            <w:vAlign w:val="bottom"/>
          </w:tcPr>
          <w:p>
            <w:pPr>
              <w:spacing w:after="0"/>
              <w:rPr>
                <w:sz w:val="20"/>
                <w:szCs w:val="20"/>
                <w:color w:val="auto"/>
              </w:rPr>
            </w:pPr>
            <w:r>
              <w:rPr>
                <w:rFonts w:ascii="Times New Roman" w:cs="Times New Roman" w:eastAsia="Times New Roman" w:hAnsi="Times New Roman"/>
                <w:sz w:val="12"/>
                <w:szCs w:val="12"/>
                <w:color w:val="auto"/>
              </w:rPr>
              <w:t>Changes in estimates recorded to consolidated statement of operations</w:t>
            </w:r>
          </w:p>
        </w:tc>
        <w:tc>
          <w:tcPr>
            <w:tcW w:w="1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(10,506)</w:t>
            </w: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Expenditures</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(2,332)</w:t>
            </w:r>
          </w:p>
        </w:tc>
        <w:tc>
          <w:tcPr>
            <w:tcW w:w="0" w:type="dxa"/>
            <w:vAlign w:val="bottom"/>
          </w:tcPr>
          <w:p>
            <w:pPr>
              <w:spacing w:after="0"/>
              <w:rPr>
                <w:sz w:val="1"/>
                <w:szCs w:val="1"/>
                <w:color w:val="auto"/>
              </w:rPr>
            </w:pPr>
          </w:p>
        </w:tc>
      </w:tr>
      <w:tr>
        <w:trPr>
          <w:trHeight w:val="153"/>
        </w:trPr>
        <w:tc>
          <w:tcPr>
            <w:tcW w:w="6120" w:type="dxa"/>
            <w:vAlign w:val="bottom"/>
          </w:tcPr>
          <w:p>
            <w:pPr>
              <w:spacing w:after="0"/>
              <w:rPr>
                <w:sz w:val="20"/>
                <w:szCs w:val="20"/>
                <w:color w:val="auto"/>
              </w:rPr>
            </w:pPr>
            <w:r>
              <w:rPr>
                <w:rFonts w:ascii="Times New Roman" w:cs="Times New Roman" w:eastAsia="Times New Roman" w:hAnsi="Times New Roman"/>
                <w:sz w:val="12"/>
                <w:szCs w:val="12"/>
                <w:color w:val="auto"/>
              </w:rPr>
              <w:t>Currency translation and other</w:t>
            </w:r>
          </w:p>
        </w:tc>
        <w:tc>
          <w:tcPr>
            <w:tcW w:w="1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58"/>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March 31, 2025</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56,992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40,923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99,875</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8" w:right="220" w:firstLine="432"/>
        <w:spacing w:after="0" w:line="279" w:lineRule="auto"/>
        <w:rPr>
          <w:sz w:val="20"/>
          <w:szCs w:val="20"/>
          <w:color w:val="auto"/>
        </w:rPr>
      </w:pPr>
      <w:r>
        <w:rPr>
          <w:rFonts w:ascii="Times New Roman" w:cs="Times New Roman" w:eastAsia="Times New Roman" w:hAnsi="Times New Roman"/>
          <w:sz w:val="12"/>
          <w:szCs w:val="12"/>
          <w:color w:val="auto"/>
        </w:rPr>
        <w:t>In the three months ended March 31, 2025, the Company decreased its remedial liability for a site by approximately $10 million due to its conclusion that loss was no longer probable based on recent evaluation of available evidence.</w:t>
      </w:r>
    </w:p>
    <w:p>
      <w:pPr>
        <w:spacing w:after="0" w:line="80" w:lineRule="exact"/>
        <w:rPr>
          <w:sz w:val="20"/>
          <w:szCs w:val="20"/>
          <w:color w:val="auto"/>
        </w:rPr>
      </w:pPr>
    </w:p>
    <w:p>
      <w:pPr>
        <w:ind w:left="8" w:right="9320" w:hanging="8"/>
        <w:spacing w:after="0" w:line="426" w:lineRule="auto"/>
        <w:tabs>
          <w:tab w:leader="none" w:pos="231"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FINANCING ARRANGEMENTS Long-term Debt</w:t>
      </w: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table is a summary of the Company’s long-term debt (in thousands):</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40" w:type="dxa"/>
            <w:vAlign w:val="bottom"/>
          </w:tcPr>
          <w:p>
            <w:pPr>
              <w:spacing w:after="0"/>
              <w:rPr>
                <w:sz w:val="12"/>
                <w:szCs w:val="12"/>
                <w:color w:val="auto"/>
              </w:rPr>
            </w:pPr>
          </w:p>
        </w:tc>
        <w:tc>
          <w:tcPr>
            <w:tcW w:w="1420" w:type="dxa"/>
            <w:vAlign w:val="bottom"/>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15"/>
        </w:trPr>
        <w:tc>
          <w:tcPr>
            <w:tcW w:w="1900" w:type="dxa"/>
            <w:vAlign w:val="bottom"/>
            <w:tcBorders>
              <w:top w:val="single" w:sz="8" w:color="CCEEFF"/>
              <w:bottom w:val="single" w:sz="8" w:color="auto"/>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b w:val="1"/>
                <w:bCs w:val="1"/>
                <w:color w:val="auto"/>
                <w:w w:val="98"/>
              </w:rPr>
              <w:t>Current Portion of Long-Term Debt:</w:t>
            </w:r>
          </w:p>
        </w:tc>
        <w:tc>
          <w:tcPr>
            <w:tcW w:w="594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CCEEFF"/>
            </w:tcBorders>
            <w:shd w:val="clear" w:color="auto" w:fill="CCEEFF"/>
          </w:tcPr>
          <w:p>
            <w:pPr>
              <w:spacing w:after="0"/>
              <w:rPr>
                <w:sz w:val="10"/>
                <w:szCs w:val="10"/>
                <w:color w:val="auto"/>
              </w:rPr>
            </w:pPr>
          </w:p>
        </w:tc>
        <w:tc>
          <w:tcPr>
            <w:tcW w:w="14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CCEEFF"/>
            </w:tcBorders>
            <w:shd w:val="clear" w:color="auto" w:fill="CCEEFF"/>
          </w:tcPr>
          <w:p>
            <w:pPr>
              <w:spacing w:after="0"/>
              <w:rPr>
                <w:sz w:val="10"/>
                <w:szCs w:val="10"/>
                <w:color w:val="auto"/>
              </w:rPr>
            </w:pPr>
          </w:p>
        </w:tc>
        <w:tc>
          <w:tcPr>
            <w:tcW w:w="1420" w:type="dxa"/>
            <w:vAlign w:val="bottom"/>
            <w:tcBorders>
              <w:top w:val="single" w:sz="8" w:color="auto"/>
              <w:bottom w:val="single" w:sz="8" w:color="CCEEFF"/>
            </w:tcBorders>
            <w:shd w:val="clear" w:color="auto" w:fill="CCEEFF"/>
          </w:tcPr>
          <w:p>
            <w:pPr>
              <w:spacing w:after="0"/>
              <w:rPr>
                <w:sz w:val="10"/>
                <w:szCs w:val="10"/>
                <w:color w:val="auto"/>
              </w:rPr>
            </w:pPr>
          </w:p>
        </w:tc>
      </w:tr>
      <w:tr>
        <w:trPr>
          <w:trHeight w:val="169"/>
        </w:trPr>
        <w:tc>
          <w:tcPr>
            <w:tcW w:w="7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Secured senior term loans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15,102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15,102</w:t>
            </w:r>
          </w:p>
        </w:tc>
      </w:tr>
      <w:tr>
        <w:trPr>
          <w:trHeight w:val="126"/>
        </w:trPr>
        <w:tc>
          <w:tcPr>
            <w:tcW w:w="9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9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126"/>
        </w:trPr>
        <w:tc>
          <w:tcPr>
            <w:tcW w:w="784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Long-Term Debt:</w:t>
            </w: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27"/>
        </w:trPr>
        <w:tc>
          <w:tcPr>
            <w:tcW w:w="9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53"/>
        </w:trPr>
        <w:tc>
          <w:tcPr>
            <w:tcW w:w="7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Secured senior term loans due October 8, 2028</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1,446,020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1,449,796</w:t>
            </w:r>
          </w:p>
        </w:tc>
      </w:tr>
      <w:tr>
        <w:trPr>
          <w:trHeight w:val="153"/>
        </w:trPr>
        <w:tc>
          <w:tcPr>
            <w:tcW w:w="7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Unsecured senior notes, at 4.875%, due July 15, 2027 (“2027 Notes”)</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545,000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545,000</w:t>
            </w:r>
          </w:p>
        </w:tc>
      </w:tr>
      <w:tr>
        <w:trPr>
          <w:trHeight w:val="153"/>
        </w:trPr>
        <w:tc>
          <w:tcPr>
            <w:tcW w:w="7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Unsecured senior notes, at 5.125%, due July 15, 2029 (“2029 Notes”)</w:t>
            </w: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300,000</w:t>
            </w:r>
          </w:p>
        </w:tc>
      </w:tr>
      <w:tr>
        <w:trPr>
          <w:trHeight w:val="153"/>
        </w:trPr>
        <w:tc>
          <w:tcPr>
            <w:tcW w:w="7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Unsecured senior notes, at 6.375%, due February 1, 2031 (“2031 Notes”)</w:t>
            </w: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500,000</w:t>
            </w:r>
          </w:p>
        </w:tc>
      </w:tr>
      <w:tr>
        <w:trPr>
          <w:trHeight w:val="142"/>
        </w:trPr>
        <w:tc>
          <w:tcPr>
            <w:tcW w:w="7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at par</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2,791,020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2,794,796</w:t>
            </w:r>
          </w:p>
        </w:tc>
      </w:tr>
      <w:tr>
        <w:trPr>
          <w:trHeight w:val="153"/>
        </w:trPr>
        <w:tc>
          <w:tcPr>
            <w:tcW w:w="7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Unamortized debt issuance costs and discount, net</w:t>
            </w: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(22,205)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(23,679)</w:t>
            </w:r>
          </w:p>
        </w:tc>
      </w:tr>
      <w:tr>
        <w:trPr>
          <w:trHeight w:val="158"/>
        </w:trPr>
        <w:tc>
          <w:tcPr>
            <w:tcW w:w="7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at carrying value</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2,768,815</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2,771,117</w:t>
            </w:r>
          </w:p>
        </w:tc>
      </w:tr>
    </w:tbl>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Financing Activities</w:t>
      </w:r>
    </w:p>
    <w:p>
      <w:pPr>
        <w:spacing w:after="0" w:line="109" w:lineRule="exact"/>
        <w:rPr>
          <w:sz w:val="20"/>
          <w:szCs w:val="20"/>
          <w:color w:val="auto"/>
        </w:rPr>
      </w:pPr>
    </w:p>
    <w:p>
      <w:pPr>
        <w:ind w:left="8" w:right="60" w:firstLine="432"/>
        <w:spacing w:after="0" w:line="260" w:lineRule="auto"/>
        <w:rPr>
          <w:sz w:val="20"/>
          <w:szCs w:val="20"/>
          <w:color w:val="auto"/>
        </w:rPr>
      </w:pPr>
      <w:r>
        <w:rPr>
          <w:rFonts w:ascii="Times New Roman" w:cs="Times New Roman" w:eastAsia="Times New Roman" w:hAnsi="Times New Roman"/>
          <w:sz w:val="12"/>
          <w:szCs w:val="12"/>
          <w:color w:val="auto"/>
        </w:rPr>
        <w:t>The Company’s significant financing arrangements are described in Note 12, “Financing Arrangements,” in the Company’s Annual Report on Form 10-K for the year ended December 31, 2024 and there have been no material changes to the arrangements described therein. As of March 31, 2025 and December 31, 2024, the estimated fair value of the Company's outstanding long-term debt, including the current portion, was $2.8 billion.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68" w:lineRule="exact"/>
        <w:rPr>
          <w:sz w:val="20"/>
          <w:szCs w:val="20"/>
          <w:color w:val="auto"/>
        </w:rPr>
      </w:pPr>
    </w:p>
    <w:p>
      <w:pPr>
        <w:ind w:left="8" w:right="640" w:firstLine="432"/>
        <w:spacing w:after="0" w:line="279" w:lineRule="auto"/>
        <w:rPr>
          <w:sz w:val="20"/>
          <w:szCs w:val="20"/>
          <w:color w:val="auto"/>
        </w:rPr>
      </w:pPr>
      <w:r>
        <w:rPr>
          <w:rFonts w:ascii="Times New Roman" w:cs="Times New Roman" w:eastAsia="Times New Roman" w:hAnsi="Times New Roman"/>
          <w:sz w:val="12"/>
          <w:szCs w:val="12"/>
          <w:color w:val="auto"/>
        </w:rPr>
        <w:t>The Company maintains a $600.0 million revolving credit facility under which the Company had no outstanding loan balance as of March 31, 2025 or December 31, 2024 . As of March 31, 2025, the Company had $462.4 million available to borrow under the revolving credit facility and outstanding letters of credit were $137.6 million.</w:t>
      </w:r>
    </w:p>
    <w:p>
      <w:pPr>
        <w:spacing w:after="0" w:line="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Cash Flow Hedges</w:t>
      </w:r>
    </w:p>
    <w:p>
      <w:pPr>
        <w:spacing w:after="0" w:line="10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Company’s strategy to hedge against fluctuations in variable interest rates involves entering into interest rate derivative agreements.</w:t>
      </w:r>
    </w:p>
    <w:p>
      <w:pPr>
        <w:spacing w:after="0" w:line="200" w:lineRule="exact"/>
        <w:rPr>
          <w:sz w:val="20"/>
          <w:szCs w:val="20"/>
          <w:color w:val="auto"/>
        </w:rPr>
      </w:pPr>
    </w:p>
    <w:p>
      <w:pPr>
        <w:spacing w:after="0" w:line="4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right="40" w:firstLine="432"/>
        <w:spacing w:after="0" w:line="260" w:lineRule="auto"/>
        <w:rPr>
          <w:sz w:val="20"/>
          <w:szCs w:val="20"/>
          <w:color w:val="auto"/>
        </w:rPr>
      </w:pPr>
      <w:r>
        <w:rPr>
          <w:rFonts w:ascii="Times New Roman" w:cs="Times New Roman" w:eastAsia="Times New Roman" w:hAnsi="Times New Roman"/>
          <w:sz w:val="12"/>
          <w:szCs w:val="12"/>
          <w:color w:val="auto"/>
        </w:rPr>
        <w:t>Although the interest rate on the Company’s senior secured term loans is variable, the Company has effectively fixed the interest rate on $600.0 million aggregate principal amount of the term loans outstanding by entering into interest rate swap agreements in 2022 with a notional amount of $600.0 million (“2022 Swaps”). Under the terms of the 2022 Swaps, the Company receives interest based on the one-month SOFR index and pays interest at a weighted annual interest rate of 1.965%, resulting in an effective interest rate of 3.71% when considering the 1.75% interest rate margin of the term loans. For the three months ended March 31, 2025, including the 1.75% interest rate margin, the effective annual interest rate of this $600.0 million of principal debt was approximately 3.71%. The 2022 Swaps will expire on September 30, 2027.</w:t>
      </w:r>
    </w:p>
    <w:p>
      <w:pPr>
        <w:spacing w:after="0" w:line="77"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The Company recognizes the derivative instruments as either assets or liabilities on the balance sheet at fair value. As of March 31, 2025 and December 31, 2024, the Company has recorded a derivative asset with a fair value of $24.6 million and $32.4 million, respectively, within Other long-term assets on the consolidated balance sheets in connection with the 2022 Swaps.</w:t>
      </w:r>
    </w:p>
    <w:p>
      <w:pPr>
        <w:spacing w:after="0" w:line="57" w:lineRule="exact"/>
        <w:rPr>
          <w:sz w:val="20"/>
          <w:szCs w:val="20"/>
          <w:color w:val="auto"/>
        </w:rPr>
      </w:pPr>
    </w:p>
    <w:p>
      <w:pPr>
        <w:ind w:right="220" w:firstLine="432"/>
        <w:spacing w:after="0" w:line="279" w:lineRule="auto"/>
        <w:rPr>
          <w:sz w:val="20"/>
          <w:szCs w:val="20"/>
          <w:color w:val="auto"/>
        </w:rPr>
      </w:pPr>
      <w:r>
        <w:rPr>
          <w:rFonts w:ascii="Times New Roman" w:cs="Times New Roman" w:eastAsia="Times New Roman" w:hAnsi="Times New Roman"/>
          <w:sz w:val="12"/>
          <w:szCs w:val="12"/>
          <w:color w:val="auto"/>
        </w:rPr>
        <w:t>No ineffectiveness has been identified on the 2022 Swaps and, therefore, the change in fair value is recorded in stockholders’ equity as a component of accumulated other comprehensive loss. Amounts are reclassified from accumulated other comprehensive loss into interest expense on the unaudited consolidated statement of operations in the same period or periods during which the hedged transactions affect earnings.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EARNINGS PER SHARE</w:t>
      </w:r>
    </w:p>
    <w:p>
      <w:pPr>
        <w:spacing w:after="0" w:line="100" w:lineRule="exact"/>
        <w:rPr>
          <w:sz w:val="20"/>
          <w:szCs w:val="20"/>
          <w:color w:val="auto"/>
        </w:rPr>
      </w:pPr>
    </w:p>
    <w:p>
      <w:pPr>
        <w:ind w:right="380" w:firstLine="432"/>
        <w:spacing w:after="0" w:line="279" w:lineRule="auto"/>
        <w:rPr>
          <w:sz w:val="20"/>
          <w:szCs w:val="20"/>
          <w:color w:val="auto"/>
        </w:rPr>
      </w:pPr>
      <w:r>
        <w:rPr>
          <w:rFonts w:ascii="Times New Roman" w:cs="Times New Roman" w:eastAsia="Times New Roman" w:hAnsi="Times New Roman"/>
          <w:sz w:val="12"/>
          <w:szCs w:val="12"/>
          <w:color w:val="auto"/>
        </w:rPr>
        <w:t>The computation of basic earnings per share (EPS) is based on the weighted-average number of common shares outstanding. The computation of diluted EPS is based on the weighted-average number of common shares outstanding and potential dilutive common shares during the period as determined by using the treasury stock method.</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are computations of basic and diluted earnings per share (in thousands, except per share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40" w:type="dxa"/>
            <w:vAlign w:val="bottom"/>
          </w:tcPr>
          <w:p>
            <w:pPr>
              <w:spacing w:after="0"/>
              <w:rPr>
                <w:sz w:val="12"/>
                <w:szCs w:val="12"/>
                <w:color w:val="auto"/>
              </w:rPr>
            </w:pPr>
          </w:p>
        </w:tc>
      </w:tr>
      <w:tr>
        <w:trPr>
          <w:trHeight w:val="146"/>
        </w:trPr>
        <w:tc>
          <w:tcPr>
            <w:tcW w:w="82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40" w:type="dxa"/>
            <w:vAlign w:val="bottom"/>
            <w:tcBorders>
              <w:bottom w:val="single" w:sz="8" w:color="auto"/>
            </w:tcBorders>
          </w:tcPr>
          <w:p>
            <w:pPr>
              <w:spacing w:after="0"/>
              <w:rPr>
                <w:sz w:val="12"/>
                <w:szCs w:val="12"/>
                <w:color w:val="auto"/>
              </w:rPr>
            </w:pPr>
          </w:p>
        </w:tc>
      </w:tr>
      <w:tr>
        <w:trPr>
          <w:trHeight w:val="134"/>
        </w:trPr>
        <w:tc>
          <w:tcPr>
            <w:tcW w:w="82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34"/>
        </w:trPr>
        <w:tc>
          <w:tcPr>
            <w:tcW w:w="826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Numerator for basic and diluted earnings per share:</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53"/>
        </w:trPr>
        <w:tc>
          <w:tcPr>
            <w:tcW w:w="8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income</w:t>
            </w:r>
          </w:p>
        </w:tc>
        <w:tc>
          <w:tcPr>
            <w:tcW w:w="920" w:type="dxa"/>
            <w:vAlign w:val="bottom"/>
          </w:tcPr>
          <w:p>
            <w:pPr>
              <w:jc w:val="right"/>
              <w:ind w:right="8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58,680</w:t>
            </w:r>
          </w:p>
        </w:tc>
        <w:tc>
          <w:tcPr>
            <w:tcW w:w="100" w:type="dxa"/>
            <w:vAlign w:val="bottom"/>
          </w:tcPr>
          <w:p>
            <w:pPr>
              <w:spacing w:after="0"/>
              <w:rPr>
                <w:sz w:val="13"/>
                <w:szCs w:val="13"/>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69,832</w:t>
            </w:r>
          </w:p>
        </w:tc>
      </w:tr>
      <w:tr>
        <w:trPr>
          <w:trHeight w:val="15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Denominator:</w:t>
            </w: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53"/>
        </w:trPr>
        <w:tc>
          <w:tcPr>
            <w:tcW w:w="8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Weighted-average shares outstanding, basic</w:t>
            </w:r>
          </w:p>
        </w:tc>
        <w:tc>
          <w:tcPr>
            <w:tcW w:w="9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53,759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53,930</w:t>
            </w:r>
          </w:p>
        </w:tc>
      </w:tr>
      <w:tr>
        <w:trPr>
          <w:trHeight w:val="153"/>
        </w:trPr>
        <w:tc>
          <w:tcPr>
            <w:tcW w:w="8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Dilutive impact of equity awards</w:t>
            </w:r>
          </w:p>
        </w:tc>
        <w:tc>
          <w:tcPr>
            <w:tcW w:w="9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w:t>
            </w:r>
          </w:p>
        </w:tc>
      </w:tr>
      <w:tr>
        <w:trPr>
          <w:trHeight w:val="158"/>
        </w:trPr>
        <w:tc>
          <w:tcPr>
            <w:tcW w:w="8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Weighted-average shares outstanding, diluted</w:t>
            </w:r>
          </w:p>
        </w:tc>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53,993</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54,213</w:t>
            </w:r>
          </w:p>
        </w:tc>
      </w:tr>
      <w:tr>
        <w:trPr>
          <w:trHeight w:val="126"/>
        </w:trPr>
        <w:tc>
          <w:tcPr>
            <w:tcW w:w="8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51"/>
        </w:trPr>
        <w:tc>
          <w:tcPr>
            <w:tcW w:w="826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2"/>
                <w:szCs w:val="12"/>
                <w:color w:val="auto"/>
              </w:rPr>
              <w:t>Basic earnings per share:</w:t>
            </w:r>
          </w:p>
        </w:tc>
        <w:tc>
          <w:tcPr>
            <w:tcW w:w="920" w:type="dxa"/>
            <w:vAlign w:val="bottom"/>
            <w:tcBorders>
              <w:bottom w:val="single" w:sz="8" w:color="auto"/>
            </w:tcBorders>
          </w:tcPr>
          <w:p>
            <w:pPr>
              <w:jc w:val="right"/>
              <w:ind w:right="8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1.09</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1.29</w:t>
            </w:r>
          </w:p>
        </w:tc>
      </w:tr>
      <w:tr>
        <w:trPr>
          <w:trHeight w:val="169"/>
        </w:trPr>
        <w:tc>
          <w:tcPr>
            <w:tcW w:w="8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92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r>
    </w:tbl>
    <w:p>
      <w:pPr>
        <w:spacing w:after="0" w:line="142"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In the table above, potentially dilutive shares include the dilutive effect of unvested restricted stock awards and employee stock purchase plan (“ESPP”) rights (collectively referred to as “equity awards”). Potentially dilutive shares whose effect would have been antidilutive are excluded from the computation of diluted earnings per share. The Company included all outstanding performance awards, restricted stock awards and ESPP rights in the calculation of diluted earnings per share except as shown in the table below (in thousands):</w:t>
      </w:r>
    </w:p>
    <w:p>
      <w:pPr>
        <w:spacing w:after="0" w:line="1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816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54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Antidilutive restricted stock awards</w:t>
            </w:r>
          </w:p>
        </w:tc>
        <w:tc>
          <w:tcPr>
            <w:tcW w:w="10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w:t>
            </w:r>
          </w:p>
        </w:tc>
      </w:tr>
      <w:tr>
        <w:trPr>
          <w:trHeight w:val="155"/>
        </w:trPr>
        <w:tc>
          <w:tcPr>
            <w:tcW w:w="9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Performance stock awards for which performance criteria was not attained at reporting date</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3"/>
                <w:szCs w:val="13"/>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160</w:t>
            </w:r>
          </w:p>
        </w:tc>
      </w:tr>
      <w:tr>
        <w:trPr>
          <w:trHeight w:val="826"/>
        </w:trPr>
        <w:tc>
          <w:tcPr>
            <w:tcW w:w="8160" w:type="dxa"/>
            <w:vAlign w:val="bottom"/>
          </w:tcPr>
          <w:p>
            <w:pPr>
              <w:jc w:val="right"/>
              <w:ind w:right="2400"/>
              <w:spacing w:after="0"/>
              <w:rPr>
                <w:sz w:val="20"/>
                <w:szCs w:val="20"/>
                <w:color w:val="auto"/>
              </w:rPr>
            </w:pPr>
            <w:r>
              <w:rPr>
                <w:rFonts w:ascii="Times New Roman" w:cs="Times New Roman" w:eastAsia="Times New Roman" w:hAnsi="Times New Roman"/>
                <w:sz w:val="12"/>
                <w:szCs w:val="12"/>
                <w:color w:val="auto"/>
              </w:rPr>
              <w:t>14</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72"/>
        </w:trPr>
        <w:tc>
          <w:tcPr>
            <w:tcW w:w="81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ACCUMULATED OTHER COMPREHENSIVE LOSS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changes in accumulated other comprehensive loss by component and related tax impacts for the three months ended March 31, 2025 were as follows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Foreign Currency</w:t>
            </w:r>
          </w:p>
        </w:tc>
        <w:tc>
          <w:tcPr>
            <w:tcW w:w="120" w:type="dxa"/>
            <w:vAlign w:val="bottom"/>
          </w:tcPr>
          <w:p>
            <w:pPr>
              <w:spacing w:after="0"/>
              <w:rPr>
                <w:sz w:val="11"/>
                <w:szCs w:val="1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Unrealized Gain on</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Unrealized Gain on Fair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Unrealized Loss on</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Translation</w:t>
            </w:r>
          </w:p>
        </w:tc>
        <w:tc>
          <w:tcPr>
            <w:tcW w:w="120" w:type="dxa"/>
            <w:vAlign w:val="bottom"/>
          </w:tcPr>
          <w:p>
            <w:pPr>
              <w:spacing w:after="0"/>
              <w:rPr>
                <w:sz w:val="9"/>
                <w:szCs w:val="9"/>
                <w:color w:val="auto"/>
              </w:rPr>
            </w:pPr>
          </w:p>
        </w:tc>
        <w:tc>
          <w:tcPr>
            <w:tcW w:w="122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Available-For-Sale</w:t>
            </w:r>
          </w:p>
        </w:tc>
        <w:tc>
          <w:tcPr>
            <w:tcW w:w="100" w:type="dxa"/>
            <w:vAlign w:val="bottom"/>
          </w:tcPr>
          <w:p>
            <w:pPr>
              <w:spacing w:after="0"/>
              <w:rPr>
                <w:sz w:val="9"/>
                <w:szCs w:val="9"/>
                <w:color w:val="auto"/>
              </w:rPr>
            </w:pPr>
          </w:p>
        </w:tc>
        <w:tc>
          <w:tcPr>
            <w:tcW w:w="12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Value of Interest Rate</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vMerge w:val="restart"/>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3"/>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Hedges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Pension</w:t>
            </w: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(236,702)</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23,652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(213,635)</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before reclassifications</w:t>
            </w:r>
          </w:p>
        </w:tc>
        <w:tc>
          <w:tcPr>
            <w:tcW w:w="14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(3,479)</w:t>
            </w: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Amounts reclassified out of accumulated other comprehensive loss</w:t>
            </w: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(3,539)</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Tax (provision) benefit</w:t>
            </w:r>
          </w:p>
        </w:tc>
        <w:tc>
          <w:tcPr>
            <w:tcW w:w="14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2,086</w:t>
            </w:r>
          </w:p>
        </w:tc>
        <w:tc>
          <w:tcPr>
            <w:tcW w:w="0" w:type="dxa"/>
            <w:vAlign w:val="bottom"/>
          </w:tcPr>
          <w:p>
            <w:pPr>
              <w:spacing w:after="0"/>
              <w:rPr>
                <w:sz w:val="1"/>
                <w:szCs w:val="1"/>
                <w:color w:val="auto"/>
              </w:rPr>
            </w:pPr>
          </w:p>
        </w:tc>
      </w:tr>
      <w:tr>
        <w:trPr>
          <w:trHeight w:val="142"/>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688</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(4,932)</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Balance at March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(236,014)</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17,963</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(218,567)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amount realized in the unaudited consolidated statement of operations during the three months ended March 31, 2025 which was reclassified out of accumulated other comprehensive loss was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900" w:type="dxa"/>
            <w:vAlign w:val="bottom"/>
            <w:gridSpan w:val="2"/>
          </w:tcPr>
          <w:p>
            <w:pPr>
              <w:ind w:left="1600"/>
              <w:spacing w:after="0"/>
              <w:rPr>
                <w:sz w:val="20"/>
                <w:szCs w:val="20"/>
                <w:color w:val="auto"/>
              </w:rPr>
            </w:pPr>
            <w:r>
              <w:rPr>
                <w:rFonts w:ascii="Times New Roman" w:cs="Times New Roman" w:eastAsia="Times New Roman" w:hAnsi="Times New Roman"/>
                <w:sz w:val="11"/>
                <w:szCs w:val="11"/>
                <w:b w:val="1"/>
                <w:bCs w:val="1"/>
                <w:color w:val="auto"/>
              </w:rPr>
              <w:t>Component of Accumulated Other Comprehensive Loss</w:t>
            </w: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3460" w:type="dxa"/>
            <w:vAlign w:val="bottom"/>
          </w:tcPr>
          <w:p>
            <w:pPr>
              <w:ind w:left="1520"/>
              <w:spacing w:after="0"/>
              <w:rPr>
                <w:sz w:val="20"/>
                <w:szCs w:val="20"/>
                <w:color w:val="auto"/>
              </w:rPr>
            </w:pPr>
            <w:r>
              <w:rPr>
                <w:rFonts w:ascii="Times New Roman" w:cs="Times New Roman" w:eastAsia="Times New Roman" w:hAnsi="Times New Roman"/>
                <w:sz w:val="11"/>
                <w:szCs w:val="11"/>
                <w:b w:val="1"/>
                <w:bCs w:val="1"/>
                <w:color w:val="auto"/>
              </w:rPr>
              <w:t>Location</w:t>
            </w:r>
          </w:p>
        </w:tc>
      </w:tr>
      <w:tr>
        <w:trPr>
          <w:trHeight w:val="144"/>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Unrealized Gain on Fair Value of Interest Rate Hedges</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3,539</w:t>
            </w:r>
          </w:p>
        </w:tc>
        <w:tc>
          <w:tcPr>
            <w:tcW w:w="100" w:type="dxa"/>
            <w:vAlign w:val="bottom"/>
            <w:tcBorders>
              <w:top w:val="single" w:sz="8" w:color="CCEEFF"/>
            </w:tcBorders>
            <w:shd w:val="clear" w:color="auto" w:fill="CCEEFF"/>
          </w:tcPr>
          <w:p>
            <w:pPr>
              <w:spacing w:after="0"/>
              <w:rPr>
                <w:sz w:val="12"/>
                <w:szCs w:val="12"/>
                <w:color w:val="auto"/>
              </w:rPr>
            </w:pPr>
          </w:p>
        </w:tc>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 of interest income</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STOCK-BASED COMPENSATION</w:t>
      </w:r>
    </w:p>
    <w:p>
      <w:pPr>
        <w:spacing w:after="0" w:line="109" w:lineRule="exact"/>
        <w:rPr>
          <w:sz w:val="20"/>
          <w:szCs w:val="20"/>
          <w:color w:val="auto"/>
        </w:rPr>
      </w:pPr>
    </w:p>
    <w:p>
      <w:pPr>
        <w:ind w:right="400" w:firstLine="432"/>
        <w:spacing w:after="0" w:line="279" w:lineRule="auto"/>
        <w:rPr>
          <w:sz w:val="20"/>
          <w:szCs w:val="20"/>
          <w:color w:val="auto"/>
        </w:rPr>
      </w:pPr>
      <w:r>
        <w:rPr>
          <w:rFonts w:ascii="Times New Roman" w:cs="Times New Roman" w:eastAsia="Times New Roman" w:hAnsi="Times New Roman"/>
          <w:sz w:val="12"/>
          <w:szCs w:val="12"/>
          <w:color w:val="auto"/>
        </w:rPr>
        <w:t>Total stock-based compensation cost recognized for the three months ended March 31, 2025 and March 31, 2024 was $7.6 million and $6.3 million, respectively. The total income tax benefit recognized in the unaudited consolidated statements of operations from stock-based compensation expense for the three months ended March 31, 2025 and March 31, 2024 was $1.3 million and $1.2 million,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Awards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summarizes information about restricted stock awards for the three months ended March 31, 2025: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62"/>
              <w:spacing w:after="0"/>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08"/>
        </w:trPr>
        <w:tc>
          <w:tcPr>
            <w:tcW w:w="82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Restricted Stock</w:t>
            </w:r>
          </w:p>
        </w:tc>
        <w:tc>
          <w:tcPr>
            <w:tcW w:w="1500" w:type="dxa"/>
            <w:vAlign w:val="bottom"/>
            <w:vMerge w:val="restart"/>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jc w:val="center"/>
              <w:ind w:right="142"/>
              <w:spacing w:after="0" w:line="108" w:lineRule="exact"/>
              <w:rPr>
                <w:sz w:val="20"/>
                <w:szCs w:val="20"/>
                <w:color w:val="auto"/>
              </w:rPr>
            </w:pPr>
            <w:r>
              <w:rPr>
                <w:rFonts w:ascii="Times New Roman" w:cs="Times New Roman" w:eastAsia="Times New Roman" w:hAnsi="Times New Roman"/>
                <w:sz w:val="11"/>
                <w:szCs w:val="11"/>
                <w:b w:val="1"/>
                <w:bCs w:val="1"/>
                <w:color w:val="auto"/>
                <w:w w:val="99"/>
              </w:rPr>
              <w:t>Grant-Date</w:t>
            </w:r>
          </w:p>
        </w:tc>
        <w:tc>
          <w:tcPr>
            <w:tcW w:w="0" w:type="dxa"/>
            <w:vAlign w:val="bottom"/>
          </w:tcPr>
          <w:p>
            <w:pPr>
              <w:spacing w:after="0"/>
              <w:rPr>
                <w:sz w:val="1"/>
                <w:szCs w:val="1"/>
                <w:color w:val="auto"/>
              </w:rPr>
            </w:pPr>
          </w:p>
        </w:tc>
      </w:tr>
      <w:tr>
        <w:trPr>
          <w:trHeight w:val="143"/>
        </w:trPr>
        <w:tc>
          <w:tcPr>
            <w:tcW w:w="820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0" w:type="dxa"/>
            <w:vAlign w:val="bottom"/>
          </w:tcPr>
          <w:p>
            <w:pPr>
              <w:spacing w:after="0"/>
              <w:rPr>
                <w:sz w:val="1"/>
                <w:szCs w:val="1"/>
                <w:color w:val="auto"/>
              </w:rPr>
            </w:pPr>
          </w:p>
        </w:tc>
      </w:tr>
      <w:tr>
        <w:trPr>
          <w:trHeight w:val="1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387,960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143.69</w:t>
            </w:r>
          </w:p>
        </w:tc>
        <w:tc>
          <w:tcPr>
            <w:tcW w:w="0" w:type="dxa"/>
            <w:vAlign w:val="bottom"/>
          </w:tcPr>
          <w:p>
            <w:pPr>
              <w:spacing w:after="0"/>
              <w:rPr>
                <w:sz w:val="1"/>
                <w:szCs w:val="1"/>
                <w:color w:val="auto"/>
              </w:rPr>
            </w:pPr>
          </w:p>
        </w:tc>
      </w:tr>
      <w:tr>
        <w:trPr>
          <w:trHeight w:val="153"/>
        </w:trPr>
        <w:tc>
          <w:tcPr>
            <w:tcW w:w="820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232.35</w:t>
            </w:r>
          </w:p>
        </w:tc>
        <w:tc>
          <w:tcPr>
            <w:tcW w:w="0" w:type="dxa"/>
            <w:vAlign w:val="bottom"/>
          </w:tcPr>
          <w:p>
            <w:pPr>
              <w:spacing w:after="0"/>
              <w:rPr>
                <w:sz w:val="1"/>
                <w:szCs w:val="1"/>
                <w:color w:val="auto"/>
              </w:rPr>
            </w:pP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(64,610)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113.49</w:t>
            </w:r>
          </w:p>
        </w:tc>
        <w:tc>
          <w:tcPr>
            <w:tcW w:w="0" w:type="dxa"/>
            <w:vAlign w:val="bottom"/>
          </w:tcPr>
          <w:p>
            <w:pPr>
              <w:spacing w:after="0"/>
              <w:rPr>
                <w:sz w:val="1"/>
                <w:szCs w:val="1"/>
                <w:color w:val="auto"/>
              </w:rPr>
            </w:pPr>
          </w:p>
        </w:tc>
      </w:tr>
      <w:tr>
        <w:trPr>
          <w:trHeight w:val="153"/>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(7,868)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2"/>
                <w:szCs w:val="12"/>
                <w:color w:val="auto"/>
              </w:rPr>
              <w:t>141.62</w:t>
            </w:r>
          </w:p>
        </w:tc>
        <w:tc>
          <w:tcPr>
            <w:tcW w:w="0" w:type="dxa"/>
            <w:vAlign w:val="bottom"/>
          </w:tcPr>
          <w:p>
            <w:pPr>
              <w:spacing w:after="0"/>
              <w:rPr>
                <w:sz w:val="1"/>
                <w:szCs w:val="1"/>
                <w:color w:val="auto"/>
              </w:rPr>
            </w:pPr>
          </w:p>
        </w:tc>
      </w:tr>
      <w:tr>
        <w:trPr>
          <w:trHeight w:val="158"/>
        </w:trPr>
        <w:tc>
          <w:tcPr>
            <w:tcW w:w="8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March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377,869</w:t>
            </w:r>
          </w:p>
        </w:tc>
        <w:tc>
          <w:tcPr>
            <w:tcW w:w="300" w:type="dxa"/>
            <w:vAlign w:val="bottom"/>
            <w:tcBorders>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163.53</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220" w:firstLine="432"/>
        <w:spacing w:after="0" w:line="279" w:lineRule="auto"/>
        <w:rPr>
          <w:sz w:val="20"/>
          <w:szCs w:val="20"/>
          <w:color w:val="auto"/>
        </w:rPr>
      </w:pPr>
      <w:r>
        <w:rPr>
          <w:rFonts w:ascii="Times New Roman" w:cs="Times New Roman" w:eastAsia="Times New Roman" w:hAnsi="Times New Roman"/>
          <w:sz w:val="12"/>
          <w:szCs w:val="12"/>
          <w:color w:val="auto"/>
        </w:rPr>
        <w:t>As of March 31, 2025, there was $47.9 million of total unrecognized compensation cost arising from restricted stock awards. This cost is expected to be recognized over a weighted average period of 2.5 years. The total fair value of restricted stock vested during the three months ended March 31, 2025 and March 31, 2024 was $15.0 million and $3.7 million,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Performance Stock Awards</w:t>
      </w:r>
    </w:p>
    <w:p>
      <w:pPr>
        <w:spacing w:after="0" w:line="109"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Performance stock awards are subject to performance criteria established by the Compensation and Human Capital Committee of the Company’s board of directors prior to or at the date of grant. The performance stock awards are earned based on achieving certain revenue, Adjusted EBITDA, Adjusted EBITDA Margin and Return on Invested Capital targets set forth in the applicable award agreements. Performance stock awards include continued service conditions through vesting.</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summarizes information about performance stock awards for the three months ended March 31, 2025: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62"/>
              <w:spacing w:after="0"/>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08"/>
        </w:trPr>
        <w:tc>
          <w:tcPr>
            <w:tcW w:w="82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Performance Stock</w:t>
            </w:r>
          </w:p>
        </w:tc>
        <w:tc>
          <w:tcPr>
            <w:tcW w:w="1500" w:type="dxa"/>
            <w:vAlign w:val="bottom"/>
            <w:vMerge w:val="restart"/>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jc w:val="center"/>
              <w:ind w:right="142"/>
              <w:spacing w:after="0" w:line="108" w:lineRule="exact"/>
              <w:rPr>
                <w:sz w:val="20"/>
                <w:szCs w:val="20"/>
                <w:color w:val="auto"/>
              </w:rPr>
            </w:pPr>
            <w:r>
              <w:rPr>
                <w:rFonts w:ascii="Times New Roman" w:cs="Times New Roman" w:eastAsia="Times New Roman" w:hAnsi="Times New Roman"/>
                <w:sz w:val="11"/>
                <w:szCs w:val="11"/>
                <w:b w:val="1"/>
                <w:bCs w:val="1"/>
                <w:color w:val="auto"/>
                <w:w w:val="99"/>
              </w:rPr>
              <w:t>Grant-Date</w:t>
            </w:r>
          </w:p>
        </w:tc>
        <w:tc>
          <w:tcPr>
            <w:tcW w:w="0" w:type="dxa"/>
            <w:vAlign w:val="bottom"/>
          </w:tcPr>
          <w:p>
            <w:pPr>
              <w:spacing w:after="0"/>
              <w:rPr>
                <w:sz w:val="1"/>
                <w:szCs w:val="1"/>
                <w:color w:val="auto"/>
              </w:rPr>
            </w:pPr>
          </w:p>
        </w:tc>
      </w:tr>
      <w:tr>
        <w:trPr>
          <w:trHeight w:val="143"/>
        </w:trPr>
        <w:tc>
          <w:tcPr>
            <w:tcW w:w="820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0" w:type="dxa"/>
            <w:vAlign w:val="bottom"/>
          </w:tcPr>
          <w:p>
            <w:pPr>
              <w:spacing w:after="0"/>
              <w:rPr>
                <w:sz w:val="1"/>
                <w:szCs w:val="1"/>
                <w:color w:val="auto"/>
              </w:rPr>
            </w:pPr>
          </w:p>
        </w:tc>
      </w:tr>
      <w:tr>
        <w:trPr>
          <w:trHeight w:val="1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159,196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102.09</w:t>
            </w:r>
          </w:p>
        </w:tc>
        <w:tc>
          <w:tcPr>
            <w:tcW w:w="0" w:type="dxa"/>
            <w:vAlign w:val="bottom"/>
          </w:tcPr>
          <w:p>
            <w:pPr>
              <w:spacing w:after="0"/>
              <w:rPr>
                <w:sz w:val="1"/>
                <w:szCs w:val="1"/>
                <w:color w:val="auto"/>
              </w:rPr>
            </w:pPr>
          </w:p>
        </w:tc>
      </w:tr>
      <w:tr>
        <w:trPr>
          <w:trHeight w:val="153"/>
        </w:trPr>
        <w:tc>
          <w:tcPr>
            <w:tcW w:w="82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 xml:space="preserve">Granted </w:t>
            </w:r>
            <w:r>
              <w:rPr>
                <w:rFonts w:ascii="Times New Roman" w:cs="Times New Roman" w:eastAsia="Times New Roman" w:hAnsi="Times New Roman"/>
                <w:sz w:val="15"/>
                <w:szCs w:val="15"/>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233.00</w:t>
            </w:r>
          </w:p>
        </w:tc>
        <w:tc>
          <w:tcPr>
            <w:tcW w:w="0" w:type="dxa"/>
            <w:vAlign w:val="bottom"/>
          </w:tcPr>
          <w:p>
            <w:pPr>
              <w:spacing w:after="0"/>
              <w:rPr>
                <w:sz w:val="1"/>
                <w:szCs w:val="1"/>
                <w:color w:val="auto"/>
              </w:rPr>
            </w:pPr>
          </w:p>
        </w:tc>
      </w:tr>
      <w:tr>
        <w:trPr>
          <w:trHeight w:val="15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(34,056)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133.64</w:t>
            </w:r>
          </w:p>
        </w:tc>
        <w:tc>
          <w:tcPr>
            <w:tcW w:w="0" w:type="dxa"/>
            <w:vAlign w:val="bottom"/>
          </w:tcPr>
          <w:p>
            <w:pPr>
              <w:spacing w:after="0"/>
              <w:rPr>
                <w:sz w:val="1"/>
                <w:szCs w:val="1"/>
                <w:color w:val="auto"/>
              </w:rPr>
            </w:pPr>
          </w:p>
        </w:tc>
      </w:tr>
      <w:tr>
        <w:trPr>
          <w:trHeight w:val="153"/>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(9,464)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2"/>
                <w:szCs w:val="12"/>
                <w:color w:val="auto"/>
              </w:rPr>
              <w:t>141.91</w:t>
            </w:r>
          </w:p>
        </w:tc>
        <w:tc>
          <w:tcPr>
            <w:tcW w:w="0" w:type="dxa"/>
            <w:vAlign w:val="bottom"/>
          </w:tcPr>
          <w:p>
            <w:pPr>
              <w:spacing w:after="0"/>
              <w:rPr>
                <w:sz w:val="1"/>
                <w:szCs w:val="1"/>
                <w:color w:val="auto"/>
              </w:rPr>
            </w:pPr>
          </w:p>
        </w:tc>
      </w:tr>
      <w:tr>
        <w:trPr>
          <w:trHeight w:val="158"/>
        </w:trPr>
        <w:tc>
          <w:tcPr>
            <w:tcW w:w="8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March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189,213</w:t>
            </w:r>
          </w:p>
        </w:tc>
        <w:tc>
          <w:tcPr>
            <w:tcW w:w="300" w:type="dxa"/>
            <w:vAlign w:val="bottom"/>
            <w:tcBorders>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176.09</w:t>
            </w: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w:t>
      </w:r>
    </w:p>
    <w:p>
      <w:pPr>
        <w:spacing w:after="0" w:line="11" w:lineRule="exact"/>
        <w:rPr>
          <w:sz w:val="20"/>
          <w:szCs w:val="20"/>
          <w:color w:val="auto"/>
        </w:rPr>
      </w:pPr>
    </w:p>
    <w:p>
      <w:pPr>
        <w:ind w:left="420" w:right="40" w:hanging="212"/>
        <w:spacing w:after="0" w:line="258" w:lineRule="auto"/>
        <w:tabs>
          <w:tab w:leader="none" w:pos="374"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granted activity for performance stock awards is recorded based on the target performance level of 100%. The actual number of performance share awards earned for the 2025 performance stock grants could range from 0% to 200% of target depending on the achievement of the pre-established performance goals.</w:t>
      </w:r>
    </w:p>
    <w:p>
      <w:pPr>
        <w:spacing w:after="0" w:line="78"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As of March 31, 2025, there was $11.9 million of total unrecognized compensation cost arising from performance stock awards achieved or deemed probable of vesting. The total fair value of performance awards vested during the three months ended March 31, 2025 and March 31, 2024 was $6.6 million and $3.7 million,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Employee Stock Purchase Plan</w:t>
      </w:r>
    </w:p>
    <w:p>
      <w:pPr>
        <w:spacing w:after="0" w:line="100"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The Clean Harbors Employee Stock Purchase Plan (the “ESPP”) provides a means for eligible employees of the Company to authorize after-tax payroll deductions on a voluntary basis to be used for the periodic purchase of the Company's common stock at a 10% discount to its fair market value. The purchase price paid by the employees will be 90% of the lower of the closing price of the Company's common stock on (i) the first trading day of the offering period or (ii) the last trading day of the offering period. The contribution periods run from January to June and July to December with share issuances under the ESPP occurring on the closest business day on or prior to June 30 and December 31. No shares were issued under the plan during the three months ended March 31,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COMMITMENTS AND CONTINGENCIES</w:t>
      </w:r>
    </w:p>
    <w:p>
      <w:pPr>
        <w:spacing w:after="0" w:line="10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80" w:lineRule="exact"/>
        <w:rPr>
          <w:sz w:val="20"/>
          <w:szCs w:val="20"/>
          <w:color w:val="auto"/>
        </w:rPr>
      </w:pPr>
    </w:p>
    <w:p>
      <w:pPr>
        <w:ind w:right="40" w:firstLine="432"/>
        <w:spacing w:after="0" w:line="260" w:lineRule="auto"/>
        <w:rPr>
          <w:sz w:val="20"/>
          <w:szCs w:val="20"/>
          <w:color w:val="auto"/>
        </w:rPr>
      </w:pPr>
      <w:r>
        <w:rPr>
          <w:rFonts w:ascii="Times New Roman" w:cs="Times New Roman" w:eastAsia="Times New Roman" w:hAnsi="Times New Roman"/>
          <w:sz w:val="12"/>
          <w:szCs w:val="12"/>
          <w:color w:val="auto"/>
        </w:rPr>
        <w:t>At March 31, 2025 and December 31, 2024, the Company had recorded reserves of $16.9 million and $29.8 million, respectively, for actual or probable liabilities related to the legal and administrative proceedings in which the Company was then involved, the principal of which are described below. As of March 31, 2025 and December 31, 2024, the $16.9 million and $29.8 million, respectively, of reserves consisted of (i) $9.6 million and $23.3 million, respectively, related to pending legal or administrative proceedings, including Superfund liabilities, which were included in remedial liabilities on the consolidated balance sheets, and (ii) $7.3 million and $6.5 million, respectively, primarily related to federal, state and provincial enforcement actions, which were included in accrued expenses on the consolidated balance sheets.</w:t>
      </w:r>
    </w:p>
    <w:p>
      <w:pPr>
        <w:spacing w:after="0" w:line="77"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2"/>
          <w:szCs w:val="12"/>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Legal or Administrative Proceedings</w:t>
      </w:r>
    </w:p>
    <w:p>
      <w:pPr>
        <w:spacing w:after="0" w:line="109" w:lineRule="exact"/>
        <w:rPr>
          <w:sz w:val="20"/>
          <w:szCs w:val="20"/>
          <w:color w:val="auto"/>
        </w:rPr>
      </w:pPr>
    </w:p>
    <w:p>
      <w:pPr>
        <w:ind w:right="540" w:firstLine="432"/>
        <w:spacing w:after="0" w:line="279" w:lineRule="auto"/>
        <w:rPr>
          <w:sz w:val="20"/>
          <w:szCs w:val="20"/>
          <w:color w:val="auto"/>
        </w:rPr>
      </w:pPr>
      <w:r>
        <w:rPr>
          <w:rFonts w:ascii="Times New Roman" w:cs="Times New Roman" w:eastAsia="Times New Roman" w:hAnsi="Times New Roman"/>
          <w:sz w:val="12"/>
          <w:szCs w:val="12"/>
          <w:color w:val="auto"/>
        </w:rPr>
        <w:t>As of March 31, 2025, the principal legal and administrative proceedings in which the Company was involved, or which had been terminated during 2025, relate to Safety-Kleen product liability cases and Superfund proceedings.</w:t>
      </w:r>
    </w:p>
    <w:p>
      <w:pPr>
        <w:spacing w:after="0" w:line="5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Safety-Kleen Product Liability Cases: </w:t>
      </w:r>
      <w:r>
        <w:rPr>
          <w:rFonts w:ascii="Times New Roman" w:cs="Times New Roman" w:eastAsia="Times New Roman" w:hAnsi="Times New Roman"/>
          <w:sz w:val="12"/>
          <w:szCs w:val="12"/>
          <w:color w:val="auto"/>
        </w:rPr>
        <w:t>Safety-Kleen, Inc. (“Safety-Kleen”), which is a legal entity acquired by the Company in 2012, has been named as a defendant in certain product liability cases that are currently pending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various courts and jurisdictions throughout the United States. As of March 31, 2025, there were approximately 71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79"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2"/>
          <w:szCs w:val="12"/>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March 31, 2025. From January 1, 2025 to March 31, 2025, two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78"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Superfund Proceedings: </w:t>
      </w:r>
      <w:r>
        <w:rPr>
          <w:rFonts w:ascii="Times New Roman" w:cs="Times New Roman" w:eastAsia="Times New Roman" w:hAnsi="Times New Roman"/>
          <w:sz w:val="12"/>
          <w:szCs w:val="12"/>
          <w:color w:val="auto"/>
        </w:rPr>
        <w:t>The Company has been notified that either the Company or the prior owners of certain facilities the Company has since acquired have been identified as potentially responsible parties (“PRPs”)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potential PRPs of indemnification obligations in connection with 132 sites which are subject to or are proposed to become subject to proceedings under federal or state Superfund laws. Of the 132 Superfund related sites, six involve facilities that are now owned or leased by the Company and 126 involve third-party sites which received waste potentially shipped by the Company or the prior owners of certain facilities the Company has since acquired. Of the 126 third-party sites, 30 are now settled, 12 are currently requiring expenditures on remediation and 84 are not currently requiring expenditures on remediation.</w:t>
      </w:r>
    </w:p>
    <w:p>
      <w:pPr>
        <w:spacing w:after="0" w:line="68"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2"/>
          <w:szCs w:val="12"/>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132 Superfund related sites.</w:t>
      </w:r>
    </w:p>
    <w:p>
      <w:pPr>
        <w:spacing w:after="0" w:line="80" w:lineRule="exact"/>
        <w:rPr>
          <w:sz w:val="20"/>
          <w:szCs w:val="20"/>
          <w:color w:val="auto"/>
        </w:rPr>
      </w:pPr>
    </w:p>
    <w:p>
      <w:pPr>
        <w:ind w:right="120" w:firstLine="432"/>
        <w:spacing w:after="0" w:line="257" w:lineRule="auto"/>
        <w:rPr>
          <w:sz w:val="20"/>
          <w:szCs w:val="20"/>
          <w:color w:val="auto"/>
        </w:rPr>
      </w:pPr>
      <w:r>
        <w:rPr>
          <w:rFonts w:ascii="Times New Roman" w:cs="Times New Roman" w:eastAsia="Times New Roman" w:hAnsi="Times New Roman"/>
          <w:sz w:val="12"/>
          <w:szCs w:val="12"/>
          <w:color w:val="auto"/>
        </w:rPr>
        <w:t>Of the 126 third-party sites at which the Company has been notified it is a PRP or potential PRP or may have indemnification obligations, the Company has indemnification agreements at a total of 17 sites. These agreements indemnify the Company with respect to any liability at the 17 sites for waste disposed prior to the Company’s acquisition of the former subsidiaries of Waste Management, Inc. and McKesson Corporation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126 third-party sites discussed above.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Federal, State and Provincial Enforcement Actions</w:t>
      </w:r>
    </w:p>
    <w:p>
      <w:pPr>
        <w:spacing w:after="0" w:line="100"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From time to time, the Company pays fines or penalties in regulatory proceedings relating primarily to waste treatment, storage or disposal facilities. As of March 31, 2025 and December 31, 2024, there were two proceedings for which the Company believed it was possible that the sanctions could equal or exceed $1.0 million. As of the date of these financial statements, the Company believes that the fines or other penalties in this or any of the other regulatory proceedings will, individually or in the aggregate, not have a material effect on its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SEGMENT REPORTING</w:t>
      </w:r>
    </w:p>
    <w:p>
      <w:pPr>
        <w:spacing w:after="0" w:line="109"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Segment reporting is prepared on the same basis that the Company’s chief operating decision maker (“CODM”),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57"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Although such transactions are excluded from the business segment results, they are included in reported consolidated earnings.</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tables reconcile third-party revenues to direct revenues by Reportable Segment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gridSpan w:val="6"/>
          </w:tcPr>
          <w:p>
            <w:pPr>
              <w:jc w:val="center"/>
              <w:ind w:left="2"/>
              <w:spacing w:after="0"/>
              <w:rPr>
                <w:sz w:val="20"/>
                <w:szCs w:val="20"/>
                <w:color w:val="auto"/>
              </w:rPr>
            </w:pPr>
            <w:r>
              <w:rPr>
                <w:rFonts w:ascii="Times New Roman" w:cs="Times New Roman" w:eastAsia="Times New Roman" w:hAnsi="Times New Roman"/>
                <w:sz w:val="11"/>
                <w:szCs w:val="11"/>
                <w:b w:val="1"/>
                <w:bCs w:val="1"/>
                <w:color w:val="auto"/>
                <w:w w:val="97"/>
              </w:rPr>
              <w:t>For the Three Months Ended March 31, 2025</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1"/>
                <w:szCs w:val="11"/>
                <w:b w:val="1"/>
                <w:bCs w:val="1"/>
                <w:color w:val="auto"/>
                <w:w w:val="98"/>
              </w:rPr>
              <w:t>Environmental</w:t>
            </w:r>
          </w:p>
        </w:tc>
        <w:tc>
          <w:tcPr>
            <w:tcW w:w="140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1"/>
                <w:szCs w:val="11"/>
                <w:b w:val="1"/>
                <w:bCs w:val="1"/>
                <w:color w:val="auto"/>
                <w:w w:val="98"/>
              </w:rPr>
              <w:t>Safety-Kleen Sustainability</w:t>
            </w:r>
          </w:p>
        </w:tc>
        <w:tc>
          <w:tcPr>
            <w:tcW w:w="140" w:type="dxa"/>
            <w:vAlign w:val="bottom"/>
          </w:tcPr>
          <w:p>
            <w:pPr>
              <w:spacing w:after="0"/>
              <w:rPr>
                <w:sz w:val="8"/>
                <w:szCs w:val="8"/>
                <w:color w:val="auto"/>
              </w:rPr>
            </w:pPr>
          </w:p>
        </w:tc>
        <w:tc>
          <w:tcPr>
            <w:tcW w:w="124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980" w:type="dxa"/>
            <w:vAlign w:val="bottom"/>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jc w:val="center"/>
              <w:ind w:right="82"/>
              <w:spacing w:after="0" w:line="99" w:lineRule="exact"/>
              <w:rPr>
                <w:sz w:val="20"/>
                <w:szCs w:val="20"/>
                <w:color w:val="auto"/>
              </w:rPr>
            </w:pPr>
            <w:r>
              <w:rPr>
                <w:rFonts w:ascii="Times New Roman" w:cs="Times New Roman" w:eastAsia="Times New Roman" w:hAnsi="Times New Roman"/>
                <w:sz w:val="11"/>
                <w:szCs w:val="11"/>
                <w:b w:val="1"/>
                <w:bCs w:val="1"/>
                <w:color w:val="auto"/>
                <w:w w:val="98"/>
              </w:rPr>
              <w:t>Total Consolidated</w:t>
            </w:r>
          </w:p>
        </w:tc>
        <w:tc>
          <w:tcPr>
            <w:tcW w:w="0" w:type="dxa"/>
            <w:vAlign w:val="bottom"/>
          </w:tcPr>
          <w:p>
            <w:pPr>
              <w:spacing w:after="0"/>
              <w:rPr>
                <w:sz w:val="1"/>
                <w:szCs w:val="1"/>
                <w:color w:val="auto"/>
              </w:rPr>
            </w:pPr>
          </w:p>
        </w:tc>
      </w:tr>
      <w:tr>
        <w:trPr>
          <w:trHeight w:val="143"/>
        </w:trPr>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Services</w:t>
            </w:r>
          </w:p>
        </w:tc>
        <w:tc>
          <w:tcPr>
            <w:tcW w:w="26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Solutions</w:t>
            </w:r>
          </w:p>
        </w:tc>
        <w:tc>
          <w:tcPr>
            <w:tcW w:w="14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Segment Revenues</w:t>
            </w: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8"/>
              </w:rPr>
              <w:t>Revenues</w:t>
            </w:r>
          </w:p>
        </w:tc>
        <w:tc>
          <w:tcPr>
            <w:tcW w:w="0" w:type="dxa"/>
            <w:vAlign w:val="bottom"/>
          </w:tcPr>
          <w:p>
            <w:pPr>
              <w:spacing w:after="0"/>
              <w:rPr>
                <w:sz w:val="1"/>
                <w:szCs w:val="1"/>
                <w:color w:val="auto"/>
              </w:rPr>
            </w:pPr>
          </w:p>
        </w:tc>
      </w:tr>
      <w:tr>
        <w:trPr>
          <w:trHeight w:val="143"/>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Third-party revenues</w:t>
            </w: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1,207,038</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224,815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1,431,853</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1,431,950</w:t>
            </w:r>
          </w:p>
        </w:tc>
        <w:tc>
          <w:tcPr>
            <w:tcW w:w="0" w:type="dxa"/>
            <w:vAlign w:val="bottom"/>
          </w:tcPr>
          <w:p>
            <w:pPr>
              <w:spacing w:after="0"/>
              <w:rPr>
                <w:sz w:val="1"/>
                <w:szCs w:val="1"/>
                <w:color w:val="auto"/>
              </w:rPr>
            </w:pPr>
          </w:p>
        </w:tc>
      </w:tr>
      <w:tr>
        <w:trPr>
          <w:trHeight w:val="153"/>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Intersegment revenues (expense), net</w:t>
            </w:r>
          </w:p>
        </w:tc>
        <w:tc>
          <w:tcPr>
            <w:tcW w:w="20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2,075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 revenues</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1,209,113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222,740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1,431,853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CCEEFF"/>
            </w:tcBorders>
            <w:shd w:val="clear" w:color="auto" w:fill="CCEEFF"/>
          </w:tcPr>
          <w:p>
            <w:pPr>
              <w:jc w:val="right"/>
              <w:ind w:right="842"/>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1,431,950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left="2"/>
              <w:spacing w:after="0"/>
              <w:rPr>
                <w:sz w:val="20"/>
                <w:szCs w:val="20"/>
                <w:color w:val="auto"/>
              </w:rPr>
            </w:pPr>
            <w:r>
              <w:rPr>
                <w:rFonts w:ascii="Times New Roman" w:cs="Times New Roman" w:eastAsia="Times New Roman" w:hAnsi="Times New Roman"/>
                <w:sz w:val="11"/>
                <w:szCs w:val="11"/>
                <w:b w:val="1"/>
                <w:bCs w:val="1"/>
                <w:color w:val="auto"/>
                <w:w w:val="97"/>
              </w:rPr>
              <w:t>For the Three Months Ended March 31, 2024</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1"/>
                <w:szCs w:val="11"/>
                <w:b w:val="1"/>
                <w:bCs w:val="1"/>
                <w:color w:val="auto"/>
                <w:w w:val="98"/>
              </w:rPr>
              <w:t>Environmental</w:t>
            </w:r>
          </w:p>
        </w:tc>
        <w:tc>
          <w:tcPr>
            <w:tcW w:w="140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1"/>
                <w:szCs w:val="11"/>
                <w:b w:val="1"/>
                <w:bCs w:val="1"/>
                <w:color w:val="auto"/>
                <w:w w:val="98"/>
              </w:rPr>
              <w:t>Safety-Kleen Sustainability</w:t>
            </w:r>
          </w:p>
        </w:tc>
        <w:tc>
          <w:tcPr>
            <w:tcW w:w="140" w:type="dxa"/>
            <w:vAlign w:val="bottom"/>
          </w:tcPr>
          <w:p>
            <w:pPr>
              <w:spacing w:after="0"/>
              <w:rPr>
                <w:sz w:val="8"/>
                <w:szCs w:val="8"/>
                <w:color w:val="auto"/>
              </w:rPr>
            </w:pPr>
          </w:p>
        </w:tc>
        <w:tc>
          <w:tcPr>
            <w:tcW w:w="124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980" w:type="dxa"/>
            <w:vAlign w:val="bottom"/>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jc w:val="center"/>
              <w:ind w:right="82"/>
              <w:spacing w:after="0" w:line="99" w:lineRule="exact"/>
              <w:rPr>
                <w:sz w:val="20"/>
                <w:szCs w:val="20"/>
                <w:color w:val="auto"/>
              </w:rPr>
            </w:pPr>
            <w:r>
              <w:rPr>
                <w:rFonts w:ascii="Times New Roman" w:cs="Times New Roman" w:eastAsia="Times New Roman" w:hAnsi="Times New Roman"/>
                <w:sz w:val="11"/>
                <w:szCs w:val="11"/>
                <w:b w:val="1"/>
                <w:bCs w:val="1"/>
                <w:color w:val="auto"/>
                <w:w w:val="98"/>
              </w:rPr>
              <w:t>Total Consolidated</w:t>
            </w:r>
          </w:p>
        </w:tc>
        <w:tc>
          <w:tcPr>
            <w:tcW w:w="0" w:type="dxa"/>
            <w:vAlign w:val="bottom"/>
          </w:tcPr>
          <w:p>
            <w:pPr>
              <w:spacing w:after="0"/>
              <w:rPr>
                <w:sz w:val="1"/>
                <w:szCs w:val="1"/>
                <w:color w:val="auto"/>
              </w:rPr>
            </w:pPr>
          </w:p>
        </w:tc>
      </w:tr>
      <w:tr>
        <w:trPr>
          <w:trHeight w:val="143"/>
        </w:trPr>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Services</w:t>
            </w:r>
          </w:p>
        </w:tc>
        <w:tc>
          <w:tcPr>
            <w:tcW w:w="26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Solutions</w:t>
            </w:r>
          </w:p>
        </w:tc>
        <w:tc>
          <w:tcPr>
            <w:tcW w:w="14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Segment Revenues</w:t>
            </w: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8"/>
              </w:rPr>
              <w:t>Revenues</w:t>
            </w:r>
          </w:p>
        </w:tc>
        <w:tc>
          <w:tcPr>
            <w:tcW w:w="0" w:type="dxa"/>
            <w:vAlign w:val="bottom"/>
          </w:tcPr>
          <w:p>
            <w:pPr>
              <w:spacing w:after="0"/>
              <w:rPr>
                <w:sz w:val="1"/>
                <w:szCs w:val="1"/>
                <w:color w:val="auto"/>
              </w:rPr>
            </w:pPr>
          </w:p>
        </w:tc>
      </w:tr>
      <w:tr>
        <w:trPr>
          <w:trHeight w:val="143"/>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Third-party revenues</w:t>
            </w: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1,161,279</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215,314</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1,376,593</w:t>
            </w:r>
          </w:p>
        </w:tc>
        <w:tc>
          <w:tcPr>
            <w:tcW w:w="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1,376,695</w:t>
            </w:r>
          </w:p>
        </w:tc>
        <w:tc>
          <w:tcPr>
            <w:tcW w:w="0" w:type="dxa"/>
            <w:vAlign w:val="bottom"/>
          </w:tcPr>
          <w:p>
            <w:pPr>
              <w:spacing w:after="0"/>
              <w:rPr>
                <w:sz w:val="1"/>
                <w:szCs w:val="1"/>
                <w:color w:val="auto"/>
              </w:rPr>
            </w:pPr>
          </w:p>
        </w:tc>
      </w:tr>
      <w:tr>
        <w:trPr>
          <w:trHeight w:val="153"/>
        </w:trPr>
        <w:tc>
          <w:tcPr>
            <w:tcW w:w="4380" w:type="dxa"/>
            <w:vAlign w:val="bottom"/>
          </w:tcPr>
          <w:p>
            <w:pPr>
              <w:spacing w:after="0"/>
              <w:rPr>
                <w:sz w:val="20"/>
                <w:szCs w:val="20"/>
                <w:color w:val="auto"/>
              </w:rPr>
            </w:pPr>
            <w:r>
              <w:rPr>
                <w:rFonts w:ascii="Times New Roman" w:cs="Times New Roman" w:eastAsia="Times New Roman" w:hAnsi="Times New Roman"/>
                <w:sz w:val="12"/>
                <w:szCs w:val="12"/>
                <w:color w:val="auto"/>
              </w:rPr>
              <w:t>Intersegment revenues (expense), net</w:t>
            </w:r>
          </w:p>
        </w:tc>
        <w:tc>
          <w:tcPr>
            <w:tcW w:w="20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11,231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 revenues</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1,172,510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204,083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1,376,593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1,376,695</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The primary financial measure by which the CODM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transactions not deemed representative of fundamental segment results and other expense, net. Transactions between the segments are accounted for at the Company’s best estimate based on similar transactions with outside customers.</w:t>
      </w:r>
    </w:p>
    <w:p>
      <w:pPr>
        <w:spacing w:after="0" w:line="6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CODM uses Adjusted EBITDA to enhance their understanding of segment operating performance, which represents the Company’s performance in the ordinary, ongoing and customary course of operations. The reportable segment operating performance Adjusted EBITDA is used by the CODM to make key operating decisions such as the allocation of resources. Total assets by segment are not used by the CODM to assess the performance of, or allocate resources to, the Company’s segments. Therefore total assets by segment are not disclosed.</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tables below present total Reportable Segment Adjusted EBITDA and the relevant significant segment expenses provided to the CODM by reported segment (in thousands):</w:t>
      </w:r>
    </w:p>
    <w:p>
      <w:pPr>
        <w:spacing w:after="0" w:line="3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2025</w:t>
      </w:r>
    </w:p>
    <w:tbl>
      <w:tblPr>
        <w:tblLayout w:type="fixed"/>
        <w:tblInd w:w="0" w:type="dxa"/>
        <w:tblCellMar>
          <w:top w:w="0" w:type="dxa"/>
          <w:left w:w="0" w:type="dxa"/>
          <w:bottom w:w="0" w:type="dxa"/>
          <w:right w:w="0" w:type="dxa"/>
        </w:tblCellMar>
      </w:tblPr>
      <w:tr>
        <w:trPr>
          <w:trHeight w:val="111"/>
        </w:trPr>
        <w:tc>
          <w:tcPr>
            <w:tcW w:w="39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Environmental Services</w:t>
            </w:r>
          </w:p>
        </w:tc>
        <w:tc>
          <w:tcPr>
            <w:tcW w:w="120" w:type="dxa"/>
            <w:vAlign w:val="bottom"/>
          </w:tcPr>
          <w:p>
            <w:pPr>
              <w:spacing w:after="0"/>
              <w:rPr>
                <w:sz w:val="9"/>
                <w:szCs w:val="9"/>
                <w:color w:val="auto"/>
              </w:rPr>
            </w:pPr>
          </w:p>
        </w:tc>
        <w:tc>
          <w:tcPr>
            <w:tcW w:w="1420" w:type="dxa"/>
            <w:vAlign w:val="bottom"/>
            <w:gridSpan w:val="2"/>
          </w:tcPr>
          <w:p>
            <w:pPr>
              <w:jc w:val="center"/>
              <w:ind w:right="180"/>
              <w:spacing w:after="0" w:line="112" w:lineRule="exact"/>
              <w:rPr>
                <w:sz w:val="20"/>
                <w:szCs w:val="20"/>
                <w:color w:val="auto"/>
              </w:rPr>
            </w:pPr>
            <w:r>
              <w:rPr>
                <w:rFonts w:ascii="Times New Roman" w:cs="Times New Roman" w:eastAsia="Times New Roman" w:hAnsi="Times New Roman"/>
                <w:sz w:val="10"/>
                <w:szCs w:val="10"/>
                <w:b w:val="1"/>
                <w:bCs w:val="1"/>
                <w:color w:val="auto"/>
                <w:w w:val="96"/>
              </w:rPr>
              <w:t>Safety-Kleen Sustainability</w:t>
            </w:r>
          </w:p>
        </w:tc>
        <w:tc>
          <w:tcPr>
            <w:tcW w:w="120" w:type="dxa"/>
            <w:vAlign w:val="bottom"/>
          </w:tcPr>
          <w:p>
            <w:pPr>
              <w:spacing w:after="0"/>
              <w:rPr>
                <w:sz w:val="9"/>
                <w:szCs w:val="9"/>
                <w:color w:val="auto"/>
              </w:rPr>
            </w:pPr>
          </w:p>
        </w:tc>
        <w:tc>
          <w:tcPr>
            <w:tcW w:w="1340" w:type="dxa"/>
            <w:vAlign w:val="bottom"/>
            <w:vMerge w:val="restart"/>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w w:val="98"/>
              </w:rPr>
              <w:t>Total Reportable Segments</w:t>
            </w: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Solutions</w:t>
            </w:r>
          </w:p>
        </w:tc>
        <w:tc>
          <w:tcPr>
            <w:tcW w:w="1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 Revenues</w:t>
            </w:r>
          </w:p>
        </w:tc>
        <w:tc>
          <w:tcPr>
            <w:tcW w:w="28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1,209,113</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222,740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1,431,853</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839,942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177,438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1,017,380</w:t>
            </w:r>
          </w:p>
        </w:tc>
        <w:tc>
          <w:tcPr>
            <w:tcW w:w="0" w:type="dxa"/>
            <w:vAlign w:val="bottom"/>
          </w:tcPr>
          <w:p>
            <w:pPr>
              <w:spacing w:after="0"/>
              <w:rPr>
                <w:sz w:val="1"/>
                <w:szCs w:val="1"/>
                <w:color w:val="auto"/>
              </w:rPr>
            </w:pPr>
          </w:p>
        </w:tc>
      </w:tr>
      <w:tr>
        <w:trPr>
          <w:trHeight w:val="15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28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94,580</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17,050</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111,630</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Total Reportable Segment Adjusted EBITDA</w:t>
            </w:r>
          </w:p>
        </w:tc>
        <w:tc>
          <w:tcPr>
            <w:tcW w:w="288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274,591</w:t>
            </w: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28,252</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302,843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80" w:type="dxa"/>
            <w:vAlign w:val="bottom"/>
            <w:vMerge w:val="restart"/>
          </w:tcPr>
          <w:p>
            <w:pPr>
              <w:jc w:val="right"/>
              <w:ind w:right="1020"/>
              <w:spacing w:after="0"/>
              <w:rPr>
                <w:sz w:val="20"/>
                <w:szCs w:val="20"/>
                <w:color w:val="auto"/>
              </w:rPr>
            </w:pPr>
            <w:r>
              <w:rPr>
                <w:rFonts w:ascii="Times New Roman" w:cs="Times New Roman" w:eastAsia="Times New Roman" w:hAnsi="Times New Roman"/>
                <w:sz w:val="12"/>
                <w:szCs w:val="12"/>
                <w:color w:val="auto"/>
              </w:rPr>
              <w:t>18</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9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900" w:type="dxa"/>
            <w:vAlign w:val="bottom"/>
            <w:tcBorders>
              <w:bottom w:val="single" w:sz="8" w:color="9A9A9A"/>
            </w:tcBorders>
          </w:tcPr>
          <w:p>
            <w:pPr>
              <w:spacing w:after="0"/>
              <w:rPr>
                <w:sz w:val="6"/>
                <w:szCs w:val="6"/>
                <w:color w:val="auto"/>
              </w:rPr>
            </w:pPr>
          </w:p>
        </w:tc>
        <w:tc>
          <w:tcPr>
            <w:tcW w:w="28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2024</w:t>
      </w:r>
    </w:p>
    <w:tbl>
      <w:tblPr>
        <w:tblLayout w:type="fixed"/>
        <w:tblInd w:w="0" w:type="dxa"/>
        <w:tblCellMar>
          <w:top w:w="0" w:type="dxa"/>
          <w:left w:w="0" w:type="dxa"/>
          <w:bottom w:w="0" w:type="dxa"/>
          <w:right w:w="0" w:type="dxa"/>
        </w:tblCellMar>
      </w:tblPr>
      <w:tr>
        <w:trPr>
          <w:trHeight w:val="111"/>
        </w:trPr>
        <w:tc>
          <w:tcPr>
            <w:tcW w:w="6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Environmental Services</w:t>
            </w:r>
          </w:p>
        </w:tc>
        <w:tc>
          <w:tcPr>
            <w:tcW w:w="1540" w:type="dxa"/>
            <w:vAlign w:val="bottom"/>
            <w:gridSpan w:val="4"/>
          </w:tcPr>
          <w:p>
            <w:pPr>
              <w:jc w:val="right"/>
              <w:ind w:right="240"/>
              <w:spacing w:after="0" w:line="112" w:lineRule="exact"/>
              <w:rPr>
                <w:sz w:val="20"/>
                <w:szCs w:val="20"/>
                <w:color w:val="auto"/>
              </w:rPr>
            </w:pPr>
            <w:r>
              <w:rPr>
                <w:rFonts w:ascii="Times New Roman" w:cs="Times New Roman" w:eastAsia="Times New Roman" w:hAnsi="Times New Roman"/>
                <w:sz w:val="10"/>
                <w:szCs w:val="10"/>
                <w:b w:val="1"/>
                <w:bCs w:val="1"/>
                <w:color w:val="auto"/>
              </w:rPr>
              <w:t>Safety-Kleen Sustainability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Total Reportable Segments</w:t>
            </w:r>
          </w:p>
        </w:tc>
        <w:tc>
          <w:tcPr>
            <w:tcW w:w="0" w:type="dxa"/>
            <w:vAlign w:val="bottom"/>
          </w:tcPr>
          <w:p>
            <w:pPr>
              <w:spacing w:after="0"/>
              <w:rPr>
                <w:sz w:val="1"/>
                <w:szCs w:val="1"/>
                <w:color w:val="auto"/>
              </w:rPr>
            </w:pPr>
          </w:p>
        </w:tc>
      </w:tr>
      <w:tr>
        <w:trPr>
          <w:trHeight w:val="129"/>
        </w:trPr>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Solutions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 Revenues</w:t>
            </w: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1,172,510</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204,083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1,376,593</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16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812,898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154,887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967,785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95,137</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19,496</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114,633</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Total Reportable Segment Adjusted EBITDA</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264,475</w:t>
            </w: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29,700</w:t>
            </w:r>
          </w:p>
        </w:tc>
        <w:tc>
          <w:tcPr>
            <w:tcW w:w="80" w:type="dxa"/>
            <w:vAlign w:val="bottom"/>
          </w:tcPr>
          <w:p>
            <w:pPr>
              <w:spacing w:after="0"/>
              <w:rPr>
                <w:sz w:val="12"/>
                <w:szCs w:val="12"/>
                <w:color w:val="auto"/>
              </w:rPr>
            </w:pPr>
          </w:p>
        </w:tc>
        <w:tc>
          <w:tcPr>
            <w:tcW w:w="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294,175</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8300" w:type="dxa"/>
            <w:vAlign w:val="bottom"/>
            <w:gridSpan w:val="4"/>
          </w:tcPr>
          <w:p>
            <w:pPr>
              <w:ind w:left="420"/>
              <w:spacing w:after="0"/>
              <w:rPr>
                <w:sz w:val="20"/>
                <w:szCs w:val="20"/>
                <w:color w:val="auto"/>
              </w:rPr>
            </w:pPr>
            <w:r>
              <w:rPr>
                <w:rFonts w:ascii="Times New Roman" w:cs="Times New Roman" w:eastAsia="Times New Roman" w:hAnsi="Times New Roman"/>
                <w:sz w:val="12"/>
                <w:szCs w:val="12"/>
                <w:color w:val="auto"/>
              </w:rPr>
              <w:t>The following table presents Total Reportable Segment Adjusted EBITDA reconciled to income from operations before provision for income taxes (in thousands):</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8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7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3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7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Adjusted EBITDA:</w:t>
            </w: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Environmental Services</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66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274,591</w:t>
            </w:r>
          </w:p>
        </w:tc>
        <w:tc>
          <w:tcPr>
            <w:tcW w:w="600" w:type="dxa"/>
            <w:vAlign w:val="bottom"/>
            <w:gridSpan w:val="3"/>
          </w:tcPr>
          <w:p>
            <w:pPr>
              <w:jc w:val="right"/>
              <w:ind w:right="389"/>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264,475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Safety-Kleen Sustainability Solutions</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28,252</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Reportable Segment Adjusted EBITDA</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302,843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Reconciliation to Consolidated Statements of Operations:</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Corporate Costs</w:t>
            </w:r>
            <w:r>
              <w:rPr>
                <w:rFonts w:ascii="Times New Roman" w:cs="Times New Roman" w:eastAsia="Times New Roman" w:hAnsi="Times New Roman"/>
                <w:sz w:val="15"/>
                <w:szCs w:val="15"/>
                <w:color w:val="auto"/>
                <w:vertAlign w:val="superscript"/>
              </w:rPr>
              <w:t>(1)</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67,989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Accretion of environmental liabilities</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7,635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111,980</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from operations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111,619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expense, net</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Interest expense, net of interest income</w:t>
            </w:r>
          </w:p>
        </w:tc>
        <w:tc>
          <w:tcPr>
            <w:tcW w:w="16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36,077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Income from operations before provision for income taxes</w:t>
            </w:r>
          </w:p>
        </w:tc>
        <w:tc>
          <w:tcPr>
            <w:tcW w:w="16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74,610</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95,795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w:t>
      </w:r>
    </w:p>
    <w:p>
      <w:pPr>
        <w:spacing w:after="0" w:line="14" w:lineRule="exact"/>
        <w:rPr>
          <w:sz w:val="20"/>
          <w:szCs w:val="20"/>
          <w:color w:val="auto"/>
        </w:rPr>
      </w:pPr>
    </w:p>
    <w:p>
      <w:pPr>
        <w:ind w:left="420" w:right="440" w:hanging="212"/>
        <w:spacing w:after="0" w:line="269" w:lineRule="auto"/>
        <w:tabs>
          <w:tab w:leader="none" w:pos="46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Costs include certain revenue, cost of revenues and selling, general and administrative expenses not managed through the Company’s operating segments. These costs are not captured within the Company’s Reportable Segment Adjusted EBITDA but are included in the Company’s total Adjusted EBITDA balances.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right="4540"/>
        <w:spacing w:after="0" w:line="418" w:lineRule="auto"/>
        <w:rPr>
          <w:sz w:val="20"/>
          <w:szCs w:val="20"/>
          <w:color w:val="auto"/>
        </w:rPr>
      </w:pPr>
      <w:r>
        <w:rPr>
          <w:rFonts w:ascii="Times New Roman" w:cs="Times New Roman" w:eastAsia="Times New Roman" w:hAnsi="Times New Roman"/>
          <w:sz w:val="12"/>
          <w:szCs w:val="12"/>
          <w:b w:val="1"/>
          <w:bCs w:val="1"/>
          <w:color w:val="auto"/>
        </w:rPr>
        <w:t xml:space="preserve">ITEM 2. MANAGEMENT’S DISCUSSION AND ANALYSIS OF FINANCIAL CONDITION AND RESULTS OF OPERATIONS </w:t>
      </w:r>
      <w:r>
        <w:rPr>
          <w:rFonts w:ascii="Times New Roman" w:cs="Times New Roman" w:eastAsia="Times New Roman" w:hAnsi="Times New Roman"/>
          <w:sz w:val="12"/>
          <w:szCs w:val="12"/>
          <w:b w:val="1"/>
          <w:bCs w:val="1"/>
          <w:i w:val="1"/>
          <w:iCs w:val="1"/>
          <w:color w:val="auto"/>
        </w:rPr>
        <w:t>Forward-Looking Statements</w:t>
      </w:r>
    </w:p>
    <w:p>
      <w:pPr>
        <w:ind w:firstLine="432"/>
        <w:spacing w:after="0" w:line="252" w:lineRule="auto"/>
        <w:rPr>
          <w:sz w:val="20"/>
          <w:szCs w:val="20"/>
          <w:color w:val="auto"/>
        </w:rPr>
      </w:pPr>
      <w:r>
        <w:rPr>
          <w:rFonts w:ascii="Times New Roman" w:cs="Times New Roman" w:eastAsia="Times New Roman" w:hAnsi="Times New Roman"/>
          <w:sz w:val="12"/>
          <w:szCs w:val="12"/>
          <w:color w:val="auto"/>
        </w:rPr>
        <w:t>In addition to historical information, this Quarterly Report on Form 10-Q contains forward-looking statements, which are generally identifiable by use of the words “believes,” “expects,” “intends,” “anticipates,” “plans to,” “seeks,” “aims, “should,” “estimates,” “projects,” “may,” “will,” “likely,” “potential” or similar expressions. Such statements may include, but are not limited to, statements about our future financial and operating results, plans, strategy, objectives and goals, cost management initiatives, contingent liabilities, liquidity, business and market conditions, customer demand, acquisitions, growth opportunities, expectations and other statements that are not historical facts. Such statements are based upon the beliefs and expectations of our management as of the date of this report only and are subject to certain risks and uncertainties that could cause actual results, performance or achievements to differ materially, including, without limitation: operational and safety risks; risks relating to the failure of new or existing technologies;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our business; negative economic, industry or other developments, including market volatility or economic downturns; risks associated with our assumptions relating to expansion of our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we serve; changes in statutory and regulatory requirements and risks relating to extensive environmental laws and regulations; risks associated with existing and potential litigation; risks associated with our identification and execution of strategic acquisitions and divestitures and their related liabilities; risks relating to the availability and sufficiency of our insurance coverage, self-insurance, surety bonds, letters of credit and other forms of financial assurance; changes in tax regulations and interpretations including the imposition of trade sanctions or tariffs; fluctuations in interest rates and foreign currency exchange rates; risks relating to our indebtedness and covenants in our debt agreements; risks associated with certain anti-takeover provisions Massachusetts Business Corporation Act and our By-Laws; and those items identified as “Risk Factors” in our Annual Report on Form 10-K filed with the Securities and Exchange Commission (“SEC”) on February 19, 2025, and in other documents we file from time to time with the SEC. Forward-looking statements are neither historical facts nor assurances of future performance.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Overview</w:t>
      </w:r>
    </w:p>
    <w:p>
      <w:pPr>
        <w:spacing w:after="0" w:line="109"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2"/>
          <w:szCs w:val="12"/>
          <w:color w:val="auto"/>
        </w:rPr>
        <w:t>We are North America’s leading provider of environmental and industrial services, supporting our customers in finding environmentally responsible solutions to further their sustainability goals. Everywhere industry meets the environment, we strive to provide eco-friendly services and products that protect and restore North America’s natural environment. We believe we operate, in the aggregate, the largest number of hazardous waste incinerators, landfills and treatment, storage and disposal facilities (“TSDFs”) in North America. We serve over 350,000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the largest re-refiner and recycler of used oil in North America.</w:t>
      </w:r>
    </w:p>
    <w:p>
      <w:pPr>
        <w:spacing w:after="0" w:line="80" w:lineRule="exact"/>
        <w:rPr>
          <w:sz w:val="20"/>
          <w:szCs w:val="20"/>
          <w:color w:val="auto"/>
        </w:rPr>
      </w:pPr>
    </w:p>
    <w:p>
      <w:pPr>
        <w:jc w:val="both"/>
        <w:ind w:right="100" w:firstLine="432"/>
        <w:spacing w:after="0" w:line="265" w:lineRule="auto"/>
        <w:rPr>
          <w:sz w:val="20"/>
          <w:szCs w:val="20"/>
          <w:color w:val="auto"/>
        </w:rPr>
      </w:pPr>
      <w:r>
        <w:rPr>
          <w:rFonts w:ascii="Times New Roman" w:cs="Times New Roman" w:eastAsia="Times New Roman" w:hAnsi="Times New Roman"/>
          <w:sz w:val="12"/>
          <w:szCs w:val="12"/>
          <w:color w:val="auto"/>
        </w:rPr>
        <w:t>Performance of our segments is evaluated on several factors of which the primary financial measure is Adjusted EBITDA, a non-GAAP measure which is reconciled to our GAAP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61" w:lineRule="exact"/>
        <w:rPr>
          <w:sz w:val="20"/>
          <w:szCs w:val="20"/>
          <w:color w:val="auto"/>
        </w:rPr>
      </w:pPr>
    </w:p>
    <w:p>
      <w:pPr>
        <w:ind w:left="640" w:right="60" w:hanging="216"/>
        <w:spacing w:after="0" w:line="259" w:lineRule="auto"/>
        <w:tabs>
          <w:tab w:leader="none" w:pos="63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Environmental Services - </w:t>
      </w:r>
      <w:r>
        <w:rPr>
          <w:rFonts w:ascii="Times New Roman" w:cs="Times New Roman" w:eastAsia="Times New Roman" w:hAnsi="Times New Roman"/>
          <w:sz w:val="12"/>
          <w:szCs w:val="12"/>
          <w:color w:val="auto"/>
        </w:rPr>
        <w:t>The Environmental Services segment results are driven by the customer demand for our wide variety of services, the volume of waste managed and project work requiring responsible waste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handling and disposal.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left="640" w:right="80"/>
        <w:spacing w:after="0" w:line="255" w:lineRule="auto"/>
        <w:rPr>
          <w:sz w:val="20"/>
          <w:szCs w:val="20"/>
          <w:color w:val="auto"/>
        </w:rPr>
      </w:pPr>
      <w:r>
        <w:rPr>
          <w:rFonts w:ascii="Times New Roman" w:cs="Times New Roman" w:eastAsia="Times New Roman" w:hAnsi="Times New Roman"/>
          <w:sz w:val="12"/>
          <w:szCs w:val="12"/>
          <w:color w:val="auto"/>
        </w:rPr>
        <w:t>placed at customer sites, and the demand for and frequency of other offered services. The results and integration of the acquired operations of HEPACO, which we acquired in March 2024, also impact the overall segment results as we integrated this business into our Field Services operations.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and automotive markets, including efforts and economic incentives to increase domestic operations, available capacity at waste disposal outlets, demand for industrial cleaning and related industrial services, weather conditions, efficiency of our operations, technology, changing regulations, competition, market pricing of our services, costs incurred to deliver our services and the management of our related operating costs.</w:t>
      </w:r>
    </w:p>
    <w:p>
      <w:pPr>
        <w:spacing w:after="0" w:line="77" w:lineRule="exact"/>
        <w:rPr>
          <w:sz w:val="20"/>
          <w:szCs w:val="20"/>
          <w:color w:val="auto"/>
        </w:rPr>
      </w:pPr>
    </w:p>
    <w:p>
      <w:pPr>
        <w:ind w:left="640" w:hanging="216"/>
        <w:spacing w:after="0" w:line="253" w:lineRule="auto"/>
        <w:tabs>
          <w:tab w:leader="none" w:pos="637" w:val="left"/>
        </w:tabs>
        <w:numPr>
          <w:ilvl w:val="0"/>
          <w:numId w:val="8"/>
        </w:numPr>
        <w:rPr>
          <w:rFonts w:ascii="Arial" w:cs="Arial" w:eastAsia="Arial" w:hAnsi="Arial"/>
          <w:sz w:val="12"/>
          <w:szCs w:val="12"/>
          <w:color w:val="auto"/>
        </w:rPr>
      </w:pPr>
      <w:r>
        <w:rPr>
          <w:rFonts w:ascii="Times New Roman" w:cs="Times New Roman" w:eastAsia="Times New Roman" w:hAnsi="Times New Roman"/>
          <w:sz w:val="12"/>
          <w:szCs w:val="12"/>
          <w:b w:val="1"/>
          <w:bCs w:val="1"/>
          <w:color w:val="auto"/>
        </w:rPr>
        <w:t xml:space="preserve">Safety-Kleen Sustainability Solutions - </w:t>
      </w:r>
      <w:r>
        <w:rPr>
          <w:rFonts w:ascii="Times New Roman" w:cs="Times New Roman" w:eastAsia="Times New Roman" w:hAnsi="Times New Roman"/>
          <w:sz w:val="12"/>
          <w:szCs w:val="12"/>
          <w:color w:val="auto"/>
        </w:rPr>
        <w:t>Safety-Kleen Sustainability Solutions (“SKSS”) segment results are impacted by our customers’ demand for high-quality, environmentally responsible recycled oil products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their demand for our related service and product offerings. SKSS offers high-quality recycled base and blended oil products and other automotive and industrial lubricants to end users including fleet customers, distributors, manufacturers of oil products and industrial plants.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 used oil collected is used as feedstock in our oil re-refining to produce our base and blended oil products and other hydraulic oils, lubricants and recycled fuel oil or are integrated into our recycling and disposal network. The results and integration of the acquired operations of Noble also impact the overall segment results. In operating the business and evaluating performance, management tracks the volumes and relative percentages of base and blended oil sales along with various pricing metrics associated with the commodity driven margin between product pricing and the overall revenue generation and costs associated with the collection of used oil. Levels of activity and ultimate performance associated with this segment can be impacted by economic conditions in the manufacturing and automotive services markets, efficiency of our operations, technology, weather conditions, changing regulations, competition and the management of our related operating costs. Overall product pricing as well as revenues generated and/or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Highlights</w:t>
      </w:r>
    </w:p>
    <w:p>
      <w:pPr>
        <w:spacing w:after="0" w:line="109"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2"/>
          <w:szCs w:val="12"/>
          <w:color w:val="auto"/>
        </w:rPr>
        <w:t>Total direct revenues for the three months ended March 31, 2025 were $1,432.0 million, compared with $1,376.7 million for the three months ended March 31, 2024. Our Environmental Services segment direct revenues increased $36.6 million or 3.1% for the three months ended March 31, 2025 from the comparable period in 2024 driven by growth in Field and Emergency Response Services, specifically incremental contributions from the acquisition of HEPACO, as well as growth in our Technical Services and Safety-Kleen core service offerings, offset by contraction of Industrial Services revenues. For the three months ended March 31, 2025, our SKSS segment direct revenues increased $18.7 million or 9.1% from the comparable period in 2024, driven by the contributions of Noble as well as growth in charge for oil revenue, which was partially offset by lower sales of blended and base oil. Foreign currency translation of our Canadian operations negatively impacted our consolidated direct revenues by $8.2 million in the three months ended March 31, 2025 compared to the same period in 2024.</w:t>
      </w:r>
    </w:p>
    <w:p>
      <w:pPr>
        <w:spacing w:after="0" w:line="80"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2"/>
          <w:szCs w:val="12"/>
          <w:color w:val="auto"/>
        </w:rPr>
        <w:t>Income from operations for the three months ended March 31, 2025 was $111.6 million, compared with $125.5 million in the three months ended March 31, 2024, representing a decrease of 11.0%, primarily driven by an increase in depreciation and amortization expense as a result of the incremental assets from the acquisitions of HEPACO and Noble, which occurred in the first quarter of 2024. Net income for the three months ended March 31, 2025 was $58.7 million, a decrease of $11.2 million, or 16.0% as compared with net income of $69.8 million in the three months ended March 31, 2024.</w:t>
      </w:r>
    </w:p>
    <w:p>
      <w:pPr>
        <w:spacing w:after="0" w:line="65"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Adjusted EBITDA, which is the primary financial measure by which we evaluate the operating performance of our segments, increased $4.8 million or 2.1%, from $230.1 million in the three months ended March 31, 2024 to $234.9 million in the three months ended March 31, 2025. Additional information regarding Adjusted EBITDA, which is a non-GAAP measure, including a reconciliation of net income to Adjusted EBITDA, appears below under </w:t>
      </w:r>
      <w:r>
        <w:rPr>
          <w:rFonts w:ascii="Times New Roman" w:cs="Times New Roman" w:eastAsia="Times New Roman" w:hAnsi="Times New Roman"/>
          <w:sz w:val="12"/>
          <w:szCs w:val="12"/>
          <w:i w:val="1"/>
          <w:iCs w:val="1"/>
          <w:color w:val="auto"/>
        </w:rPr>
        <w:t>“Adjusted EBITDA.”</w:t>
      </w:r>
    </w:p>
    <w:p>
      <w:pPr>
        <w:spacing w:after="0" w:line="74" w:lineRule="exact"/>
        <w:rPr>
          <w:sz w:val="20"/>
          <w:szCs w:val="20"/>
          <w:color w:val="auto"/>
        </w:rPr>
      </w:pPr>
    </w:p>
    <w:p>
      <w:pPr>
        <w:ind w:right="240" w:firstLine="432"/>
        <w:spacing w:after="0" w:line="279" w:lineRule="auto"/>
        <w:rPr>
          <w:sz w:val="20"/>
          <w:szCs w:val="20"/>
          <w:color w:val="auto"/>
        </w:rPr>
      </w:pPr>
      <w:r>
        <w:rPr>
          <w:rFonts w:ascii="Times New Roman" w:cs="Times New Roman" w:eastAsia="Times New Roman" w:hAnsi="Times New Roman"/>
          <w:sz w:val="12"/>
          <w:szCs w:val="12"/>
          <w:color w:val="auto"/>
        </w:rPr>
        <w:t>Net cash from operating activities for the three months ended March 31, 2025 decreased $16.9 million from $18.5 million in 2024 to $1.6 million in 2025 due to increased working capital balances as well as higher interest payments. As is typical for the first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 xml:space="preserve">quarter, adjusted free cash flow, which management uses to measure our financial strength and ability to generate cash, was an outflow of $115.7 million in the three months ended March 31, 2025 as compared to an outflow of $118.4 million in the comparable period of 2024. Additional information regarding adjusted free cash flow, which is a non-GAAP measure, including a reconciliation of net cash from operating activities to adjusted free cash flow, appears below under </w:t>
      </w:r>
      <w:r>
        <w:rPr>
          <w:rFonts w:ascii="Times New Roman" w:cs="Times New Roman" w:eastAsia="Times New Roman" w:hAnsi="Times New Roman"/>
          <w:sz w:val="12"/>
          <w:szCs w:val="12"/>
          <w:i w:val="1"/>
          <w:iCs w:val="1"/>
          <w:color w:val="auto"/>
        </w:rPr>
        <w:t>“Adjusted Free Cash Flow</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Performance</w:t>
      </w:r>
    </w:p>
    <w:p>
      <w:pPr>
        <w:spacing w:after="0" w:line="100" w:lineRule="exact"/>
        <w:rPr>
          <w:sz w:val="20"/>
          <w:szCs w:val="20"/>
          <w:color w:val="auto"/>
        </w:rPr>
      </w:pPr>
    </w:p>
    <w:p>
      <w:pPr>
        <w:ind w:right="140" w:firstLine="432"/>
        <w:spacing w:after="0" w:line="273" w:lineRule="auto"/>
        <w:rPr>
          <w:sz w:val="20"/>
          <w:szCs w:val="20"/>
          <w:color w:val="auto"/>
        </w:rPr>
      </w:pPr>
      <w:r>
        <w:rPr>
          <w:rFonts w:ascii="Times New Roman" w:cs="Times New Roman" w:eastAsia="Times New Roman" w:hAnsi="Times New Roman"/>
          <w:sz w:val="12"/>
          <w:szCs w:val="12"/>
          <w:color w:val="auto"/>
        </w:rPr>
        <w:t>The primary financial measure by which we evaluate the performance of our segments is Adjusted EBITDA. The following table sets forth certain financial information associated with our results of operations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Summary of Operations</w:t>
            </w: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33"/>
        </w:trPr>
        <w:tc>
          <w:tcPr>
            <w:tcW w:w="6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4"/>
        </w:trPr>
        <w:tc>
          <w:tcPr>
            <w:tcW w:w="6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34"/>
        </w:trPr>
        <w:tc>
          <w:tcPr>
            <w:tcW w:w="67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25"/>
        </w:trPr>
        <w:tc>
          <w:tcPr>
            <w:tcW w:w="67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 xml:space="preserve">Direct Revenues </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2"/>
        </w:trPr>
        <w:tc>
          <w:tcPr>
            <w:tcW w:w="67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Environmental Services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1,209,113</w:t>
            </w:r>
          </w:p>
        </w:tc>
        <w:tc>
          <w:tcPr>
            <w:tcW w:w="8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1,172,510</w:t>
            </w:r>
          </w:p>
        </w:tc>
        <w:tc>
          <w:tcPr>
            <w:tcW w:w="6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36,603</w:t>
            </w:r>
          </w:p>
        </w:tc>
        <w:tc>
          <w:tcPr>
            <w:tcW w:w="10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3.1%</w:t>
            </w:r>
          </w:p>
        </w:tc>
      </w:tr>
      <w:tr>
        <w:trPr>
          <w:trHeight w:val="146"/>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Safety-Kleen Sustainability Solutions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222,740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204,083</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18,657</w:t>
            </w:r>
          </w:p>
        </w:tc>
        <w:tc>
          <w:tcPr>
            <w:tcW w:w="1080" w:type="dxa"/>
            <w:vAlign w:val="bottom"/>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rPr>
              <w:t>9.1</w:t>
            </w:r>
          </w:p>
        </w:tc>
      </w:tr>
      <w:tr>
        <w:trPr>
          <w:trHeight w:val="142"/>
        </w:trPr>
        <w:tc>
          <w:tcPr>
            <w:tcW w:w="6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Corporate</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102</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w w:val="96"/>
              </w:rPr>
              <w:t>N/M</w:t>
            </w:r>
          </w:p>
        </w:tc>
      </w:tr>
      <w:tr>
        <w:trPr>
          <w:trHeight w:val="135"/>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1,431,950</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1,376,695</w:t>
            </w:r>
          </w:p>
        </w:tc>
        <w:tc>
          <w:tcPr>
            <w:tcW w:w="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55,255</w:t>
            </w:r>
          </w:p>
        </w:tc>
        <w:tc>
          <w:tcPr>
            <w:tcW w:w="1080" w:type="dxa"/>
            <w:vAlign w:val="bottom"/>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rPr>
              <w:t>4.0</w:t>
            </w:r>
          </w:p>
        </w:tc>
      </w:tr>
      <w:tr>
        <w:trPr>
          <w:trHeight w:val="133"/>
        </w:trPr>
        <w:tc>
          <w:tcPr>
            <w:tcW w:w="6780" w:type="dxa"/>
            <w:vAlign w:val="bottom"/>
          </w:tcPr>
          <w:p>
            <w:pPr>
              <w:spacing w:after="0" w:line="133" w:lineRule="exact"/>
              <w:rPr>
                <w:sz w:val="20"/>
                <w:szCs w:val="20"/>
                <w:color w:val="auto"/>
              </w:rPr>
            </w:pPr>
            <w:r>
              <w:rPr>
                <w:rFonts w:ascii="Times New Roman" w:cs="Times New Roman" w:eastAsia="Times New Roman" w:hAnsi="Times New Roman"/>
                <w:sz w:val="11"/>
                <w:szCs w:val="11"/>
                <w:b w:val="1"/>
                <w:bCs w:val="1"/>
                <w:color w:val="auto"/>
              </w:rPr>
              <w:t xml:space="preserve">Cost of Revenues </w:t>
            </w:r>
            <w:r>
              <w:rPr>
                <w:rFonts w:ascii="Times New Roman" w:cs="Times New Roman" w:eastAsia="Times New Roman" w:hAnsi="Times New Roman"/>
                <w:sz w:val="14"/>
                <w:szCs w:val="14"/>
                <w:b w:val="1"/>
                <w:bCs w:val="1"/>
                <w:color w:val="auto"/>
                <w:vertAlign w:val="superscript"/>
              </w:rPr>
              <w:t>(2)</w:t>
            </w: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4"/>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Environmental Services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839,942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812,898</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27,044</w:t>
            </w:r>
          </w:p>
        </w:tc>
        <w:tc>
          <w:tcPr>
            <w:tcW w:w="1080" w:type="dxa"/>
            <w:vAlign w:val="bottom"/>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rPr>
              <w:t>3.3</w:t>
            </w:r>
          </w:p>
        </w:tc>
      </w:tr>
      <w:tr>
        <w:trPr>
          <w:trHeight w:val="142"/>
        </w:trPr>
        <w:tc>
          <w:tcPr>
            <w:tcW w:w="67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Safety-Kleen Sustainability Solutions</w:t>
            </w:r>
          </w:p>
        </w:tc>
        <w:tc>
          <w:tcPr>
            <w:tcW w:w="26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177,438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154,887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22,551</w:t>
            </w:r>
          </w:p>
        </w:tc>
        <w:tc>
          <w:tcPr>
            <w:tcW w:w="10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3"/>
              </w:rPr>
              <w:t>14.6</w:t>
            </w:r>
          </w:p>
        </w:tc>
      </w:tr>
      <w:tr>
        <w:trPr>
          <w:trHeight w:val="146"/>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Corporate</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4,504</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3,285</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1,219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N/M</w:t>
            </w:r>
          </w:p>
        </w:tc>
      </w:tr>
      <w:tr>
        <w:trPr>
          <w:trHeight w:val="132"/>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1,021,884</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971,070</w:t>
            </w:r>
          </w:p>
        </w:tc>
        <w:tc>
          <w:tcPr>
            <w:tcW w:w="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50,814</w:t>
            </w:r>
          </w:p>
        </w:tc>
        <w:tc>
          <w:tcPr>
            <w:tcW w:w="1080" w:type="dxa"/>
            <w:vAlign w:val="bottom"/>
            <w:tcBorders>
              <w:bottom w:val="single" w:sz="8" w:color="CCEEFF"/>
            </w:tcBorders>
            <w:gridSpan w:val="2"/>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rPr>
              <w:t>5.2</w:t>
            </w:r>
          </w:p>
        </w:tc>
      </w:tr>
      <w:tr>
        <w:trPr>
          <w:trHeight w:val="134"/>
        </w:trPr>
        <w:tc>
          <w:tcPr>
            <w:tcW w:w="67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1"/>
                <w:szCs w:val="11"/>
                <w:b w:val="1"/>
                <w:bCs w:val="1"/>
                <w:color w:val="auto"/>
              </w:rPr>
              <w:t xml:space="preserve">Selling, General &amp; Administrative Expenses </w:t>
            </w:r>
            <w:r>
              <w:rPr>
                <w:rFonts w:ascii="Times New Roman" w:cs="Times New Roman" w:eastAsia="Times New Roman" w:hAnsi="Times New Roman"/>
                <w:sz w:val="14"/>
                <w:szCs w:val="14"/>
                <w:b w:val="1"/>
                <w:bCs w:val="1"/>
                <w:color w:val="auto"/>
                <w:vertAlign w:val="superscript"/>
              </w:rPr>
              <w:t>(3)</w:t>
            </w:r>
            <w:r>
              <w:rPr>
                <w:rFonts w:ascii="Times New Roman" w:cs="Times New Roman" w:eastAsia="Times New Roman" w:hAnsi="Times New Roman"/>
                <w:sz w:val="11"/>
                <w:szCs w:val="11"/>
                <w:b w:val="1"/>
                <w:bCs w:val="1"/>
                <w:color w:val="auto"/>
              </w:rPr>
              <w:t>:</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2"/>
        </w:trPr>
        <w:tc>
          <w:tcPr>
            <w:tcW w:w="67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Environmental Services</w:t>
            </w:r>
          </w:p>
        </w:tc>
        <w:tc>
          <w:tcPr>
            <w:tcW w:w="26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94,580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95,137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(557)</w:t>
            </w:r>
          </w:p>
        </w:tc>
        <w:tc>
          <w:tcPr>
            <w:tcW w:w="10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4"/>
              </w:rPr>
              <w:t>(0.6)</w:t>
            </w:r>
          </w:p>
        </w:tc>
      </w:tr>
      <w:tr>
        <w:trPr>
          <w:trHeight w:val="146"/>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Safety-Kleen Sustainability Solutions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17,050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19,496</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(2,446)</w:t>
            </w:r>
          </w:p>
        </w:tc>
        <w:tc>
          <w:tcPr>
            <w:tcW w:w="1080" w:type="dxa"/>
            <w:vAlign w:val="bottom"/>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w w:val="97"/>
              </w:rPr>
              <w:t>(12.5)</w:t>
            </w:r>
          </w:p>
        </w:tc>
      </w:tr>
      <w:tr>
        <w:trPr>
          <w:trHeight w:val="142"/>
        </w:trPr>
        <w:tc>
          <w:tcPr>
            <w:tcW w:w="6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Corporate</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63,582</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60,897</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2,685</w:t>
            </w:r>
          </w:p>
        </w:tc>
        <w:tc>
          <w:tcPr>
            <w:tcW w:w="1080" w:type="dxa"/>
            <w:vAlign w:val="bottom"/>
            <w:tcBorders>
              <w:bottom w:val="single" w:sz="8" w:color="CCEEFF"/>
            </w:tcBorders>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4.4</w:t>
            </w:r>
          </w:p>
        </w:tc>
      </w:tr>
      <w:tr>
        <w:trPr>
          <w:trHeight w:val="135"/>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175,212</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175,530</w:t>
            </w:r>
          </w:p>
        </w:tc>
        <w:tc>
          <w:tcPr>
            <w:tcW w:w="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(318)</w:t>
            </w:r>
          </w:p>
        </w:tc>
        <w:tc>
          <w:tcPr>
            <w:tcW w:w="108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4"/>
              </w:rPr>
              <w:t>(0.2)</w:t>
            </w:r>
          </w:p>
        </w:tc>
      </w:tr>
      <w:tr>
        <w:trPr>
          <w:trHeight w:val="131"/>
        </w:trPr>
        <w:tc>
          <w:tcPr>
            <w:tcW w:w="6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Adjusted EBITDA:</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6"/>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Environmental Services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274,591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264,475</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10,116</w:t>
            </w:r>
          </w:p>
        </w:tc>
        <w:tc>
          <w:tcPr>
            <w:tcW w:w="1080" w:type="dxa"/>
            <w:vAlign w:val="bottom"/>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11"/>
                <w:szCs w:val="11"/>
                <w:color w:val="auto"/>
              </w:rPr>
              <w:t>3.8</w:t>
            </w:r>
          </w:p>
        </w:tc>
      </w:tr>
      <w:tr>
        <w:trPr>
          <w:trHeight w:val="142"/>
        </w:trPr>
        <w:tc>
          <w:tcPr>
            <w:tcW w:w="67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Safety-Kleen Sustainability Solutions</w:t>
            </w:r>
          </w:p>
        </w:tc>
        <w:tc>
          <w:tcPr>
            <w:tcW w:w="26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28,252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29,700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(1,448)</w:t>
            </w:r>
          </w:p>
        </w:tc>
        <w:tc>
          <w:tcPr>
            <w:tcW w:w="10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4"/>
              </w:rPr>
              <w:t>(4.9)</w:t>
            </w:r>
          </w:p>
        </w:tc>
      </w:tr>
      <w:tr>
        <w:trPr>
          <w:trHeight w:val="146"/>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Corporate</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(67,989)</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(64,080)</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(3,909)</w:t>
            </w:r>
          </w:p>
        </w:tc>
        <w:tc>
          <w:tcPr>
            <w:tcW w:w="1080" w:type="dxa"/>
            <w:vAlign w:val="bottom"/>
            <w:gridSpan w:val="2"/>
            <w:shd w:val="clear" w:color="auto" w:fill="CCEEFF"/>
          </w:tcPr>
          <w:p>
            <w:pPr>
              <w:jc w:val="center"/>
              <w:ind w:left="26"/>
              <w:spacing w:after="0"/>
              <w:rPr>
                <w:sz w:val="20"/>
                <w:szCs w:val="20"/>
                <w:color w:val="auto"/>
              </w:rPr>
            </w:pPr>
            <w:r>
              <w:rPr>
                <w:rFonts w:ascii="Times New Roman" w:cs="Times New Roman" w:eastAsia="Times New Roman" w:hAnsi="Times New Roman"/>
                <w:sz w:val="11"/>
                <w:szCs w:val="11"/>
                <w:color w:val="auto"/>
                <w:w w:val="94"/>
              </w:rPr>
              <w:t>(6.1)</w:t>
            </w:r>
          </w:p>
        </w:tc>
      </w:tr>
      <w:tr>
        <w:trPr>
          <w:trHeight w:val="132"/>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234,854</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230,095</w:t>
            </w:r>
          </w:p>
        </w:tc>
        <w:tc>
          <w:tcPr>
            <w:tcW w:w="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4,759</w:t>
            </w:r>
          </w:p>
        </w:tc>
        <w:tc>
          <w:tcPr>
            <w:tcW w:w="1080" w:type="dxa"/>
            <w:vAlign w:val="bottom"/>
            <w:tcBorders>
              <w:bottom w:val="single" w:sz="8" w:color="CCEEFF"/>
            </w:tcBorders>
            <w:gridSpan w:val="2"/>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6"/>
              </w:rPr>
              <w:t>2.1%</w:t>
            </w:r>
          </w:p>
        </w:tc>
      </w:tr>
      <w:tr>
        <w:trPr>
          <w:trHeight w:val="125"/>
        </w:trPr>
        <w:tc>
          <w:tcPr>
            <w:tcW w:w="67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Adjusted EBITDA as a % of Direct Revenues:</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4"/>
        </w:trPr>
        <w:tc>
          <w:tcPr>
            <w:tcW w:w="6780" w:type="dxa"/>
            <w:vAlign w:val="bottom"/>
          </w:tcPr>
          <w:p>
            <w:pPr>
              <w:ind w:left="80"/>
              <w:spacing w:after="0" w:line="144" w:lineRule="exact"/>
              <w:rPr>
                <w:sz w:val="20"/>
                <w:szCs w:val="20"/>
                <w:color w:val="auto"/>
              </w:rPr>
            </w:pPr>
            <w:r>
              <w:rPr>
                <w:rFonts w:ascii="Times New Roman" w:cs="Times New Roman" w:eastAsia="Times New Roman" w:hAnsi="Times New Roman"/>
                <w:sz w:val="11"/>
                <w:szCs w:val="11"/>
                <w:color w:val="auto"/>
              </w:rPr>
              <w:t xml:space="preserve">Environmental Services </w:t>
            </w:r>
            <w:r>
              <w:rPr>
                <w:rFonts w:ascii="Times New Roman" w:cs="Times New Roman" w:eastAsia="Times New Roman" w:hAnsi="Times New Roman"/>
                <w:sz w:val="14"/>
                <w:szCs w:val="14"/>
                <w:color w:val="auto"/>
                <w:vertAlign w:val="superscript"/>
              </w:rPr>
              <w:t>(4)</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22.6 %</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678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1"/>
                <w:szCs w:val="11"/>
                <w:color w:val="auto"/>
              </w:rPr>
              <w:t xml:space="preserve">Safety-Kleen Sustainability Solutions </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14.6 %</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4"/>
        </w:trPr>
        <w:tc>
          <w:tcPr>
            <w:tcW w:w="6780" w:type="dxa"/>
            <w:vAlign w:val="bottom"/>
          </w:tcPr>
          <w:p>
            <w:pPr>
              <w:ind w:left="80"/>
              <w:spacing w:after="0" w:line="144" w:lineRule="exact"/>
              <w:rPr>
                <w:sz w:val="20"/>
                <w:szCs w:val="20"/>
                <w:color w:val="auto"/>
              </w:rPr>
            </w:pPr>
            <w:r>
              <w:rPr>
                <w:rFonts w:ascii="Times New Roman" w:cs="Times New Roman" w:eastAsia="Times New Roman" w:hAnsi="Times New Roman"/>
                <w:sz w:val="11"/>
                <w:szCs w:val="11"/>
                <w:color w:val="auto"/>
              </w:rPr>
              <w:t xml:space="preserve">Corporate </w:t>
            </w:r>
            <w:r>
              <w:rPr>
                <w:rFonts w:ascii="Times New Roman" w:cs="Times New Roman" w:eastAsia="Times New Roman" w:hAnsi="Times New Roman"/>
                <w:sz w:val="14"/>
                <w:szCs w:val="14"/>
                <w:color w:val="auto"/>
                <w:vertAlign w:val="superscript"/>
              </w:rPr>
              <w:t>(5)</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16.4 %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16.7 %</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(0.3)%</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N/M = not meaningful</w:t>
      </w:r>
    </w:p>
    <w:p>
      <w:pPr>
        <w:spacing w:after="0" w:line="11"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revenues are revenues allocated to the segment performing the provided service.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revenues is shown exclusive of (i) accretion of environmental liabilities and (ii) depreciation and amortization which are presented separately on the consolidated statements of operations.</w:t>
      </w:r>
    </w:p>
    <w:p>
      <w:pPr>
        <w:spacing w:after="0" w:line="6" w:lineRule="exact"/>
        <w:rPr>
          <w:rFonts w:ascii="Times New Roman" w:cs="Times New Roman" w:eastAsia="Times New Roman" w:hAnsi="Times New Roman"/>
          <w:sz w:val="12"/>
          <w:szCs w:val="12"/>
          <w:color w:val="auto"/>
        </w:rPr>
      </w:pPr>
    </w:p>
    <w:p>
      <w:pPr>
        <w:ind w:left="420" w:right="80" w:hanging="212"/>
        <w:spacing w:after="0" w:line="250" w:lineRule="auto"/>
        <w:tabs>
          <w:tab w:leader="none" w:pos="416"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general and administrative expenses is shown exclusive of stock-based compensation which is presented in Selling, general and administrative expenses on the Company’s Consolidated Statements of Operations but is not included in the Company’s measurement of Adjusted EBITDA. See Adjusted EBITDA section below for a reconciliation of net income to Adjusted EBITDA.</w:t>
      </w: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as a percentage of individual segment direct revenue.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as a percentage of total Company direct revenue.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Direct Revenues</w:t>
      </w:r>
    </w:p>
    <w:p>
      <w:pPr>
        <w:spacing w:after="0" w:line="109"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There are many factors which can impact our revenues including, but not limited to: overall levels of industrial activity and economic growth in North America, competitive industry pricing, overall market incineration capacity including captive incineration closures, changes in the regulatory environment including those related to per- and polyfluoroalkyl substances (“PFAS”), impacts of acquisitions and divestitures, the level of emergency response services, government infrastructure investment, reshoring of domestic manufacturing,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and foreign currency translation. In addition, customer efforts to minimize hazardous waste and changes in regulation can impact our revenues.</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Environmental Services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tcPr>
          <w:p>
            <w:pPr>
              <w:spacing w:after="0"/>
              <w:rPr>
                <w:sz w:val="12"/>
                <w:szCs w:val="12"/>
                <w:color w:val="auto"/>
              </w:rPr>
            </w:pPr>
          </w:p>
        </w:tc>
      </w:tr>
      <w:tr>
        <w:trPr>
          <w:trHeight w:val="144"/>
        </w:trPr>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69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40" w:type="dxa"/>
            <w:vAlign w:val="bottom"/>
          </w:tcPr>
          <w:p>
            <w:pPr>
              <w:spacing w:after="0"/>
              <w:rPr>
                <w:sz w:val="11"/>
                <w:szCs w:val="11"/>
                <w:color w:val="auto"/>
              </w:rPr>
            </w:pPr>
          </w:p>
        </w:tc>
        <w:tc>
          <w:tcPr>
            <w:tcW w:w="800" w:type="dxa"/>
            <w:vAlign w:val="bottom"/>
          </w:tcPr>
          <w:p>
            <w:pPr>
              <w:jc w:val="right"/>
              <w:ind w:right="36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ind w:right="36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 revenues</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1,209,113</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1,172,510</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36,603</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3.1 %</w:t>
            </w:r>
          </w:p>
        </w:tc>
      </w:tr>
    </w:tbl>
    <w:p>
      <w:pPr>
        <w:spacing w:after="0" w:line="151"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2"/>
          <w:szCs w:val="12"/>
          <w:color w:val="auto"/>
        </w:rPr>
        <w:t>Environmental Services direct revenues for the three months ended March 31, 2025 increased $36.6 million from the comparable period in 2024 driven by incremental revenues from acquisitive growth and contributions from our legacy operations. Field and emergency response service revenues for the three months ended March 31, 2025 increased $52.2 million from the comparable period in 2024 driven by incremental revenue of approximately $50 million from the acquisition of HEPACO as well as overall growth in legacy field and emergency response service offerings. Technical services revenue increased $18.7 million largely due to higher incineration volumes coupled with improved pricing. On a comparative basis and excluding the impacts of the new incinerator in Kimball, Nebraska, which is not expected to be running at full utilization until 2026, utilization at our incinerators was 88% in the first three months of 2025 as compared to 79% in the same period in 2024. Including the new Kimball incinerator, utilization at our incinerators was 81% during the three months ended March 31, 2025. Revenues for Safety-Kleen core service offerings for the three months ended March 31, 2025 grew by $11.9 million from the comparable period in 2024 due to improved pricing for our containerized waste, vacuum and parts washer services despite fewer parts washer services compared to the same period in 2024. Revenue from our industrial services operations declined $37.0 million due to lower turnaround activity and related high-value services for the three months ended March 31, 2025 compared to the same period in 2024. Direct revenues for Canadian operations of the Environmental Services segment decreased by $6.5 million due to foreign currency translation.</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Safety-Kleen Sustainability Solutions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tcPr>
          <w:p>
            <w:pPr>
              <w:spacing w:after="0"/>
              <w:rPr>
                <w:sz w:val="12"/>
                <w:szCs w:val="12"/>
                <w:color w:val="auto"/>
              </w:rPr>
            </w:pPr>
          </w:p>
        </w:tc>
      </w:tr>
      <w:tr>
        <w:trPr>
          <w:trHeight w:val="144"/>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6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40" w:type="dxa"/>
            <w:vAlign w:val="bottom"/>
          </w:tcPr>
          <w:p>
            <w:pPr>
              <w:spacing w:after="0"/>
              <w:rPr>
                <w:sz w:val="11"/>
                <w:szCs w:val="11"/>
                <w:color w:val="auto"/>
              </w:rPr>
            </w:pPr>
          </w:p>
        </w:tc>
        <w:tc>
          <w:tcPr>
            <w:tcW w:w="800" w:type="dxa"/>
            <w:vAlign w:val="bottom"/>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right"/>
              <w:ind w:right="36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 revenues</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222,740</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204,083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18,657</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9.1 %</w:t>
            </w:r>
          </w:p>
        </w:tc>
      </w:tr>
    </w:tbl>
    <w:p>
      <w:pPr>
        <w:spacing w:after="0" w:line="151" w:lineRule="exact"/>
        <w:rPr>
          <w:sz w:val="20"/>
          <w:szCs w:val="20"/>
          <w:color w:val="auto"/>
        </w:rPr>
      </w:pPr>
    </w:p>
    <w:p>
      <w:pPr>
        <w:jc w:val="both"/>
        <w:ind w:right="220" w:firstLine="432"/>
        <w:spacing w:after="0" w:line="260" w:lineRule="auto"/>
        <w:rPr>
          <w:sz w:val="20"/>
          <w:szCs w:val="20"/>
          <w:color w:val="auto"/>
        </w:rPr>
      </w:pPr>
      <w:r>
        <w:rPr>
          <w:rFonts w:ascii="Times New Roman" w:cs="Times New Roman" w:eastAsia="Times New Roman" w:hAnsi="Times New Roman"/>
          <w:sz w:val="12"/>
          <w:szCs w:val="12"/>
          <w:color w:val="auto"/>
        </w:rPr>
        <w:t>In the three months ended March 31, 2025, SKSS direct revenues increased $18.7 million compared to the same period in 2024. This growth was mainly due to a $20.0 million increase in revenues from vacuum gas oil and specialty refinery products, driven by the acquisition of Noble, and a $5.9 million increase in revenues from the collection of used oil, attributed to higher pricing for these collection services and increased volumes collected. These increases were partially offset by a $5.9 million decline in base oil sales driven by lower pricing despite increased volumes sold and a $3.7 million decline in blended oil sales which was driven by lower volumes sold and, to a lesser extent, lower pricing. Direct revenues for Canadian operations of the SKSS segment decreased by $1.7 million due to foreign currency translation.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Revenues</w:t>
      </w:r>
    </w:p>
    <w:p>
      <w:pPr>
        <w:spacing w:after="0" w:line="109"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We believe that management of operating costs is vital to our ability to remain price competitive. We continue to experience inflationary pressures across several cost categories, but most notably related to internal and external labor, transportation, maintenance and energy related costs. We are also subject to uncertainties and cost increases due to the changing regulatory landscape including trade restrictions and tariffs. We aim to manage these increases through constant cost monitoring and a focus on cost savings areas, including lowering employee turnover, as well as our overall customer pricing strategies designed to offset the inflationary impacts on our margins.</w:t>
      </w:r>
    </w:p>
    <w:p>
      <w:pPr>
        <w:spacing w:after="0" w:line="74" w:lineRule="exact"/>
        <w:rPr>
          <w:sz w:val="20"/>
          <w:szCs w:val="20"/>
          <w:color w:val="auto"/>
        </w:rPr>
      </w:pPr>
    </w:p>
    <w:p>
      <w:pPr>
        <w:ind w:right="460" w:firstLine="432"/>
        <w:spacing w:after="0" w:line="279" w:lineRule="auto"/>
        <w:rPr>
          <w:sz w:val="20"/>
          <w:szCs w:val="20"/>
          <w:color w:val="auto"/>
        </w:rPr>
      </w:pPr>
      <w:r>
        <w:rPr>
          <w:rFonts w:ascii="Times New Roman" w:cs="Times New Roman" w:eastAsia="Times New Roman" w:hAnsi="Times New Roman"/>
          <w:sz w:val="12"/>
          <w:szCs w:val="12"/>
          <w:color w:val="auto"/>
        </w:rPr>
        <w:t>We continue to upgrade the quality and efficiency of our services through the development of new technology and continued modifications and expansion at our facilities while also leveraging certain fixed costs of our operating infrastructure. We invest 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business opportunities and aggressively implement strategic sourcing and logistics solutions, while also continuing to optimize our management and operating structure in an effort to manage our operating margins.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Environmental Services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80" w:type="dxa"/>
            <w:vAlign w:val="bottom"/>
          </w:tcPr>
          <w:p>
            <w:pPr>
              <w:spacing w:after="0"/>
              <w:rPr>
                <w:sz w:val="12"/>
                <w:szCs w:val="12"/>
                <w:color w:val="auto"/>
              </w:rPr>
            </w:pPr>
          </w:p>
        </w:tc>
      </w:tr>
      <w:tr>
        <w:trPr>
          <w:trHeight w:val="144"/>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6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80" w:type="dxa"/>
            <w:vAlign w:val="bottom"/>
          </w:tcPr>
          <w:p>
            <w:pPr>
              <w:spacing w:after="0"/>
              <w:rPr>
                <w:sz w:val="11"/>
                <w:szCs w:val="11"/>
                <w:color w:val="auto"/>
              </w:rPr>
            </w:pPr>
          </w:p>
        </w:tc>
        <w:tc>
          <w:tcPr>
            <w:tcW w:w="92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Pr>
          <w:p>
            <w:pPr>
              <w:spacing w:after="0"/>
              <w:rPr>
                <w:sz w:val="11"/>
                <w:szCs w:val="11"/>
                <w:color w:val="auto"/>
              </w:rPr>
            </w:pPr>
          </w:p>
        </w:tc>
        <w:tc>
          <w:tcPr>
            <w:tcW w:w="82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839,942</w:t>
            </w: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812,898</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27,044</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3.3 %</w:t>
            </w:r>
          </w:p>
        </w:tc>
      </w:tr>
      <w:tr>
        <w:trPr>
          <w:trHeight w:val="155"/>
        </w:trPr>
        <w:tc>
          <w:tcPr>
            <w:tcW w:w="6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 of Direct revenues</w:t>
            </w: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69.5 %</w:t>
            </w:r>
          </w:p>
        </w:tc>
        <w:tc>
          <w:tcPr>
            <w:tcW w:w="3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0.2 %</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140" w:lineRule="exact"/>
        <w:rPr>
          <w:sz w:val="20"/>
          <w:szCs w:val="20"/>
          <w:color w:val="auto"/>
        </w:rPr>
      </w:pPr>
    </w:p>
    <w:p>
      <w:pPr>
        <w:ind w:right="40" w:firstLine="432"/>
        <w:spacing w:after="0" w:line="260" w:lineRule="auto"/>
        <w:rPr>
          <w:sz w:val="20"/>
          <w:szCs w:val="20"/>
          <w:color w:val="auto"/>
        </w:rPr>
      </w:pPr>
      <w:r>
        <w:rPr>
          <w:rFonts w:ascii="Times New Roman" w:cs="Times New Roman" w:eastAsia="Times New Roman" w:hAnsi="Times New Roman"/>
          <w:sz w:val="12"/>
          <w:szCs w:val="12"/>
          <w:color w:val="auto"/>
        </w:rPr>
        <w:t>Environmental Services cost of revenues for the three months ended March 31, 2025 increased $27.0 million from the comparable period in 2024, and remained relatively consistent as percentage of revenues. Commensurate with the revenue growth in the business and recent acquisitions discussed above, labor and benefit related costs increased $25.1 million and equipment and supply costs increased $6.5 million for the three months ended March 31, 2025 when compared to the three months ended March 31, 2024. The remaining increase was spread across various cost categories and was driven by acquisitions. Partially offsetting these cost increases were decreases in third-party labor costs of $7.9 million and external transportation, vehicle and fuel related costs of $2.1 million for the three months ended March 31, 2025 when compared to the three months ended March 31, 2024.</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Safety-Kleen Sustainability Solutions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80" w:type="dxa"/>
            <w:vAlign w:val="bottom"/>
          </w:tcPr>
          <w:p>
            <w:pPr>
              <w:spacing w:after="0"/>
              <w:rPr>
                <w:sz w:val="12"/>
                <w:szCs w:val="12"/>
                <w:color w:val="auto"/>
              </w:rPr>
            </w:pPr>
          </w:p>
        </w:tc>
      </w:tr>
      <w:tr>
        <w:trPr>
          <w:trHeight w:val="144"/>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66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80" w:type="dxa"/>
            <w:vAlign w:val="bottom"/>
          </w:tcPr>
          <w:p>
            <w:pPr>
              <w:spacing w:after="0"/>
              <w:rPr>
                <w:sz w:val="11"/>
                <w:szCs w:val="11"/>
                <w:color w:val="auto"/>
              </w:rPr>
            </w:pPr>
          </w:p>
        </w:tc>
        <w:tc>
          <w:tcPr>
            <w:tcW w:w="86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177,438</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154,887</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22,551</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14.6 %</w:t>
            </w:r>
          </w:p>
        </w:tc>
      </w:tr>
      <w:tr>
        <w:trPr>
          <w:trHeight w:val="155"/>
        </w:trPr>
        <w:tc>
          <w:tcPr>
            <w:tcW w:w="6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 of Direct revenues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3.8 %</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140"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SKSS cost of revenues for the three months ended March 31, 2025 increased $22.6 million from the comparable period in 2024 and increased 3.8% as a percentage of revenues. The cost increase is primarily due to additional expenses from the Noble operations. As a percentage of revenues, these costs increased primarily due to the higher cost per gallon of base oil products sold, the overall mix of product sales and market related pricing decreases discussed in the revenue section during the three months ended March 31, 2025 as compared to the same period in the prior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Selling, General and Administrative Expenses</w:t>
      </w:r>
    </w:p>
    <w:p>
      <w:pPr>
        <w:spacing w:after="0" w:line="100"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color w:val="auto"/>
        </w:rPr>
        <w:t>We aim to manage our selling, general and administrative (“SG&amp;A”) expenses in line with the overall performance of our segments and corresponding revenue levels. Our goal is to achieve this through enhanced technology, process improvements and strategic expense management. Expanding our support functions globally has led to both profitability and productivity improvements. We believe our ability to properly align these costs with business performance is reflective of our strong management of the businesses and further promotes our ability to remain competitive in the marketplace.</w:t>
      </w:r>
    </w:p>
    <w:p>
      <w:pPr>
        <w:spacing w:after="0" w:line="74" w:lineRule="exact"/>
        <w:rPr>
          <w:sz w:val="20"/>
          <w:szCs w:val="20"/>
          <w:color w:val="auto"/>
        </w:rPr>
      </w:pPr>
    </w:p>
    <w:p>
      <w:pPr>
        <w:ind w:right="200" w:firstLine="432"/>
        <w:spacing w:after="0" w:line="279" w:lineRule="auto"/>
        <w:rPr>
          <w:sz w:val="20"/>
          <w:szCs w:val="20"/>
          <w:color w:val="auto"/>
        </w:rPr>
      </w:pPr>
      <w:r>
        <w:rPr>
          <w:rFonts w:ascii="Times New Roman" w:cs="Times New Roman" w:eastAsia="Times New Roman" w:hAnsi="Times New Roman"/>
          <w:sz w:val="12"/>
          <w:szCs w:val="12"/>
          <w:color w:val="auto"/>
        </w:rPr>
        <w:t>The SG&amp;A balances as set forth below in this section exclude stock-based compensation expense, which is presented in SG&amp;A on the Company’s Consolidated Statement of Operations but is not included in the Company’s measurement of Adjusted EBITDA. For a discussion of significant changes in consolidated stock-based compensation expense, please refer to the separate section below.</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Environmental Services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80" w:type="dxa"/>
            <w:vAlign w:val="bottom"/>
          </w:tcPr>
          <w:p>
            <w:pPr>
              <w:spacing w:after="0"/>
              <w:rPr>
                <w:sz w:val="12"/>
                <w:szCs w:val="12"/>
                <w:color w:val="auto"/>
              </w:rPr>
            </w:pPr>
          </w:p>
        </w:tc>
      </w:tr>
      <w:tr>
        <w:trPr>
          <w:trHeight w:val="144"/>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6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60" w:type="dxa"/>
            <w:vAlign w:val="bottom"/>
          </w:tcPr>
          <w:p>
            <w:pPr>
              <w:spacing w:after="0"/>
              <w:rPr>
                <w:sz w:val="11"/>
                <w:szCs w:val="11"/>
                <w:color w:val="auto"/>
              </w:rPr>
            </w:pPr>
          </w:p>
        </w:tc>
        <w:tc>
          <w:tcPr>
            <w:tcW w:w="88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SG&amp;A expenses</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94,580</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95,137</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(557)</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55"/>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 of Direct revenues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7.8 %</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140"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Environmental Services SG&amp;A expenses for the three months ended March 31, 2025 remained relatively consistent with the comparable period in 2024, both in dollar amount and as a percentage of revenues. The current quarter results include the impact of reducing estimated costs to remediate a site by approximately $10 million to reflect our conclusion that a loss was no longer probable based on recent evaluation of available evidence. This benefit was partially offset by higher labor and benefits related costs of $7.9</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million as a result of the HEPACO acquisition and other investments in our employees.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Safety-Kleen Sustainability Solutions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80" w:type="dxa"/>
            <w:vAlign w:val="bottom"/>
          </w:tcPr>
          <w:p>
            <w:pPr>
              <w:spacing w:after="0"/>
              <w:rPr>
                <w:sz w:val="12"/>
                <w:szCs w:val="12"/>
                <w:color w:val="auto"/>
              </w:rPr>
            </w:pPr>
          </w:p>
        </w:tc>
      </w:tr>
      <w:tr>
        <w:trPr>
          <w:trHeight w:val="144"/>
        </w:trPr>
        <w:tc>
          <w:tcPr>
            <w:tcW w:w="6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6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60" w:type="dxa"/>
            <w:vAlign w:val="bottom"/>
          </w:tcPr>
          <w:p>
            <w:pPr>
              <w:spacing w:after="0"/>
              <w:rPr>
                <w:sz w:val="11"/>
                <w:szCs w:val="11"/>
                <w:color w:val="auto"/>
              </w:rPr>
            </w:pPr>
          </w:p>
        </w:tc>
        <w:tc>
          <w:tcPr>
            <w:tcW w:w="86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SG&amp;A expenses</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17,050</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19,496</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(2,446)</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r>
      <w:tr>
        <w:trPr>
          <w:trHeight w:val="155"/>
        </w:trPr>
        <w:tc>
          <w:tcPr>
            <w:tcW w:w="6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 of Direct revenues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140" w:lineRule="exact"/>
        <w:rPr>
          <w:sz w:val="20"/>
          <w:szCs w:val="20"/>
          <w:color w:val="auto"/>
        </w:rPr>
      </w:pPr>
    </w:p>
    <w:p>
      <w:pPr>
        <w:jc w:val="both"/>
        <w:ind w:right="40" w:firstLine="432"/>
        <w:spacing w:after="0" w:line="265" w:lineRule="auto"/>
        <w:rPr>
          <w:sz w:val="20"/>
          <w:szCs w:val="20"/>
          <w:color w:val="auto"/>
        </w:rPr>
      </w:pPr>
      <w:r>
        <w:rPr>
          <w:rFonts w:ascii="Times New Roman" w:cs="Times New Roman" w:eastAsia="Times New Roman" w:hAnsi="Times New Roman"/>
          <w:sz w:val="12"/>
          <w:szCs w:val="12"/>
          <w:color w:val="auto"/>
        </w:rPr>
        <w:t>For the three months ended March 31, 2025, SKSS SG&amp;A expenses decreased $2.4 million and, as a percentage of revenues, decreased 1.9% when compared to the same period in the prior year. Labor and benefit related costs decreased $1.6 million in the three months ended March 31, 2025 when compared to the same period in 2024, mainly driven by cost reduction initiatives that were executed in the fourth quarter of 2024 and the shift to charging for the collection of used oil, which drove higher revenues.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Corporate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80" w:type="dxa"/>
            <w:vAlign w:val="bottom"/>
          </w:tcPr>
          <w:p>
            <w:pPr>
              <w:spacing w:after="0"/>
              <w:rPr>
                <w:sz w:val="12"/>
                <w:szCs w:val="12"/>
                <w:color w:val="auto"/>
              </w:rPr>
            </w:pPr>
          </w:p>
        </w:tc>
      </w:tr>
      <w:tr>
        <w:trPr>
          <w:trHeight w:val="144"/>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6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60" w:type="dxa"/>
            <w:vAlign w:val="bottom"/>
          </w:tcPr>
          <w:p>
            <w:pPr>
              <w:spacing w:after="0"/>
              <w:rPr>
                <w:sz w:val="11"/>
                <w:szCs w:val="11"/>
                <w:color w:val="auto"/>
              </w:rPr>
            </w:pPr>
          </w:p>
        </w:tc>
        <w:tc>
          <w:tcPr>
            <w:tcW w:w="88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SG&amp;A expenses</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63,582</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60,897</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2,685</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4.4 %</w:t>
            </w:r>
          </w:p>
        </w:tc>
      </w:tr>
      <w:tr>
        <w:trPr>
          <w:trHeight w:val="155"/>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a % of Total Company Direct revenues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4.4 %</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1080" w:type="dxa"/>
            <w:vAlign w:val="bottom"/>
          </w:tcPr>
          <w:p>
            <w:pPr>
              <w:spacing w:after="0"/>
              <w:rPr>
                <w:sz w:val="13"/>
                <w:szCs w:val="13"/>
                <w:color w:val="auto"/>
              </w:rPr>
            </w:pPr>
          </w:p>
        </w:tc>
      </w:tr>
    </w:tbl>
    <w:p>
      <w:pPr>
        <w:spacing w:after="0" w:line="140"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We manage our Corporate SG&amp;A expenses commensurate with the overall total Company performance and direct revenue levels. As a percentage of total Company direct revenues, these costs remained relatively consistent in the three months ended March 31, 2025 and the comparable period in the prior year, continuing our trend of leveraging our SG&amp;A base in the midst of revenue growth discussed above.</w:t>
      </w:r>
    </w:p>
    <w:p>
      <w:pPr>
        <w:spacing w:after="0" w:line="66" w:lineRule="exact"/>
        <w:rPr>
          <w:sz w:val="20"/>
          <w:szCs w:val="20"/>
          <w:color w:val="auto"/>
        </w:rPr>
      </w:pPr>
    </w:p>
    <w:p>
      <w:pPr>
        <w:ind w:right="420" w:firstLine="432"/>
        <w:spacing w:after="0" w:line="279" w:lineRule="auto"/>
        <w:rPr>
          <w:sz w:val="20"/>
          <w:szCs w:val="20"/>
          <w:color w:val="auto"/>
        </w:rPr>
      </w:pPr>
      <w:r>
        <w:rPr>
          <w:rFonts w:ascii="Times New Roman" w:cs="Times New Roman" w:eastAsia="Times New Roman" w:hAnsi="Times New Roman"/>
          <w:sz w:val="12"/>
          <w:szCs w:val="12"/>
          <w:color w:val="auto"/>
        </w:rPr>
        <w:t>Corporate SG&amp;A expenses for the three months ended March 31, 2025 increased $2.7 million when compared to the same period in the prior year. The increase in Corporate SG&amp;A expenses for the three months ended March 31, 2025 was driven by higher spending on acquisitions and systems investments when compared to the same period in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Adjusted EBITDA</w:t>
      </w:r>
    </w:p>
    <w:p>
      <w:pPr>
        <w:spacing w:after="0" w:line="109"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As reflected in the reconciliation below, we define Adjusted EBITDA as net income plus accretion of environmental liabilities, stock-based compensation, depreciation and amortization, net other expense, net interest expense and provision for income taxes.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77"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57" w:lineRule="exact"/>
        <w:rPr>
          <w:sz w:val="20"/>
          <w:szCs w:val="20"/>
          <w:color w:val="auto"/>
        </w:rPr>
      </w:pPr>
    </w:p>
    <w:p>
      <w:pPr>
        <w:ind w:right="40" w:firstLine="432"/>
        <w:spacing w:after="0" w:line="300" w:lineRule="auto"/>
        <w:rPr>
          <w:sz w:val="20"/>
          <w:szCs w:val="20"/>
          <w:color w:val="auto"/>
        </w:rPr>
      </w:pPr>
      <w:r>
        <w:rPr>
          <w:rFonts w:ascii="Times New Roman" w:cs="Times New Roman" w:eastAsia="Times New Roman" w:hAnsi="Times New Roman"/>
          <w:sz w:val="11"/>
          <w:szCs w:val="11"/>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57" w:lineRule="exact"/>
        <w:rPr>
          <w:sz w:val="20"/>
          <w:szCs w:val="20"/>
          <w:color w:val="auto"/>
        </w:rPr>
      </w:pPr>
    </w:p>
    <w:p>
      <w:pPr>
        <w:ind w:right="460" w:firstLine="432"/>
        <w:spacing w:after="0" w:line="265" w:lineRule="auto"/>
        <w:rPr>
          <w:sz w:val="20"/>
          <w:szCs w:val="20"/>
          <w:color w:val="auto"/>
        </w:rPr>
      </w:pPr>
      <w:r>
        <w:rPr>
          <w:rFonts w:ascii="Times New Roman" w:cs="Times New Roman" w:eastAsia="Times New Roman" w:hAnsi="Times New Roman"/>
          <w:sz w:val="12"/>
          <w:szCs w:val="12"/>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is a reconciliation of net income to Adjusted EBITDA for the following periods: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100" w:type="dxa"/>
            <w:vAlign w:val="bottom"/>
          </w:tcPr>
          <w:p>
            <w:pPr>
              <w:spacing w:after="0"/>
              <w:rPr>
                <w:sz w:val="12"/>
                <w:szCs w:val="12"/>
                <w:color w:val="auto"/>
              </w:rPr>
            </w:pPr>
          </w:p>
        </w:tc>
      </w:tr>
      <w:tr>
        <w:trPr>
          <w:trHeight w:val="144"/>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1100" w:type="dxa"/>
            <w:vAlign w:val="bottom"/>
            <w:tcBorders>
              <w:bottom w:val="single" w:sz="8" w:color="auto"/>
            </w:tcBorders>
          </w:tcPr>
          <w:p>
            <w:pPr>
              <w:spacing w:after="0"/>
              <w:rPr>
                <w:sz w:val="12"/>
                <w:szCs w:val="12"/>
                <w:color w:val="auto"/>
              </w:rPr>
            </w:pPr>
          </w:p>
        </w:tc>
      </w:tr>
      <w:tr>
        <w:trPr>
          <w:trHeight w:val="136"/>
        </w:trPr>
        <w:tc>
          <w:tcPr>
            <w:tcW w:w="6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58,680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69,832</w:t>
            </w:r>
          </w:p>
        </w:tc>
      </w:tr>
      <w:tr>
        <w:trPr>
          <w:trHeight w:val="153"/>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Accretion of environmental liabilities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gridSpan w:val="4"/>
          </w:tcPr>
          <w:p>
            <w:pPr>
              <w:jc w:val="right"/>
              <w:ind w:right="84"/>
              <w:spacing w:after="0"/>
              <w:rPr>
                <w:sz w:val="20"/>
                <w:szCs w:val="20"/>
                <w:color w:val="auto"/>
              </w:rPr>
            </w:pPr>
            <w:r>
              <w:rPr>
                <w:rFonts w:ascii="Times New Roman" w:cs="Times New Roman" w:eastAsia="Times New Roman" w:hAnsi="Times New Roman"/>
                <w:sz w:val="12"/>
                <w:szCs w:val="12"/>
                <w:color w:val="auto"/>
              </w:rPr>
              <w:t>3,620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3,217</w:t>
            </w:r>
          </w:p>
        </w:tc>
      </w:tr>
      <w:tr>
        <w:trPr>
          <w:trHeight w:val="15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7,635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6,338</w:t>
            </w:r>
          </w:p>
        </w:tc>
      </w:tr>
      <w:tr>
        <w:trPr>
          <w:trHeight w:val="153"/>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gridSpan w:val="4"/>
          </w:tcPr>
          <w:p>
            <w:pPr>
              <w:jc w:val="right"/>
              <w:ind w:right="84"/>
              <w:spacing w:after="0"/>
              <w:rPr>
                <w:sz w:val="20"/>
                <w:szCs w:val="20"/>
                <w:color w:val="auto"/>
              </w:rPr>
            </w:pPr>
            <w:r>
              <w:rPr>
                <w:rFonts w:ascii="Times New Roman" w:cs="Times New Roman" w:eastAsia="Times New Roman" w:hAnsi="Times New Roman"/>
                <w:sz w:val="12"/>
                <w:szCs w:val="12"/>
                <w:color w:val="auto"/>
              </w:rPr>
              <w:t>111,980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95,065</w:t>
            </w:r>
          </w:p>
        </w:tc>
      </w:tr>
      <w:tr>
        <w:trPr>
          <w:trHeight w:val="15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932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1,141</w:t>
            </w:r>
          </w:p>
        </w:tc>
      </w:tr>
      <w:tr>
        <w:trPr>
          <w:trHeight w:val="153"/>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 net of interest income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gridSpan w:val="4"/>
          </w:tcPr>
          <w:p>
            <w:pPr>
              <w:jc w:val="right"/>
              <w:ind w:right="84"/>
              <w:spacing w:after="0"/>
              <w:rPr>
                <w:sz w:val="20"/>
                <w:szCs w:val="20"/>
                <w:color w:val="auto"/>
              </w:rPr>
            </w:pPr>
            <w:r>
              <w:rPr>
                <w:rFonts w:ascii="Times New Roman" w:cs="Times New Roman" w:eastAsia="Times New Roman" w:hAnsi="Times New Roman"/>
                <w:sz w:val="12"/>
                <w:szCs w:val="12"/>
                <w:color w:val="auto"/>
              </w:rPr>
              <w:t>36,077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28,539</w:t>
            </w:r>
          </w:p>
        </w:tc>
      </w:tr>
      <w:tr>
        <w:trPr>
          <w:trHeight w:val="15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15,930</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25,963</w:t>
            </w:r>
          </w:p>
        </w:tc>
      </w:tr>
      <w:tr>
        <w:trPr>
          <w:trHeight w:val="158"/>
        </w:trPr>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gridSpan w:val="2"/>
          </w:tcPr>
          <w:p>
            <w:pPr>
              <w:jc w:val="right"/>
              <w:ind w:right="206"/>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2"/>
                <w:szCs w:val="12"/>
                <w:color w:val="auto"/>
              </w:rPr>
              <w:t>234,854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230,095</w:t>
            </w:r>
          </w:p>
        </w:tc>
      </w:tr>
      <w:tr>
        <w:trPr>
          <w:trHeight w:val="153"/>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 a % of Direct revenues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16.7 %</w:t>
            </w:r>
          </w:p>
        </w:tc>
      </w:tr>
      <w:tr>
        <w:trPr>
          <w:trHeight w:val="297"/>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8"/>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6"/>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4"/>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6"/>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681"/>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6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7,635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6,338</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20.5 %</w:t>
            </w:r>
          </w:p>
        </w:tc>
      </w:tr>
      <w:tr>
        <w:trPr>
          <w:trHeight w:val="196"/>
        </w:trPr>
        <w:tc>
          <w:tcPr>
            <w:tcW w:w="11300" w:type="dxa"/>
            <w:vAlign w:val="bottom"/>
            <w:gridSpan w:val="21"/>
          </w:tcPr>
          <w:p>
            <w:pPr>
              <w:ind w:left="420"/>
              <w:spacing w:after="0"/>
              <w:rPr>
                <w:sz w:val="20"/>
                <w:szCs w:val="20"/>
                <w:color w:val="auto"/>
              </w:rPr>
            </w:pPr>
            <w:r>
              <w:rPr>
                <w:rFonts w:ascii="Times New Roman" w:cs="Times New Roman" w:eastAsia="Times New Roman" w:hAnsi="Times New Roman"/>
                <w:sz w:val="12"/>
                <w:szCs w:val="12"/>
                <w:color w:val="auto"/>
              </w:rPr>
              <w:t>Stock-based compensation for the three months ended March 31, 2025 increased $1.3 million from the comparable period in 2024. This increase was driven by higher achievement of performance share metrics in 2024 and</w:t>
            </w:r>
          </w:p>
        </w:tc>
      </w:tr>
      <w:tr>
        <w:trPr>
          <w:trHeight w:val="155"/>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incremental expense related to the Employee Stock Purchase Plan.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58"/>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6"/>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4"/>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661"/>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6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of fixed assets and amortization of landfills and finance leases</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98,667</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82,215</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16,452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r>
      <w:tr>
        <w:trPr>
          <w:trHeight w:val="153"/>
        </w:trPr>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Permits and other intangibles amortization</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13,313</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12,850</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463</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2"/>
                <w:szCs w:val="12"/>
                <w:color w:val="auto"/>
              </w:rPr>
              <w:t>3.6</w:t>
            </w:r>
          </w:p>
        </w:tc>
      </w:tr>
      <w:tr>
        <w:trPr>
          <w:trHeight w:val="158"/>
        </w:trPr>
        <w:tc>
          <w:tcPr>
            <w:tcW w:w="6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depreciation and amortization</w:t>
            </w:r>
          </w:p>
        </w:tc>
        <w:tc>
          <w:tcPr>
            <w:tcW w:w="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111,980</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95,065</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16,915</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17.8 %</w:t>
            </w:r>
          </w:p>
        </w:tc>
      </w:tr>
    </w:tbl>
    <w:p>
      <w:pPr>
        <w:spacing w:after="0" w:line="142"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Depreciation and amortization for the three months ended March 31, 2025 increased by $16.9 million from the comparable period in 2024 due to the depreciation of fixed assets and amortization of intangible assets acquired from the March 2024 HEPACO and Noble acquisitions, depreciation for the Kimball incinerator which was placed in service in December 2024 and incremental finance lease amortization.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 Net of Interest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100" w:type="dxa"/>
            <w:vAlign w:val="bottom"/>
          </w:tcPr>
          <w:p>
            <w:pPr>
              <w:spacing w:after="0"/>
              <w:rPr>
                <w:sz w:val="12"/>
                <w:szCs w:val="12"/>
                <w:color w:val="auto"/>
              </w:rPr>
            </w:pPr>
          </w:p>
        </w:tc>
      </w:tr>
      <w:tr>
        <w:trPr>
          <w:trHeight w:val="144"/>
        </w:trPr>
        <w:tc>
          <w:tcPr>
            <w:tcW w:w="6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70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40" w:type="dxa"/>
            <w:vAlign w:val="bottom"/>
          </w:tcPr>
          <w:p>
            <w:pPr>
              <w:spacing w:after="0"/>
              <w:rPr>
                <w:sz w:val="11"/>
                <w:szCs w:val="11"/>
                <w:color w:val="auto"/>
              </w:rPr>
            </w:pPr>
          </w:p>
        </w:tc>
        <w:tc>
          <w:tcPr>
            <w:tcW w:w="780" w:type="dxa"/>
            <w:vAlign w:val="bottom"/>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0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 of interest income</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36,077</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28,539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7,538</w:t>
            </w: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26.4 %</w:t>
            </w:r>
          </w:p>
        </w:tc>
      </w:tr>
    </w:tbl>
    <w:p>
      <w:pPr>
        <w:spacing w:after="0" w:line="142" w:lineRule="exact"/>
        <w:rPr>
          <w:sz w:val="20"/>
          <w:szCs w:val="20"/>
          <w:color w:val="auto"/>
        </w:rPr>
      </w:pPr>
    </w:p>
    <w:p>
      <w:pPr>
        <w:ind w:right="340" w:firstLine="432"/>
        <w:spacing w:after="0" w:line="279" w:lineRule="auto"/>
        <w:rPr>
          <w:sz w:val="20"/>
          <w:szCs w:val="20"/>
          <w:color w:val="auto"/>
        </w:rPr>
      </w:pPr>
      <w:r>
        <w:rPr>
          <w:rFonts w:ascii="Times New Roman" w:cs="Times New Roman" w:eastAsia="Times New Roman" w:hAnsi="Times New Roman"/>
          <w:sz w:val="12"/>
          <w:szCs w:val="12"/>
          <w:color w:val="auto"/>
        </w:rPr>
        <w:t>Interest expense, net of interest income for the three months ended March 31, 2025 increased $7.5 million from the comparable period in 2024 primarily due to higher levels of outstanding debt during the period. Interest expense was partially offset by a $2.1 million increase in interest income in the three months ended March 31, 2025 compared to the same period in 2024.</w:t>
      </w:r>
    </w:p>
    <w:p>
      <w:pPr>
        <w:spacing w:after="0" w:line="66"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As of March 31, 2025, the effective interest rate on our debt was 5.3%. For the remainder of 2025, we expect interest expense to remain relatively consistent with the prior year. For additional information regarding our current portfolio of long-term debt, see Note 11, “Financing Arrangements,” to the accompanying unaudited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 for Income Taxes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60" w:type="dxa"/>
            <w:vAlign w:val="bottom"/>
          </w:tcPr>
          <w:p>
            <w:pPr>
              <w:spacing w:after="0"/>
              <w:rPr>
                <w:sz w:val="12"/>
                <w:szCs w:val="12"/>
                <w:color w:val="auto"/>
              </w:rPr>
            </w:pPr>
          </w:p>
        </w:tc>
      </w:tr>
      <w:tr>
        <w:trPr>
          <w:trHeight w:val="144"/>
        </w:trPr>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2025 over 2024</w:t>
            </w:r>
          </w:p>
        </w:tc>
      </w:tr>
      <w:tr>
        <w:trPr>
          <w:trHeight w:val="13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60" w:type="dxa"/>
            <w:vAlign w:val="bottom"/>
          </w:tcPr>
          <w:p>
            <w:pPr>
              <w:spacing w:after="0"/>
              <w:rPr>
                <w:sz w:val="11"/>
                <w:szCs w:val="11"/>
                <w:color w:val="auto"/>
              </w:rPr>
            </w:pPr>
          </w:p>
        </w:tc>
        <w:tc>
          <w:tcPr>
            <w:tcW w:w="84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6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3"/>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15,930</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25,963</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(10,033)</w:t>
            </w: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w:t>
            </w:r>
          </w:p>
        </w:tc>
      </w:tr>
      <w:tr>
        <w:trPr>
          <w:trHeight w:val="155"/>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Effective tax rate</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bl>
    <w:p>
      <w:pPr>
        <w:spacing w:after="0" w:line="140"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2025, the provision for income taxes decreased $10.0 million as a result of lower pre-tax income compared to the same period in 2024. The reduction in our effective tax rate was driven by the write-off of a deferred tax asset with a full valuation allowance associated with the remedial liability change in estimate discussed above.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 and Capital Resources</w:t>
      </w:r>
    </w:p>
    <w:p>
      <w:pPr>
        <w:spacing w:after="0" w:line="109"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as of the date of this report.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Summary of Cash Flow Activity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gridSpan w:val="3"/>
          </w:tcPr>
          <w:p>
            <w:pPr>
              <w:jc w:val="center"/>
              <w:ind w:left="663"/>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1160" w:type="dxa"/>
            <w:vAlign w:val="bottom"/>
          </w:tcPr>
          <w:p>
            <w:pPr>
              <w:spacing w:after="0"/>
              <w:rPr>
                <w:sz w:val="12"/>
                <w:szCs w:val="12"/>
                <w:color w:val="auto"/>
              </w:rPr>
            </w:pPr>
          </w:p>
        </w:tc>
      </w:tr>
      <w:tr>
        <w:trPr>
          <w:trHeight w:val="144"/>
        </w:trPr>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center"/>
              <w:ind w:left="683"/>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1160" w:type="dxa"/>
            <w:vAlign w:val="bottom"/>
            <w:tcBorders>
              <w:bottom w:val="single" w:sz="8" w:color="auto"/>
            </w:tcBorders>
          </w:tcPr>
          <w:p>
            <w:pPr>
              <w:spacing w:after="0"/>
              <w:rPr>
                <w:sz w:val="12"/>
                <w:szCs w:val="12"/>
                <w:color w:val="auto"/>
              </w:rPr>
            </w:pPr>
          </w:p>
        </w:tc>
      </w:tr>
      <w:tr>
        <w:trPr>
          <w:trHeight w:val="136"/>
        </w:trPr>
        <w:tc>
          <w:tcPr>
            <w:tcW w:w="7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420" w:type="dxa"/>
            <w:vAlign w:val="bottom"/>
          </w:tcPr>
          <w:p>
            <w:pPr>
              <w:spacing w:after="0"/>
              <w:rPr>
                <w:sz w:val="11"/>
                <w:szCs w:val="11"/>
                <w:color w:val="auto"/>
              </w:rPr>
            </w:pPr>
          </w:p>
        </w:tc>
        <w:tc>
          <w:tcPr>
            <w:tcW w:w="1340" w:type="dxa"/>
            <w:vAlign w:val="bottom"/>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jc w:val="right"/>
              <w:ind w:right="72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7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from operating activities</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1,605</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18,549</w:t>
            </w:r>
          </w:p>
        </w:tc>
      </w:tr>
      <w:tr>
        <w:trPr>
          <w:trHeight w:val="153"/>
        </w:trPr>
        <w:tc>
          <w:tcPr>
            <w:tcW w:w="7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(120,330)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(609,873)</w:t>
            </w:r>
          </w:p>
        </w:tc>
      </w:tr>
      <w:tr>
        <w:trPr>
          <w:trHeight w:val="153"/>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from financing activities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(79,259)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486,019</w:t>
            </w:r>
          </w:p>
        </w:tc>
      </w:tr>
    </w:tbl>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Net cash from operating activities</w:t>
      </w:r>
    </w:p>
    <w:p>
      <w:pPr>
        <w:spacing w:after="0" w:line="98"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Net cash from operating activities for the three months ended March 31, 2025 was $1.6 million as compared to $18.5 million in the same period of 2024. This $16.9 million decrease in operating cash flows was attributable to an increase in working capital balances for the three months ended March 31, 2025 as compared to the same period in 2024, as well as lower income from operations and higher cash paid for interest.</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Net cash used in investing activities</w:t>
      </w:r>
    </w:p>
    <w:p>
      <w:pPr>
        <w:spacing w:after="0" w:line="107"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Net cash used in investing activities for the three months ended March 31, 2025 was $120.3 million, a decrease of $489.5 million from the comparable period in 2024. In the three months ended March 31, 2024, we paid $475.3 million for acquisitions, including the purchase of HEPACO and Noble. Additions to property, plant and equipment decreased $19.2 million, primarily due to notable project spend on the Baltimore, Maryland strategic project and the Kimball incinerator in the three months ended March 31, 2024.</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Net cash (used in) from financing activities</w:t>
      </w:r>
    </w:p>
    <w:p>
      <w:pPr>
        <w:spacing w:after="0" w:line="107" w:lineRule="exact"/>
        <w:rPr>
          <w:sz w:val="20"/>
          <w:szCs w:val="20"/>
          <w:color w:val="auto"/>
        </w:rPr>
      </w:pPr>
    </w:p>
    <w:p>
      <w:pPr>
        <w:jc w:val="both"/>
        <w:ind w:right="40" w:firstLine="432"/>
        <w:spacing w:after="0" w:line="265" w:lineRule="auto"/>
        <w:rPr>
          <w:sz w:val="20"/>
          <w:szCs w:val="20"/>
          <w:color w:val="auto"/>
        </w:rPr>
      </w:pPr>
      <w:r>
        <w:rPr>
          <w:rFonts w:ascii="Times New Roman" w:cs="Times New Roman" w:eastAsia="Times New Roman" w:hAnsi="Times New Roman"/>
          <w:sz w:val="12"/>
          <w:szCs w:val="12"/>
          <w:color w:val="auto"/>
        </w:rPr>
        <w:t>Net cash used in financing activities for the three months ended March 31, 2025 was $79.3 million, as compared to net cash from financing activities of $486.0 million for the three months ended March 31, 2024. The primary drivers of this change were the incurrence of term loans net of discount and deferred financing costs of $494.7 million in 2024 to fund the acquisitions executed during the period. These amounts were partially offset by higher cash paid for repurchases of stock of $50.0 million, tax payments on withholdings of vested restricted stock of $5.6 million and finance lease payments of $5.4 million during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Adjusted Free Cash Flow</w:t>
      </w:r>
    </w:p>
    <w:p>
      <w:pPr>
        <w:spacing w:after="0" w:line="100"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Management considers adjusted free cash flow, a non-GAAP measure, to be a measure of liquidity which provides useful information to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When necessary, management adjusts for the cash impact of items derived from non-operating activities. Adjusted free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is a reconciliation of net cash from operating activities to adjusted free cash flow for the following periods: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40" w:type="dxa"/>
            <w:vAlign w:val="bottom"/>
            <w:gridSpan w:val="4"/>
          </w:tcPr>
          <w:p>
            <w:pPr>
              <w:jc w:val="right"/>
              <w:ind w:right="761"/>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r>
      <w:tr>
        <w:trPr>
          <w:trHeight w:val="144"/>
        </w:trPr>
        <w:tc>
          <w:tcPr>
            <w:tcW w:w="8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40" w:type="dxa"/>
            <w:vAlign w:val="bottom"/>
            <w:tcBorders>
              <w:bottom w:val="single" w:sz="8" w:color="auto"/>
            </w:tcBorders>
          </w:tcPr>
          <w:p>
            <w:pPr>
              <w:spacing w:after="0"/>
              <w:rPr>
                <w:sz w:val="12"/>
                <w:szCs w:val="12"/>
                <w:color w:val="auto"/>
              </w:rPr>
            </w:pPr>
          </w:p>
        </w:tc>
      </w:tr>
      <w:tr>
        <w:trPr>
          <w:trHeight w:val="136"/>
        </w:trPr>
        <w:tc>
          <w:tcPr>
            <w:tcW w:w="8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40" w:type="dxa"/>
            <w:vAlign w:val="bottom"/>
          </w:tcPr>
          <w:p>
            <w:pPr>
              <w:spacing w:after="0"/>
              <w:rPr>
                <w:sz w:val="11"/>
                <w:szCs w:val="11"/>
                <w:color w:val="auto"/>
              </w:rPr>
            </w:pPr>
          </w:p>
        </w:tc>
        <w:tc>
          <w:tcPr>
            <w:tcW w:w="110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jc w:val="right"/>
              <w:ind w:right="56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8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from operating activities</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18,549</w:t>
            </w:r>
          </w:p>
        </w:tc>
      </w:tr>
      <w:tr>
        <w:trPr>
          <w:trHeight w:val="153"/>
        </w:trPr>
        <w:tc>
          <w:tcPr>
            <w:tcW w:w="8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(118,695)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(137,913)</w:t>
            </w:r>
          </w:p>
        </w:tc>
      </w:tr>
      <w:tr>
        <w:trPr>
          <w:trHeight w:val="153"/>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 and disposal of fixed assets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1,343</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1,008</w:t>
            </w:r>
          </w:p>
        </w:tc>
      </w:tr>
      <w:tr>
        <w:trPr>
          <w:trHeight w:val="142"/>
        </w:trPr>
        <w:tc>
          <w:tcPr>
            <w:tcW w:w="8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Adjusted free cash flow</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(115,747)</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(118,356)</w:t>
            </w:r>
          </w:p>
        </w:tc>
      </w:tr>
      <w:tr>
        <w:trPr>
          <w:trHeight w:val="20"/>
        </w:trPr>
        <w:tc>
          <w:tcPr>
            <w:tcW w:w="8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Summary of Capital Resources</w:t>
      </w:r>
    </w:p>
    <w:p>
      <w:pPr>
        <w:spacing w:after="0" w:line="109"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At March 31, 2025, cash and cash equivalents and marketable securities totaled $595.3 million, compared to $789.8 million at December 31, 2024. At March 31, 2025, cash and cash equivalents held by our Canadian subsidiaries totaled $96.9 million. The cash and cash equivalents and marketable securities balance for our U.S. operations was $498.4 million at March 31, 2025. Our U.S. operations had net operating cash inflows of $14.1 million for the three months ended March 31, 2025.</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maintain a $600.0 million revolving credit facility of which, as of March 31, 2025, approximately $462.4 million, was available to borrow under the facility, with letters of credit of $137.6 million outstanding.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Material Capital Requirements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Capital Expenditures</w:t>
      </w:r>
    </w:p>
    <w:p>
      <w:pPr>
        <w:spacing w:after="0" w:line="98"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2"/>
          <w:szCs w:val="12"/>
          <w:color w:val="auto"/>
        </w:rPr>
        <w:t>Capital expenditures during the first three months of 2025 were $118.7 million as compared to $137.9 million during the first three months of 2024. The decrease was driven by incremental investments in our Baltimore, Maryland and Kimball incinerator facilities which occurred in 2024. We anticipate that 2025 capital spending, net of disposals, will be in the range of $360.0 million to $390.0 million. This includes a long-term growth investment of approximately $15 million for the Phoenix hub. We expect spending on this project to begin in the second quarter of 2025 with the purchase of the facility.</w:t>
      </w:r>
    </w:p>
    <w:p>
      <w:pPr>
        <w:spacing w:after="0" w:line="74"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We anticipate that the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Financing Arrangements</w:t>
      </w:r>
    </w:p>
    <w:p>
      <w:pPr>
        <w:spacing w:after="0" w:line="98"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As of March 31, 2025, our financing arrangements include (i) $545.0 million of 4.875% senior unsecured notes due 2027, (ii) $1.5 billion of senior secured term loans due 2028, (iii) $300.0 million of 5.125% senior unsecured notes due 2029 and (iv) $500.0 million of 6.375% senior unsecured notes due 2031. As noted above, we also maintain our $600.0 million revolving credit facility with no amounts owed as of March 31, 2025.</w:t>
      </w:r>
    </w:p>
    <w:p>
      <w:pPr>
        <w:spacing w:after="0" w:line="66" w:lineRule="exact"/>
        <w:rPr>
          <w:sz w:val="20"/>
          <w:szCs w:val="20"/>
          <w:color w:val="auto"/>
        </w:rPr>
      </w:pPr>
    </w:p>
    <w:p>
      <w:pPr>
        <w:ind w:left="420" w:right="2760"/>
        <w:spacing w:after="0" w:line="417" w:lineRule="auto"/>
        <w:rPr>
          <w:sz w:val="20"/>
          <w:szCs w:val="20"/>
          <w:color w:val="auto"/>
        </w:rPr>
      </w:pPr>
      <w:r>
        <w:rPr>
          <w:rFonts w:ascii="Times New Roman" w:cs="Times New Roman" w:eastAsia="Times New Roman" w:hAnsi="Times New Roman"/>
          <w:sz w:val="12"/>
          <w:szCs w:val="12"/>
          <w:color w:val="auto"/>
        </w:rPr>
        <w:t xml:space="preserve">The material terms of these arrangements are discussed further in Note 11, “Financing Arrangements,” to the accompanying unaudited consolidated financial statements. As of March 31, 2025, we were in compliance with the covenants of all of our debt agreements, and we believe we will continue to meet such covenants. </w:t>
      </w:r>
      <w:r>
        <w:rPr>
          <w:rFonts w:ascii="Times New Roman" w:cs="Times New Roman" w:eastAsia="Times New Roman" w:hAnsi="Times New Roman"/>
          <w:sz w:val="12"/>
          <w:szCs w:val="12"/>
          <w:i w:val="1"/>
          <w:iCs w:val="1"/>
          <w:color w:val="auto"/>
        </w:rPr>
        <w:t>Common Stock Repurchases Pursuant to Publicly Announced Plan</w:t>
      </w:r>
    </w:p>
    <w:p>
      <w:pPr>
        <w:spacing w:after="0" w:line="1"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The Company’s common stock repurchases are made pursuant to the board-approved plan to repurchase up to $1.1 billion of the Company’s common stock. During the three months ended March 31, 2025 and March 31, 2024, the Company repurchased and retired 256,473 and 27,265 shares, respectively, of the Company’s common stock for total expenditures of $55.0 million and $5.0 million, respectively.</w:t>
      </w:r>
    </w:p>
    <w:p>
      <w:pPr>
        <w:spacing w:after="0" w:line="66" w:lineRule="exact"/>
        <w:rPr>
          <w:sz w:val="20"/>
          <w:szCs w:val="20"/>
          <w:color w:val="auto"/>
        </w:rPr>
      </w:pPr>
    </w:p>
    <w:p>
      <w:pPr>
        <w:ind w:right="640" w:firstLine="432"/>
        <w:spacing w:after="0" w:line="279" w:lineRule="auto"/>
        <w:rPr>
          <w:sz w:val="20"/>
          <w:szCs w:val="20"/>
          <w:color w:val="auto"/>
        </w:rPr>
      </w:pPr>
      <w:r>
        <w:rPr>
          <w:rFonts w:ascii="Times New Roman" w:cs="Times New Roman" w:eastAsia="Times New Roman" w:hAnsi="Times New Roman"/>
          <w:sz w:val="12"/>
          <w:szCs w:val="12"/>
          <w:color w:val="auto"/>
        </w:rPr>
        <w:t>Through March 31, 2025, the Company has repurchased and retired a total of approximately 9.0 million shares of its common stock for $655.9 million under the board-approved plan, and, as of March 31, 2025, an additional $444.1 million remained available for repurchase of shares.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Environmental Liabilities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 except percentages)</w:t>
            </w:r>
          </w:p>
        </w:tc>
        <w:tc>
          <w:tcPr>
            <w:tcW w:w="280" w:type="dxa"/>
            <w:vAlign w:val="bottom"/>
          </w:tcPr>
          <w:p>
            <w:pPr>
              <w:spacing w:after="0"/>
              <w:rPr>
                <w:sz w:val="12"/>
                <w:szCs w:val="12"/>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240" w:type="dxa"/>
            <w:vAlign w:val="bottom"/>
          </w:tcPr>
          <w:p>
            <w:pPr>
              <w:spacing w:after="0"/>
              <w:rPr>
                <w:sz w:val="12"/>
                <w:szCs w:val="12"/>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60" w:type="dxa"/>
            <w:vAlign w:val="bottom"/>
          </w:tcPr>
          <w:p>
            <w:pPr>
              <w:spacing w:after="0"/>
              <w:rPr>
                <w:sz w:val="12"/>
                <w:szCs w:val="12"/>
                <w:color w:val="auto"/>
              </w:rPr>
            </w:pPr>
          </w:p>
        </w:tc>
        <w:tc>
          <w:tcPr>
            <w:tcW w:w="1340" w:type="dxa"/>
            <w:vAlign w:val="bottom"/>
          </w:tcPr>
          <w:p>
            <w:pPr>
              <w:jc w:val="right"/>
              <w:ind w:right="62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Pr>
          <w:p>
            <w:pPr>
              <w:spacing w:after="0"/>
              <w:rPr>
                <w:sz w:val="12"/>
                <w:szCs w:val="12"/>
                <w:color w:val="auto"/>
              </w:rPr>
            </w:pPr>
          </w:p>
        </w:tc>
        <w:tc>
          <w:tcPr>
            <w:tcW w:w="1820" w:type="dxa"/>
            <w:vAlign w:val="bottom"/>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4"/>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Closure and post-closure liabilities</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134,169</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129,788</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4,381</w:t>
            </w:r>
          </w:p>
        </w:tc>
        <w:tc>
          <w:tcPr>
            <w:tcW w:w="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3.4 %</w:t>
            </w:r>
          </w:p>
        </w:tc>
      </w:tr>
      <w:tr>
        <w:trPr>
          <w:trHeight w:val="153"/>
        </w:trPr>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Remedial liabilities</w:t>
            </w: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99,875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111,745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(11,870)</w:t>
            </w:r>
          </w:p>
        </w:tc>
        <w:tc>
          <w:tcPr>
            <w:tcW w:w="1900" w:type="dxa"/>
            <w:vAlign w:val="bottom"/>
            <w:tcBorders>
              <w:bottom w:val="single" w:sz="8" w:color="CCEEFF"/>
            </w:tcBorders>
            <w:gridSpan w:val="2"/>
          </w:tcPr>
          <w:p>
            <w:pPr>
              <w:jc w:val="right"/>
              <w:ind w:right="63"/>
              <w:spacing w:after="0"/>
              <w:rPr>
                <w:sz w:val="20"/>
                <w:szCs w:val="20"/>
                <w:color w:val="auto"/>
              </w:rPr>
            </w:pPr>
            <w:r>
              <w:rPr>
                <w:rFonts w:ascii="Times New Roman" w:cs="Times New Roman" w:eastAsia="Times New Roman" w:hAnsi="Times New Roman"/>
                <w:sz w:val="12"/>
                <w:szCs w:val="12"/>
                <w:color w:val="auto"/>
              </w:rPr>
              <w:t>(10.6)</w:t>
            </w:r>
          </w:p>
        </w:tc>
      </w:tr>
      <w:tr>
        <w:trPr>
          <w:trHeight w:val="158"/>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environmental liabilities</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234,044</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241,533</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(7,489)</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r>
    </w:tbl>
    <w:p>
      <w:pPr>
        <w:spacing w:after="0" w:line="142" w:lineRule="exact"/>
        <w:rPr>
          <w:sz w:val="20"/>
          <w:szCs w:val="20"/>
          <w:color w:val="auto"/>
        </w:rPr>
      </w:pPr>
    </w:p>
    <w:p>
      <w:pPr>
        <w:ind w:right="220" w:firstLine="432"/>
        <w:spacing w:after="0" w:line="260" w:lineRule="auto"/>
        <w:rPr>
          <w:sz w:val="20"/>
          <w:szCs w:val="20"/>
          <w:color w:val="auto"/>
        </w:rPr>
      </w:pPr>
      <w:r>
        <w:rPr>
          <w:rFonts w:ascii="Times New Roman" w:cs="Times New Roman" w:eastAsia="Times New Roman" w:hAnsi="Times New Roman"/>
          <w:sz w:val="12"/>
          <w:szCs w:val="12"/>
          <w:color w:val="auto"/>
        </w:rPr>
        <w:t>Total environmental liabilities as of March 31, 2025 were $234.0 million, a decrease of $7.5 million compared to December 31, 2024. During the three months ended March 31, 2025, the environmental liability balance decreased due to changes in environmental liability estimates of $9.8 million and expenditures of $2.6 million. These decreases were partially offset by accretion of $3.6 million and new environmental liabilities, including those recognized as a result of recent acquisitions, of $1.2 million. The change in environmental liability estimates was primarily driven by a $10 million decrease in the remedial liability for a site based on our conclusion that loss was no longer probable based on recent evaluation of available evidence.</w:t>
      </w:r>
    </w:p>
    <w:p>
      <w:pPr>
        <w:spacing w:after="0" w:line="77"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66" w:lineRule="exact"/>
        <w:rPr>
          <w:sz w:val="20"/>
          <w:szCs w:val="20"/>
          <w:color w:val="auto"/>
        </w:rPr>
      </w:pPr>
    </w:p>
    <w:p>
      <w:pPr>
        <w:jc w:val="both"/>
        <w:ind w:right="100" w:firstLine="432"/>
        <w:spacing w:after="0" w:line="327" w:lineRule="auto"/>
        <w:rPr>
          <w:sz w:val="20"/>
          <w:szCs w:val="20"/>
          <w:color w:val="auto"/>
        </w:rPr>
      </w:pPr>
      <w:r>
        <w:rPr>
          <w:rFonts w:ascii="Times New Roman" w:cs="Times New Roman" w:eastAsia="Times New Roman" w:hAnsi="Times New Roman"/>
          <w:sz w:val="11"/>
          <w:szCs w:val="11"/>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Letters of Credit</w:t>
      </w:r>
    </w:p>
    <w:p>
      <w:pPr>
        <w:spacing w:after="0" w:line="107"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March 31, 2025, there were $137.6 million outstanding letters of credit. See Note 11, “Financing Arrangements,” to the accompanying unaudited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00"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In the first three months of 2025, there were no material changes to the information provided under the heading “Critical Accounting Estimates” included in our Annual Report on Form 10-K for the year ended December 31, 2024. For more information regarding our accounting policies, please refer to Note 2, “Significant Accounting Policies” to the accompanying unaudited consolidated financial statements.</w:t>
      </w:r>
    </w:p>
    <w:p>
      <w:pPr>
        <w:spacing w:after="0" w:line="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100"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In the first three months of 2025, there were no material changes to the information provided under Item 7A. “Quantitative and Qualitative Disclosures about Market Risk” in the Company’s Annual Report on Form 10-K for the year ended December 31, 2024.</w:t>
      </w:r>
    </w:p>
    <w:p>
      <w:pPr>
        <w:spacing w:after="0" w:line="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09"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Based on an evaluation under the supervision and with the participation of our Co-Chief Executive Officers and Chief Financial Officer, as of the end of the period covered by this Quarterly Report on Form 10-Q, our Co-Chief Executive Officers and Chief Financial Officer have concluded that our disclosure controls and procedures (as defined under Rule 13a-15(e) and 15d-15(e) under the Securities Exchange Act of 1934, as amended (the “Exchange Act”)) were effective as of March 31, 2025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09"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There were no changes in the Company’s internal control over financial reporting identified in connection with the evaluation required by paragraph (d) of Exchange Act Rules 13a-15 or 15d-15 that was conducted during the quarter ended March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CLEAN HARBORS, INC. AND SUBSIDIARIES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II—OTHER INFORMATION</w:t>
      </w:r>
    </w:p>
    <w:p>
      <w:pPr>
        <w:spacing w:after="0" w:line="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See Note 15, “Commitments and Contingencies,” to the unaudited consolidated financial statements included in Item 1 of this report, which description is incorporated herein by reference.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There have been no material changes to the risk factors from the information provided in Item 1A. in the Company's Annual Report on Form 10-K for the year ended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Stock Repurchase Program</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provides information with respect to the shares of common stock repurchased by us for the periods indicated: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Total Number of Shares Purchased</w:t>
            </w:r>
          </w:p>
        </w:tc>
        <w:tc>
          <w:tcPr>
            <w:tcW w:w="100" w:type="dxa"/>
            <w:vAlign w:val="bottom"/>
          </w:tcPr>
          <w:p>
            <w:pPr>
              <w:spacing w:after="0"/>
              <w:rPr>
                <w:sz w:val="11"/>
                <w:szCs w:val="11"/>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Approximate Dollar Value of Shares that</w:t>
            </w: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1520" w:type="dxa"/>
            <w:vAlign w:val="bottom"/>
            <w:vMerge w:val="restart"/>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May Yet Be Purchased Under the Plans or</w:t>
            </w:r>
          </w:p>
        </w:tc>
        <w:tc>
          <w:tcPr>
            <w:tcW w:w="0" w:type="dxa"/>
            <w:vAlign w:val="bottom"/>
          </w:tcPr>
          <w:p>
            <w:pPr>
              <w:spacing w:after="0"/>
              <w:rPr>
                <w:sz w:val="1"/>
                <w:szCs w:val="1"/>
                <w:color w:val="auto"/>
              </w:rPr>
            </w:pPr>
          </w:p>
        </w:tc>
      </w:tr>
      <w:tr>
        <w:trPr>
          <w:trHeight w:val="108"/>
        </w:trPr>
        <w:tc>
          <w:tcPr>
            <w:tcW w:w="4160" w:type="dxa"/>
            <w:vAlign w:val="bottom"/>
            <w:vMerge w:val="restart"/>
          </w:tcPr>
          <w:p>
            <w:pPr>
              <w:ind w:left="19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Average Price Paid Per Share </w:t>
            </w:r>
            <w:r>
              <w:rPr>
                <w:rFonts w:ascii="Times New Roman" w:cs="Times New Roman" w:eastAsia="Times New Roman" w:hAnsi="Times New Roman"/>
                <w:sz w:val="14"/>
                <w:szCs w:val="14"/>
                <w:color w:val="auto"/>
                <w:vertAlign w:val="superscript"/>
              </w:rPr>
              <w:t>(2)</w:t>
            </w:r>
          </w:p>
        </w:tc>
        <w:tc>
          <w:tcPr>
            <w:tcW w:w="1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as Part of Publicly Announced</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tcPr>
          <w:p>
            <w:pPr>
              <w:jc w:val="center"/>
              <w:ind w:right="302"/>
              <w:spacing w:after="0" w:line="108" w:lineRule="exact"/>
              <w:rPr>
                <w:sz w:val="20"/>
                <w:szCs w:val="20"/>
                <w:color w:val="auto"/>
              </w:rPr>
            </w:pPr>
            <w:r>
              <w:rPr>
                <w:rFonts w:ascii="Times New Roman" w:cs="Times New Roman" w:eastAsia="Times New Roman" w:hAnsi="Times New Roman"/>
                <w:sz w:val="11"/>
                <w:szCs w:val="11"/>
                <w:b w:val="1"/>
                <w:bCs w:val="1"/>
                <w:color w:val="auto"/>
                <w:w w:val="98"/>
              </w:rPr>
              <w:t>Programs</w:t>
            </w:r>
          </w:p>
        </w:tc>
        <w:tc>
          <w:tcPr>
            <w:tcW w:w="0" w:type="dxa"/>
            <w:vAlign w:val="bottom"/>
          </w:tcPr>
          <w:p>
            <w:pPr>
              <w:spacing w:after="0"/>
              <w:rPr>
                <w:sz w:val="1"/>
                <w:szCs w:val="1"/>
                <w:color w:val="auto"/>
              </w:rPr>
            </w:pPr>
          </w:p>
        </w:tc>
      </w:tr>
      <w:tr>
        <w:trPr>
          <w:trHeight w:val="144"/>
        </w:trPr>
        <w:tc>
          <w:tcPr>
            <w:tcW w:w="4160" w:type="dxa"/>
            <w:vAlign w:val="bottom"/>
            <w:vMerge w:val="continue"/>
          </w:tcPr>
          <w:p>
            <w:pPr>
              <w:spacing w:after="0"/>
              <w:rPr>
                <w:sz w:val="12"/>
                <w:szCs w:val="12"/>
                <w:color w:val="auto"/>
              </w:rPr>
            </w:pPr>
          </w:p>
        </w:tc>
        <w:tc>
          <w:tcPr>
            <w:tcW w:w="1520" w:type="dxa"/>
            <w:vAlign w:val="bottom"/>
          </w:tcPr>
          <w:p>
            <w:pPr>
              <w:jc w:val="right"/>
              <w:ind w:right="402"/>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Purchased </w:t>
            </w:r>
            <w:r>
              <w:rPr>
                <w:rFonts w:ascii="Times New Roman" w:cs="Times New Roman" w:eastAsia="Times New Roman" w:hAnsi="Times New Roman"/>
                <w:sz w:val="14"/>
                <w:szCs w:val="14"/>
                <w:color w:val="auto"/>
                <w:vertAlign w:val="superscript"/>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Plans or Programs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jc w:val="center"/>
              <w:ind w:right="282"/>
              <w:spacing w:after="0" w:line="144" w:lineRule="exact"/>
              <w:rPr>
                <w:sz w:val="20"/>
                <w:szCs w:val="20"/>
                <w:color w:val="auto"/>
              </w:rPr>
            </w:pPr>
            <w:r>
              <w:rPr>
                <w:rFonts w:ascii="Times New Roman" w:cs="Times New Roman" w:eastAsia="Times New Roman" w:hAnsi="Times New Roman"/>
                <w:sz w:val="11"/>
                <w:szCs w:val="11"/>
                <w:b w:val="1"/>
                <w:bCs w:val="1"/>
                <w:color w:val="auto"/>
                <w:w w:val="94"/>
              </w:rPr>
              <w:t xml:space="preserve">(in thousands) </w:t>
            </w:r>
            <w:r>
              <w:rPr>
                <w:rFonts w:ascii="Times New Roman" w:cs="Times New Roman" w:eastAsia="Times New Roman" w:hAnsi="Times New Roman"/>
                <w:sz w:val="14"/>
                <w:szCs w:val="14"/>
                <w:color w:val="auto"/>
                <w:w w:val="94"/>
                <w:vertAlign w:val="superscript"/>
              </w:rPr>
              <w:t>(3)</w:t>
            </w:r>
          </w:p>
        </w:tc>
        <w:tc>
          <w:tcPr>
            <w:tcW w:w="0" w:type="dxa"/>
            <w:vAlign w:val="bottom"/>
          </w:tcPr>
          <w:p>
            <w:pPr>
              <w:spacing w:after="0"/>
              <w:rPr>
                <w:sz w:val="1"/>
                <w:szCs w:val="1"/>
                <w:color w:val="auto"/>
              </w:rPr>
            </w:pPr>
          </w:p>
        </w:tc>
      </w:tr>
      <w:tr>
        <w:trPr>
          <w:trHeight w:val="142"/>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1, 2025 through January 31,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14,172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231.25</w:t>
            </w:r>
          </w:p>
        </w:tc>
        <w:tc>
          <w:tcPr>
            <w:tcW w:w="8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12,970</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496,138</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February 1, 2025 through February 28,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242,036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217.43</w:t>
            </w:r>
          </w:p>
        </w:tc>
        <w:tc>
          <w:tcPr>
            <w:tcW w:w="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217,891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449,139</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 2025 through March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39,976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194.73</w:t>
            </w:r>
          </w:p>
        </w:tc>
        <w:tc>
          <w:tcPr>
            <w:tcW w:w="80" w:type="dxa"/>
            <w:vAlign w:val="bottom"/>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25,612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444,139</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296,184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215.02</w:t>
            </w:r>
          </w:p>
        </w:tc>
        <w:tc>
          <w:tcPr>
            <w:tcW w:w="80" w:type="dxa"/>
            <w:vAlign w:val="bottom"/>
          </w:tcPr>
          <w:p>
            <w:pPr>
              <w:spacing w:after="0"/>
              <w:rPr>
                <w:sz w:val="12"/>
                <w:szCs w:val="1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256,473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7"/>
          <w:szCs w:val="7"/>
          <w:color w:val="auto"/>
        </w:rPr>
        <w:t>________________</w:t>
      </w:r>
    </w:p>
    <w:p>
      <w:pPr>
        <w:spacing w:after="0" w:line="14" w:lineRule="exact"/>
        <w:rPr>
          <w:sz w:val="20"/>
          <w:szCs w:val="20"/>
          <w:color w:val="auto"/>
        </w:rPr>
      </w:pPr>
    </w:p>
    <w:p>
      <w:pPr>
        <w:ind w:left="460" w:hanging="252"/>
        <w:spacing w:after="0"/>
        <w:tabs>
          <w:tab w:leader="none" w:pos="4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39,711 shares withheld by us from employees to satisfy employee tax obligations upon vesting of restricted stock granted to our employees under the Company’s equity incentive plans.</w:t>
      </w:r>
    </w:p>
    <w:p>
      <w:pPr>
        <w:spacing w:after="0" w:line="11"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average price paid per share of common stock repurchased under the Company’s stock repurchase program includes the commissions paid to brokers.</w:t>
      </w:r>
    </w:p>
    <w:p>
      <w:pPr>
        <w:spacing w:after="0" w:line="6" w:lineRule="exact"/>
        <w:rPr>
          <w:rFonts w:ascii="Times New Roman" w:cs="Times New Roman" w:eastAsia="Times New Roman" w:hAnsi="Times New Roman"/>
          <w:sz w:val="12"/>
          <w:szCs w:val="12"/>
          <w:color w:val="auto"/>
        </w:rPr>
      </w:pPr>
    </w:p>
    <w:p>
      <w:pPr>
        <w:ind w:left="420" w:right="20" w:hanging="212"/>
        <w:spacing w:after="0" w:line="252" w:lineRule="auto"/>
        <w:tabs>
          <w:tab w:leader="none" w:pos="462"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common stock repurchases are made pursuant to the stock repurchase plan, which was most recently authorized by the board of directors on December 5, 2024, to repurchase up to $1.1 billion of the Company’s common stock. The stock repurchase plan will expire when all of the available allotted funds under the stock repurchase plan are depleted. As of March 31, 2025, the amount available for repurchase under the board-approved plan is $444.1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As part of our share repurchase program, we maintain a repurchase plan in accordance with Rule 10b5-1 promulgated under the Exchange Act. During the three months ended March 31, 2025, 70,309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11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MINE SAFETY DISCLOSURES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06" w:lineRule="exact"/>
        <w:rPr>
          <w:sz w:val="20"/>
          <w:szCs w:val="20"/>
          <w:color w:val="auto"/>
        </w:rPr>
      </w:pPr>
    </w:p>
    <w:p>
      <w:pPr>
        <w:ind w:left="8"/>
        <w:spacing w:after="0"/>
        <w:tabs>
          <w:tab w:leader="none" w:pos="568"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color w:val="auto"/>
        </w:rPr>
        <w:t>OTHER INFORMATION</w:t>
      </w:r>
    </w:p>
    <w:p>
      <w:pPr>
        <w:spacing w:after="0" w:line="109" w:lineRule="exact"/>
        <w:rPr>
          <w:sz w:val="20"/>
          <w:szCs w:val="20"/>
          <w:color w:val="auto"/>
        </w:rPr>
      </w:pPr>
    </w:p>
    <w:p>
      <w:pPr>
        <w:ind w:left="8" w:right="420" w:firstLine="432"/>
        <w:spacing w:after="0" w:line="279" w:lineRule="auto"/>
        <w:rPr>
          <w:sz w:val="20"/>
          <w:szCs w:val="20"/>
          <w:color w:val="auto"/>
        </w:rPr>
      </w:pPr>
      <w:r>
        <w:rPr>
          <w:rFonts w:ascii="Times New Roman" w:cs="Times New Roman" w:eastAsia="Times New Roman" w:hAnsi="Times New Roman"/>
          <w:sz w:val="12"/>
          <w:szCs w:val="12"/>
          <w:color w:val="auto"/>
        </w:rPr>
        <w:t>During the quarter ended March 31, 2025, no director or “officer” (as defined in Rule 16a-1(f)) of Clean Harbors, Inc. adopted, modified or terminated a “Rule 10b5-1 trading arrangement” or “non-Rule 10b5-1 trading arrangement,” as each term is defined in Item 408(a) of Regulation S-K.</w:t>
      </w:r>
    </w:p>
    <w:p>
      <w:pPr>
        <w:spacing w:after="0" w:line="80" w:lineRule="exact"/>
        <w:rPr>
          <w:sz w:val="20"/>
          <w:szCs w:val="20"/>
          <w:color w:val="auto"/>
        </w:rPr>
      </w:pPr>
    </w:p>
    <w:p>
      <w:pPr>
        <w:ind w:left="8"/>
        <w:spacing w:after="0"/>
        <w:tabs>
          <w:tab w:leader="none" w:pos="548"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EXHIBITS</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Item No.</w:t>
            </w:r>
          </w:p>
        </w:tc>
        <w:tc>
          <w:tcPr>
            <w:tcW w:w="1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40" w:type="dxa"/>
            <w:vAlign w:val="bottom"/>
          </w:tcPr>
          <w:p>
            <w:pPr>
              <w:ind w:left="126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23"/>
        </w:trPr>
        <w:tc>
          <w:tcPr>
            <w:tcW w:w="9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2"/>
                <w:szCs w:val="12"/>
                <w:color w:val="auto"/>
              </w:rPr>
              <w:t>31.1+</w:t>
            </w:r>
          </w:p>
        </w:tc>
        <w:tc>
          <w:tcPr>
            <w:tcW w:w="220" w:type="dxa"/>
            <w:vAlign w:val="bottom"/>
          </w:tcPr>
          <w:p>
            <w:pPr>
              <w:spacing w:after="0"/>
              <w:rPr>
                <w:sz w:val="10"/>
                <w:szCs w:val="10"/>
                <w:color w:val="auto"/>
              </w:rPr>
            </w:pPr>
          </w:p>
        </w:tc>
        <w:tc>
          <w:tcPr>
            <w:tcW w:w="3480" w:type="dxa"/>
            <w:vAlign w:val="bottom"/>
            <w:tcBorders>
              <w:top w:val="single" w:sz="8" w:color="auto"/>
              <w:bottom w:val="single" w:sz="8" w:color="0000FF"/>
            </w:tcBorders>
            <w:gridSpan w:val="3"/>
          </w:tcPr>
          <w:p>
            <w:pPr>
              <w:ind w:left="20"/>
              <w:spacing w:after="0" w:line="124" w:lineRule="exact"/>
              <w:rPr>
                <w:sz w:val="20"/>
                <w:szCs w:val="20"/>
                <w:color w:val="auto"/>
              </w:rPr>
            </w:pPr>
            <w:r>
              <w:rPr>
                <w:rFonts w:ascii="Times New Roman" w:cs="Times New Roman" w:eastAsia="Times New Roman" w:hAnsi="Times New Roman"/>
                <w:sz w:val="12"/>
                <w:szCs w:val="12"/>
                <w:color w:val="0000FF"/>
                <w:w w:val="99"/>
              </w:rPr>
              <w:t>Rule 13a-14a/15d-14(a) Certification of the Co-CEO Michael L. Battles</w:t>
            </w:r>
          </w:p>
        </w:tc>
        <w:tc>
          <w:tcPr>
            <w:tcW w:w="6620" w:type="dxa"/>
            <w:vAlign w:val="bottom"/>
            <w:tcBorders>
              <w:top w:val="single" w:sz="8" w:color="auto"/>
            </w:tcBorders>
            <w:gridSpan w:val="2"/>
          </w:tcPr>
          <w:p>
            <w:pPr>
              <w:spacing w:after="0"/>
              <w:rPr>
                <w:sz w:val="10"/>
                <w:szCs w:val="10"/>
                <w:color w:val="auto"/>
              </w:rPr>
            </w:pPr>
          </w:p>
        </w:tc>
      </w:tr>
      <w:tr>
        <w:trPr>
          <w:trHeight w:val="169"/>
        </w:trPr>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31.2+</w:t>
            </w:r>
          </w:p>
        </w:tc>
        <w:tc>
          <w:tcPr>
            <w:tcW w:w="220" w:type="dxa"/>
            <w:vAlign w:val="bottom"/>
          </w:tcPr>
          <w:p>
            <w:pPr>
              <w:spacing w:after="0"/>
              <w:rPr>
                <w:sz w:val="14"/>
                <w:szCs w:val="14"/>
                <w:color w:val="auto"/>
              </w:rPr>
            </w:pPr>
          </w:p>
        </w:tc>
        <w:tc>
          <w:tcPr>
            <w:tcW w:w="35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2"/>
                <w:szCs w:val="12"/>
                <w:color w:val="0000FF"/>
                <w:w w:val="98"/>
              </w:rPr>
              <w:t>Rule 13a-14a/15d-14(a) Certification of the Co-CEO Eric W. Gerstenberg</w:t>
            </w:r>
          </w:p>
        </w:tc>
        <w:tc>
          <w:tcPr>
            <w:tcW w:w="6540" w:type="dxa"/>
            <w:vAlign w:val="bottom"/>
          </w:tcPr>
          <w:p>
            <w:pPr>
              <w:spacing w:after="0"/>
              <w:rPr>
                <w:sz w:val="14"/>
                <w:szCs w:val="14"/>
                <w:color w:val="auto"/>
              </w:rPr>
            </w:pPr>
          </w:p>
        </w:tc>
      </w:tr>
      <w:tr>
        <w:trPr>
          <w:trHeight w:val="169"/>
        </w:trPr>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31.3+</w:t>
            </w:r>
          </w:p>
        </w:tc>
        <w:tc>
          <w:tcPr>
            <w:tcW w:w="220" w:type="dxa"/>
            <w:vAlign w:val="bottom"/>
          </w:tcPr>
          <w:p>
            <w:pPr>
              <w:spacing w:after="0"/>
              <w:rPr>
                <w:sz w:val="14"/>
                <w:szCs w:val="14"/>
                <w:color w:val="auto"/>
              </w:rPr>
            </w:pPr>
          </w:p>
        </w:tc>
        <w:tc>
          <w:tcPr>
            <w:tcW w:w="30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2"/>
                <w:szCs w:val="12"/>
                <w:color w:val="0000FF"/>
                <w:w w:val="99"/>
              </w:rPr>
              <w:t>Rule 13a-14a/15d-14(a) Certification of the CFO Eric J. Dugas</w:t>
            </w:r>
          </w:p>
        </w:tc>
        <w:tc>
          <w:tcPr>
            <w:tcW w:w="7060" w:type="dxa"/>
            <w:vAlign w:val="bottom"/>
            <w:gridSpan w:val="3"/>
          </w:tcPr>
          <w:p>
            <w:pPr>
              <w:spacing w:after="0"/>
              <w:rPr>
                <w:sz w:val="14"/>
                <w:szCs w:val="14"/>
                <w:color w:val="auto"/>
              </w:rPr>
            </w:pPr>
          </w:p>
        </w:tc>
      </w:tr>
      <w:tr>
        <w:trPr>
          <w:trHeight w:val="169"/>
        </w:trPr>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32†</w:t>
            </w:r>
          </w:p>
        </w:tc>
        <w:tc>
          <w:tcPr>
            <w:tcW w:w="1010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0000FF"/>
              </w:rPr>
              <w:t>Section 1350 Certifications</w:t>
            </w:r>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780" w:type="dxa"/>
            <w:vAlign w:val="bottom"/>
            <w:gridSpan w:val="4"/>
          </w:tcPr>
          <w:p>
            <w:pPr>
              <w:spacing w:after="0" w:line="20" w:lineRule="exact"/>
              <w:rPr>
                <w:sz w:val="1"/>
                <w:szCs w:val="1"/>
                <w:color w:val="auto"/>
              </w:rPr>
            </w:pPr>
          </w:p>
        </w:tc>
      </w:tr>
      <w:tr>
        <w:trPr>
          <w:trHeight w:val="196"/>
        </w:trPr>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7"/>
              </w:rPr>
              <w:t>101.SCH+</w:t>
            </w:r>
          </w:p>
        </w:tc>
        <w:tc>
          <w:tcPr>
            <w:tcW w:w="1010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189"/>
        </w:trPr>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101.CAL+</w:t>
            </w:r>
          </w:p>
        </w:tc>
        <w:tc>
          <w:tcPr>
            <w:tcW w:w="1010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189"/>
        </w:trPr>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101.LAB+</w:t>
            </w:r>
          </w:p>
        </w:tc>
        <w:tc>
          <w:tcPr>
            <w:tcW w:w="1010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189"/>
        </w:trPr>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101.PRE+</w:t>
            </w:r>
          </w:p>
        </w:tc>
        <w:tc>
          <w:tcPr>
            <w:tcW w:w="1010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r>
        <w:trPr>
          <w:trHeight w:val="189"/>
        </w:trPr>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101.DEF+</w:t>
            </w:r>
          </w:p>
        </w:tc>
        <w:tc>
          <w:tcPr>
            <w:tcW w:w="1010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189"/>
        </w:trPr>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220" w:type="dxa"/>
            <w:vAlign w:val="bottom"/>
          </w:tcPr>
          <w:p>
            <w:pPr>
              <w:spacing w:after="0"/>
              <w:rPr>
                <w:sz w:val="16"/>
                <w:szCs w:val="16"/>
                <w:color w:val="auto"/>
              </w:rPr>
            </w:pPr>
          </w:p>
        </w:tc>
        <w:tc>
          <w:tcPr>
            <w:tcW w:w="1010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with applicable taxonomy extension information contained in Exhibits 101)</w:t>
            </w:r>
          </w:p>
        </w:tc>
      </w:tr>
    </w:tbl>
    <w:p>
      <w:pPr>
        <w:spacing w:after="0" w:line="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7"/>
          <w:szCs w:val="7"/>
          <w:color w:val="auto"/>
        </w:rPr>
        <w:t>________________</w:t>
      </w:r>
    </w:p>
    <w:p>
      <w:pPr>
        <w:spacing w:after="0" w:line="11" w:lineRule="exact"/>
        <w:rPr>
          <w:sz w:val="20"/>
          <w:szCs w:val="20"/>
          <w:color w:val="auto"/>
        </w:rPr>
      </w:pPr>
    </w:p>
    <w:p>
      <w:pPr>
        <w:ind w:left="188" w:hanging="188"/>
        <w:spacing w:after="0"/>
        <w:tabs>
          <w:tab w:leader="none" w:pos="18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84" w:lineRule="exact"/>
        <w:rPr>
          <w:sz w:val="20"/>
          <w:szCs w:val="20"/>
          <w:color w:val="auto"/>
        </w:rPr>
      </w:pPr>
    </w:p>
    <w:p>
      <w:pPr>
        <w:ind w:left="188" w:hanging="188"/>
        <w:spacing w:after="0"/>
        <w:tabs>
          <w:tab w:leader="none" w:pos="18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herewith.</w:t>
      </w:r>
    </w:p>
    <w:p>
      <w:pPr>
        <w:spacing w:after="0" w:line="200" w:lineRule="exact"/>
        <w:rPr>
          <w:sz w:val="20"/>
          <w:szCs w:val="20"/>
          <w:color w:val="auto"/>
        </w:rPr>
      </w:pPr>
    </w:p>
    <w:p>
      <w:pPr>
        <w:spacing w:after="0" w:line="3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34" w:name="page35"/>
    <w:bookmarkEnd w:id="34"/>
    <w:p>
      <w:pPr>
        <w:spacing w:after="0" w:line="202" w:lineRule="auto"/>
        <w:framePr w:w="1440" w:h="107" w:wrap="auto" w:vAnchor="page" w:hAnchor="page" w:x="8140" w:y="1725"/>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 MICHAEL L. BATTLES</w:t>
      </w:r>
    </w:p>
    <w:p>
      <w:pPr>
        <w:spacing w:after="0" w:line="185" w:lineRule="auto"/>
        <w:framePr w:w="1020" w:h="107" w:wrap="auto" w:vAnchor="page" w:hAnchor="page" w:x="8340" w:y="1887"/>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Michael L. Battles</w:t>
      </w:r>
    </w:p>
    <w:p>
      <w:pPr>
        <w:spacing w:after="0" w:line="202" w:lineRule="auto"/>
        <w:framePr w:w="2400" w:h="107" w:wrap="auto" w:vAnchor="page" w:hAnchor="page" w:x="7660" w:y="204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Co-Chief Executive Officer and Co-President</w:t>
      </w:r>
    </w:p>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rFonts w:ascii="Times New Roman" w:cs="Times New Roman" w:eastAsia="Times New Roman" w:hAnsi="Times New Roman"/>
          <w:sz w:val="11"/>
          <w:szCs w:val="11"/>
          <w:b w:val="1"/>
          <w:bCs w:val="1"/>
          <w:color w:val="auto"/>
        </w:rPr>
      </w:pPr>
    </w:p>
    <w:p>
      <w:pPr>
        <w:spacing w:after="0" w:line="306" w:lineRule="exact"/>
        <w:rPr>
          <w:rFonts w:ascii="Times New Roman" w:cs="Times New Roman" w:eastAsia="Times New Roman" w:hAnsi="Times New Roman"/>
          <w:sz w:val="11"/>
          <w:szCs w:val="11"/>
          <w:b w:val="1"/>
          <w:bCs w:val="1"/>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CLEAN HARBORS, INC. AND SUBSIDIARIES</w:t>
      </w:r>
    </w:p>
    <w:p>
      <w:pPr>
        <w:spacing w:after="0" w:line="105" w:lineRule="exact"/>
        <w:rPr>
          <w:rFonts w:ascii="Times New Roman" w:cs="Times New Roman" w:eastAsia="Times New Roman" w:hAnsi="Times New Roman"/>
          <w:sz w:val="11"/>
          <w:szCs w:val="11"/>
          <w:b w:val="1"/>
          <w:bCs w:val="1"/>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00" w:lineRule="exact"/>
        <w:rPr>
          <w:rFonts w:ascii="Times New Roman" w:cs="Times New Roman" w:eastAsia="Times New Roman" w:hAnsi="Times New Roman"/>
          <w:sz w:val="11"/>
          <w:szCs w:val="11"/>
          <w:b w:val="1"/>
          <w:bCs w:val="1"/>
          <w:color w:val="auto"/>
        </w:rPr>
      </w:pPr>
    </w:p>
    <w:p>
      <w:pPr>
        <w:ind w:left="1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32" w:lineRule="exact"/>
        <w:rPr>
          <w:rFonts w:ascii="Times New Roman" w:cs="Times New Roman" w:eastAsia="Times New Roman" w:hAnsi="Times New Roman"/>
          <w:sz w:val="11"/>
          <w:szCs w:val="11"/>
          <w:b w:val="1"/>
          <w:bCs w:val="1"/>
          <w:color w:val="auto"/>
        </w:rPr>
      </w:pPr>
    </w:p>
    <w:p>
      <w:pPr>
        <w:ind w:left="5620" w:right="4700" w:hanging="324"/>
        <w:spacing w:after="0" w:line="358" w:lineRule="auto"/>
        <w:rPr>
          <w:sz w:val="20"/>
          <w:szCs w:val="20"/>
          <w:color w:val="auto"/>
        </w:rPr>
      </w:pPr>
      <w:r>
        <w:rPr>
          <w:rFonts w:ascii="Times New Roman" w:cs="Times New Roman" w:eastAsia="Times New Roman" w:hAnsi="Times New Roman"/>
          <w:sz w:val="12"/>
          <w:szCs w:val="12"/>
          <w:color w:val="auto"/>
        </w:rPr>
        <w:t>CLEAN HARBORS, INC. By:</w:t>
      </w:r>
    </w:p>
    <w:p>
      <w:pPr>
        <w:spacing w:after="0" w:line="20" w:lineRule="exact"/>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column">
              <wp:posOffset>3692525</wp:posOffset>
            </wp:positionH>
            <wp:positionV relativeFrom="paragraph">
              <wp:posOffset>-42545</wp:posOffset>
            </wp:positionV>
            <wp:extent cx="34804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0435" cy="5715"/>
                    </a:xfrm>
                    <a:prstGeom prst="rect">
                      <a:avLst/>
                    </a:prstGeom>
                    <a:noFill/>
                  </pic:spPr>
                </pic:pic>
              </a:graphicData>
            </a:graphic>
          </wp:anchor>
        </w:drawing>
      </w:r>
    </w:p>
    <w:p>
      <w:pPr>
        <w:spacing w:after="0" w:line="261" w:lineRule="exact"/>
        <w:rPr>
          <w:rFonts w:ascii="Times New Roman" w:cs="Times New Roman" w:eastAsia="Times New Roman" w:hAnsi="Times New Roman"/>
          <w:sz w:val="11"/>
          <w:szCs w:val="11"/>
          <w:b w:val="1"/>
          <w:bCs w:val="1"/>
          <w:color w:val="auto"/>
        </w:rPr>
      </w:pPr>
    </w:p>
    <w:tbl>
      <w:tblPr>
        <w:tblLayout w:type="fixed"/>
        <w:tblInd w:w="0" w:type="dxa"/>
        <w:tblCellMar>
          <w:top w:w="0" w:type="dxa"/>
          <w:left w:w="0" w:type="dxa"/>
          <w:bottom w:w="0" w:type="dxa"/>
          <w:right w:w="0" w:type="dxa"/>
        </w:tblCellMar>
      </w:tblPr>
      <w:tr>
        <w:trPr>
          <w:trHeight w:val="155"/>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5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April 30, 2025</w:t>
            </w:r>
          </w:p>
        </w:tc>
        <w:tc>
          <w:tcPr>
            <w:tcW w:w="5480" w:type="dxa"/>
            <w:vAlign w:val="bottom"/>
          </w:tcPr>
          <w:p>
            <w:pPr>
              <w:spacing w:after="0"/>
              <w:rPr>
                <w:sz w:val="13"/>
                <w:szCs w:val="13"/>
                <w:color w:val="auto"/>
              </w:rPr>
            </w:pPr>
          </w:p>
        </w:tc>
      </w:tr>
      <w:tr>
        <w:trPr>
          <w:trHeight w:val="189"/>
        </w:trPr>
        <w:tc>
          <w:tcPr>
            <w:tcW w:w="440" w:type="dxa"/>
            <w:vAlign w:val="bottom"/>
          </w:tcPr>
          <w:p>
            <w:pPr>
              <w:spacing w:after="0"/>
              <w:rPr>
                <w:sz w:val="16"/>
                <w:szCs w:val="16"/>
                <w:color w:val="auto"/>
              </w:rPr>
            </w:pPr>
          </w:p>
        </w:tc>
        <w:tc>
          <w:tcPr>
            <w:tcW w:w="5380" w:type="dxa"/>
            <w:vAlign w:val="bottom"/>
          </w:tcPr>
          <w:p>
            <w:pPr>
              <w:ind w:left="5180"/>
              <w:spacing w:after="0"/>
              <w:rPr>
                <w:sz w:val="20"/>
                <w:szCs w:val="20"/>
                <w:color w:val="auto"/>
              </w:rPr>
            </w:pPr>
            <w:r>
              <w:rPr>
                <w:rFonts w:ascii="Times New Roman" w:cs="Times New Roman" w:eastAsia="Times New Roman" w:hAnsi="Times New Roman"/>
                <w:sz w:val="12"/>
                <w:szCs w:val="12"/>
                <w:color w:val="auto"/>
              </w:rPr>
              <w:t>By:</w:t>
            </w: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 ERIC W. GERSTENBERG</w:t>
            </w:r>
          </w:p>
        </w:tc>
      </w:tr>
      <w:tr>
        <w:trPr>
          <w:trHeight w:val="136"/>
        </w:trPr>
        <w:tc>
          <w:tcPr>
            <w:tcW w:w="44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54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Eric W. Gerstenberg</w:t>
            </w:r>
          </w:p>
        </w:tc>
      </w:tr>
      <w:tr>
        <w:trPr>
          <w:trHeight w:val="159"/>
        </w:trPr>
        <w:tc>
          <w:tcPr>
            <w:tcW w:w="44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Co-Chief Executive Officer and Co-President</w:t>
            </w:r>
          </w:p>
        </w:tc>
      </w:tr>
      <w:tr>
        <w:trPr>
          <w:trHeight w:val="189"/>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5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April 30, 2025</w:t>
            </w:r>
          </w:p>
        </w:tc>
        <w:tc>
          <w:tcPr>
            <w:tcW w:w="548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5380" w:type="dxa"/>
            <w:vAlign w:val="bottom"/>
          </w:tcPr>
          <w:p>
            <w:pPr>
              <w:ind w:left="5180"/>
              <w:spacing w:after="0"/>
              <w:rPr>
                <w:sz w:val="20"/>
                <w:szCs w:val="20"/>
                <w:color w:val="auto"/>
              </w:rPr>
            </w:pPr>
            <w:r>
              <w:rPr>
                <w:rFonts w:ascii="Times New Roman" w:cs="Times New Roman" w:eastAsia="Times New Roman" w:hAnsi="Times New Roman"/>
                <w:sz w:val="12"/>
                <w:szCs w:val="12"/>
                <w:color w:val="auto"/>
              </w:rPr>
              <w:t>By:</w:t>
            </w: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ERIC J. DUGAS</w:t>
            </w:r>
          </w:p>
        </w:tc>
      </w:tr>
      <w:tr>
        <w:trPr>
          <w:trHeight w:val="136"/>
        </w:trPr>
        <w:tc>
          <w:tcPr>
            <w:tcW w:w="44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54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8"/>
              </w:rPr>
              <w:t>Eric J. Dugas</w:t>
            </w:r>
          </w:p>
        </w:tc>
      </w:tr>
      <w:tr>
        <w:trPr>
          <w:trHeight w:val="159"/>
        </w:trPr>
        <w:tc>
          <w:tcPr>
            <w:tcW w:w="44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Executive Vice President and Chief Financial Officer</w:t>
            </w:r>
          </w:p>
        </w:tc>
      </w:tr>
      <w:tr>
        <w:trPr>
          <w:trHeight w:val="189"/>
        </w:trPr>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5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April 30, 2025</w:t>
            </w:r>
          </w:p>
        </w:tc>
        <w:tc>
          <w:tcPr>
            <w:tcW w:w="5480" w:type="dxa"/>
            <w:vAlign w:val="bottom"/>
          </w:tcPr>
          <w:p>
            <w:pPr>
              <w:spacing w:after="0"/>
              <w:rPr>
                <w:sz w:val="16"/>
                <w:szCs w:val="16"/>
                <w:color w:val="auto"/>
              </w:rPr>
            </w:pPr>
          </w:p>
        </w:tc>
      </w:tr>
      <w:tr>
        <w:trPr>
          <w:trHeight w:val="873"/>
        </w:trPr>
        <w:tc>
          <w:tcPr>
            <w:tcW w:w="440" w:type="dxa"/>
            <w:vAlign w:val="bottom"/>
          </w:tcPr>
          <w:p>
            <w:pPr>
              <w:spacing w:after="0"/>
              <w:rPr>
                <w:sz w:val="24"/>
                <w:szCs w:val="24"/>
                <w:color w:val="auto"/>
              </w:rPr>
            </w:pPr>
          </w:p>
        </w:tc>
        <w:tc>
          <w:tcPr>
            <w:tcW w:w="5380" w:type="dxa"/>
            <w:vAlign w:val="bottom"/>
          </w:tcPr>
          <w:p>
            <w:pPr>
              <w:ind w:left="5140"/>
              <w:spacing w:after="0"/>
              <w:rPr>
                <w:sz w:val="20"/>
                <w:szCs w:val="20"/>
                <w:color w:val="auto"/>
              </w:rPr>
            </w:pPr>
            <w:r>
              <w:rPr>
                <w:rFonts w:ascii="Times New Roman" w:cs="Times New Roman" w:eastAsia="Times New Roman" w:hAnsi="Times New Roman"/>
                <w:sz w:val="12"/>
                <w:szCs w:val="12"/>
                <w:color w:val="auto"/>
              </w:rPr>
              <w:t>33</w:t>
            </w:r>
          </w:p>
        </w:tc>
        <w:tc>
          <w:tcPr>
            <w:tcW w:w="5480" w:type="dxa"/>
            <w:vAlign w:val="bottom"/>
          </w:tcPr>
          <w:p>
            <w:pPr>
              <w:spacing w:after="0"/>
              <w:rPr>
                <w:sz w:val="24"/>
                <w:szCs w:val="24"/>
                <w:color w:val="auto"/>
              </w:rPr>
            </w:pPr>
          </w:p>
        </w:tc>
      </w:tr>
    </w:tbl>
    <w:p>
      <w:pPr>
        <w:sectPr>
          <w:pgSz w:w="11900" w:h="16838" w:orient="portrait"/>
          <w:cols w:equalWidth="0" w:num="1">
            <w:col w:w="11300"/>
          </w:cols>
          <w:pgMar w:left="300" w:top="129" w:right="2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CO-CHIEF EXECUTIVE OFFICER</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Michael L. Battles, certify that:</w:t>
      </w:r>
    </w:p>
    <w:p>
      <w:pPr>
        <w:spacing w:after="0" w:line="168" w:lineRule="exact"/>
        <w:rPr>
          <w:sz w:val="20"/>
          <w:szCs w:val="20"/>
          <w:color w:val="auto"/>
        </w:rPr>
      </w:pPr>
    </w:p>
    <w:p>
      <w:pPr>
        <w:ind w:left="128" w:hanging="128"/>
        <w:spacing w:after="0"/>
        <w:tabs>
          <w:tab w:leader="none" w:pos="12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Clean Harbors, Inc.;</w:t>
      </w:r>
    </w:p>
    <w:p>
      <w:pPr>
        <w:spacing w:after="0" w:line="168" w:lineRule="exact"/>
        <w:rPr>
          <w:rFonts w:ascii="Times New Roman" w:cs="Times New Roman" w:eastAsia="Times New Roman" w:hAnsi="Times New Roman"/>
          <w:sz w:val="12"/>
          <w:szCs w:val="12"/>
          <w:color w:val="auto"/>
        </w:rPr>
      </w:pPr>
    </w:p>
    <w:p>
      <w:pPr>
        <w:ind w:left="8" w:right="280" w:hanging="8"/>
        <w:spacing w:after="0" w:line="279" w:lineRule="auto"/>
        <w:tabs>
          <w:tab w:leader="none" w:pos="13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Times New Roman" w:cs="Times New Roman" w:eastAsia="Times New Roman" w:hAnsi="Times New Roman"/>
          <w:sz w:val="12"/>
          <w:szCs w:val="12"/>
          <w:color w:val="auto"/>
        </w:rPr>
      </w:pPr>
    </w:p>
    <w:p>
      <w:pPr>
        <w:ind w:left="8" w:right="180" w:hanging="8"/>
        <w:spacing w:after="0" w:line="279" w:lineRule="auto"/>
        <w:tabs>
          <w:tab w:leader="none" w:pos="13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8" w:right="300" w:hanging="8"/>
        <w:spacing w:after="0" w:line="279" w:lineRule="auto"/>
        <w:tabs>
          <w:tab w:leader="none" w:pos="13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sz w:val="20"/>
          <w:szCs w:val="20"/>
          <w:color w:val="auto"/>
        </w:rPr>
      </w:pPr>
    </w:p>
    <w:p>
      <w:pPr>
        <w:ind w:left="8" w:right="280" w:hanging="8"/>
        <w:spacing w:after="0" w:line="279" w:lineRule="auto"/>
        <w:tabs>
          <w:tab w:leader="none" w:pos="17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2"/>
          <w:szCs w:val="12"/>
          <w:color w:val="auto"/>
        </w:rPr>
      </w:pPr>
    </w:p>
    <w:p>
      <w:pPr>
        <w:ind w:left="8" w:right="200" w:hanging="8"/>
        <w:spacing w:after="0" w:line="279" w:lineRule="auto"/>
        <w:tabs>
          <w:tab w:leader="none" w:pos="184"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2"/>
          <w:szCs w:val="12"/>
          <w:color w:val="auto"/>
        </w:rPr>
      </w:pPr>
    </w:p>
    <w:p>
      <w:pPr>
        <w:ind w:left="8" w:right="140" w:hanging="8"/>
        <w:spacing w:after="0" w:line="279" w:lineRule="auto"/>
        <w:tabs>
          <w:tab w:leader="none" w:pos="17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Times New Roman" w:cs="Times New Roman" w:eastAsia="Times New Roman" w:hAnsi="Times New Roman"/>
          <w:sz w:val="12"/>
          <w:szCs w:val="12"/>
          <w:color w:val="auto"/>
        </w:rPr>
      </w:pPr>
    </w:p>
    <w:p>
      <w:pPr>
        <w:ind w:left="8" w:right="180" w:hanging="8"/>
        <w:spacing w:after="0" w:line="279" w:lineRule="auto"/>
        <w:tabs>
          <w:tab w:leader="none" w:pos="184"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sz w:val="20"/>
          <w:szCs w:val="20"/>
          <w:color w:val="auto"/>
        </w:rPr>
      </w:pPr>
    </w:p>
    <w:p>
      <w:pPr>
        <w:ind w:left="8" w:right="80" w:hanging="8"/>
        <w:spacing w:after="0" w:line="279" w:lineRule="auto"/>
        <w:tabs>
          <w:tab w:leader="none" w:pos="134"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sz w:val="20"/>
          <w:szCs w:val="20"/>
          <w:color w:val="auto"/>
        </w:rPr>
      </w:pPr>
    </w:p>
    <w:p>
      <w:pPr>
        <w:ind w:left="8" w:right="300" w:hanging="8"/>
        <w:spacing w:after="0" w:line="279" w:lineRule="auto"/>
        <w:tabs>
          <w:tab w:leader="none" w:pos="17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7788"/>
        <w:spacing w:after="0"/>
        <w:rPr>
          <w:sz w:val="20"/>
          <w:szCs w:val="20"/>
          <w:color w:val="auto"/>
        </w:rPr>
      </w:pPr>
      <w:r>
        <w:rPr>
          <w:rFonts w:ascii="Times New Roman" w:cs="Times New Roman" w:eastAsia="Times New Roman" w:hAnsi="Times New Roman"/>
          <w:sz w:val="12"/>
          <w:szCs w:val="12"/>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775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ind w:left="8008"/>
        <w:spacing w:after="0"/>
        <w:rPr>
          <w:sz w:val="20"/>
          <w:szCs w:val="20"/>
          <w:color w:val="auto"/>
        </w:rPr>
      </w:pPr>
      <w:r>
        <w:rPr>
          <w:rFonts w:ascii="Times New Roman" w:cs="Times New Roman" w:eastAsia="Times New Roman" w:hAnsi="Times New Roman"/>
          <w:sz w:val="12"/>
          <w:szCs w:val="12"/>
          <w:b w:val="1"/>
          <w:bCs w:val="1"/>
          <w:color w:val="auto"/>
        </w:rPr>
        <w:t>Michael L. Battles</w:t>
      </w:r>
    </w:p>
    <w:p>
      <w:pPr>
        <w:spacing w:after="0" w:line="21" w:lineRule="exact"/>
        <w:rPr>
          <w:sz w:val="20"/>
          <w:szCs w:val="20"/>
          <w:color w:val="auto"/>
        </w:rPr>
      </w:pPr>
    </w:p>
    <w:p>
      <w:pPr>
        <w:ind w:left="7308"/>
        <w:spacing w:after="0"/>
        <w:rPr>
          <w:sz w:val="20"/>
          <w:szCs w:val="20"/>
          <w:color w:val="auto"/>
        </w:rPr>
      </w:pPr>
      <w:r>
        <w:rPr>
          <w:rFonts w:ascii="Times New Roman" w:cs="Times New Roman" w:eastAsia="Times New Roman" w:hAnsi="Times New Roman"/>
          <w:sz w:val="12"/>
          <w:szCs w:val="12"/>
          <w:b w:val="1"/>
          <w:bCs w:val="1"/>
          <w:color w:val="auto"/>
        </w:rPr>
        <w:t>Co-Chief Executive Officer and Co-President</w:t>
      </w:r>
    </w:p>
    <w:p>
      <w:pPr>
        <w:spacing w:after="0" w:line="2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April 30, 2025</w:t>
      </w:r>
    </w:p>
    <w:p>
      <w:pPr>
        <w:sectPr>
          <w:pgSz w:w="11900" w:h="16838" w:orient="portrait"/>
          <w:cols w:equalWidth="0" w:num="1">
            <w:col w:w="11308"/>
          </w:cols>
          <w:pgMar w:left="292" w:top="638" w:right="2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CO-CHIEF EXECUTIVE OFFICER</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Eric W. Gerstenberg, certify that:</w:t>
      </w:r>
    </w:p>
    <w:p>
      <w:pPr>
        <w:spacing w:after="0" w:line="168" w:lineRule="exact"/>
        <w:rPr>
          <w:sz w:val="20"/>
          <w:szCs w:val="20"/>
          <w:color w:val="auto"/>
        </w:rPr>
      </w:pPr>
    </w:p>
    <w:p>
      <w:pPr>
        <w:ind w:left="128" w:hanging="128"/>
        <w:spacing w:after="0"/>
        <w:tabs>
          <w:tab w:leader="none" w:pos="12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Clean Harbors, Inc.;</w:t>
      </w:r>
    </w:p>
    <w:p>
      <w:pPr>
        <w:spacing w:after="0" w:line="168" w:lineRule="exact"/>
        <w:rPr>
          <w:rFonts w:ascii="Times New Roman" w:cs="Times New Roman" w:eastAsia="Times New Roman" w:hAnsi="Times New Roman"/>
          <w:sz w:val="12"/>
          <w:szCs w:val="12"/>
          <w:color w:val="auto"/>
        </w:rPr>
      </w:pPr>
    </w:p>
    <w:p>
      <w:pPr>
        <w:ind w:left="8" w:right="280" w:hanging="8"/>
        <w:spacing w:after="0" w:line="279" w:lineRule="auto"/>
        <w:tabs>
          <w:tab w:leader="none" w:pos="134"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Times New Roman" w:cs="Times New Roman" w:eastAsia="Times New Roman" w:hAnsi="Times New Roman"/>
          <w:sz w:val="12"/>
          <w:szCs w:val="12"/>
          <w:color w:val="auto"/>
        </w:rPr>
      </w:pPr>
    </w:p>
    <w:p>
      <w:pPr>
        <w:ind w:left="8" w:right="180" w:hanging="8"/>
        <w:spacing w:after="0" w:line="279" w:lineRule="auto"/>
        <w:tabs>
          <w:tab w:leader="none" w:pos="134"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8" w:right="300" w:hanging="8"/>
        <w:spacing w:after="0" w:line="279" w:lineRule="auto"/>
        <w:tabs>
          <w:tab w:leader="none" w:pos="134"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sz w:val="20"/>
          <w:szCs w:val="20"/>
          <w:color w:val="auto"/>
        </w:rPr>
      </w:pPr>
    </w:p>
    <w:p>
      <w:pPr>
        <w:ind w:left="8" w:right="280" w:hanging="8"/>
        <w:spacing w:after="0" w:line="279" w:lineRule="auto"/>
        <w:tabs>
          <w:tab w:leader="none" w:pos="17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2"/>
          <w:szCs w:val="12"/>
          <w:color w:val="auto"/>
        </w:rPr>
      </w:pPr>
    </w:p>
    <w:p>
      <w:pPr>
        <w:ind w:left="8" w:right="200" w:hanging="8"/>
        <w:spacing w:after="0" w:line="279" w:lineRule="auto"/>
        <w:tabs>
          <w:tab w:leader="none" w:pos="184"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2"/>
          <w:szCs w:val="12"/>
          <w:color w:val="auto"/>
        </w:rPr>
      </w:pPr>
    </w:p>
    <w:p>
      <w:pPr>
        <w:ind w:left="8" w:right="140" w:hanging="8"/>
        <w:spacing w:after="0" w:line="279" w:lineRule="auto"/>
        <w:tabs>
          <w:tab w:leader="none" w:pos="177"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Times New Roman" w:cs="Times New Roman" w:eastAsia="Times New Roman" w:hAnsi="Times New Roman"/>
          <w:sz w:val="12"/>
          <w:szCs w:val="12"/>
          <w:color w:val="auto"/>
        </w:rPr>
      </w:pPr>
    </w:p>
    <w:p>
      <w:pPr>
        <w:ind w:left="8" w:right="180" w:hanging="8"/>
        <w:spacing w:after="0" w:line="279" w:lineRule="auto"/>
        <w:tabs>
          <w:tab w:leader="none" w:pos="184"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sz w:val="20"/>
          <w:szCs w:val="20"/>
          <w:color w:val="auto"/>
        </w:rPr>
      </w:pPr>
    </w:p>
    <w:p>
      <w:pPr>
        <w:ind w:left="8" w:right="80" w:hanging="8"/>
        <w:spacing w:after="0" w:line="279" w:lineRule="auto"/>
        <w:tabs>
          <w:tab w:leader="none" w:pos="134"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sz w:val="20"/>
          <w:szCs w:val="20"/>
          <w:color w:val="auto"/>
        </w:rPr>
      </w:pPr>
    </w:p>
    <w:p>
      <w:pPr>
        <w:ind w:left="8" w:right="300" w:hanging="8"/>
        <w:spacing w:after="0" w:line="279" w:lineRule="auto"/>
        <w:tabs>
          <w:tab w:leader="none" w:pos="17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7728"/>
        <w:spacing w:after="0"/>
        <w:rPr>
          <w:sz w:val="20"/>
          <w:szCs w:val="20"/>
          <w:color w:val="auto"/>
        </w:rPr>
      </w:pPr>
      <w:r>
        <w:rPr>
          <w:rFonts w:ascii="Times New Roman" w:cs="Times New Roman" w:eastAsia="Times New Roman" w:hAnsi="Times New Roman"/>
          <w:sz w:val="12"/>
          <w:szCs w:val="12"/>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7759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ind w:left="7948"/>
        <w:spacing w:after="0"/>
        <w:rPr>
          <w:sz w:val="20"/>
          <w:szCs w:val="20"/>
          <w:color w:val="auto"/>
        </w:rPr>
      </w:pPr>
      <w:r>
        <w:rPr>
          <w:rFonts w:ascii="Times New Roman" w:cs="Times New Roman" w:eastAsia="Times New Roman" w:hAnsi="Times New Roman"/>
          <w:sz w:val="12"/>
          <w:szCs w:val="12"/>
          <w:b w:val="1"/>
          <w:bCs w:val="1"/>
          <w:color w:val="auto"/>
        </w:rPr>
        <w:t>Eric W. Gerstenberg</w:t>
      </w:r>
    </w:p>
    <w:p>
      <w:pPr>
        <w:spacing w:after="0" w:line="21" w:lineRule="exact"/>
        <w:rPr>
          <w:sz w:val="20"/>
          <w:szCs w:val="20"/>
          <w:color w:val="auto"/>
        </w:rPr>
      </w:pPr>
    </w:p>
    <w:p>
      <w:pPr>
        <w:ind w:left="7308"/>
        <w:spacing w:after="0"/>
        <w:rPr>
          <w:sz w:val="20"/>
          <w:szCs w:val="20"/>
          <w:color w:val="auto"/>
        </w:rPr>
      </w:pPr>
      <w:r>
        <w:rPr>
          <w:rFonts w:ascii="Times New Roman" w:cs="Times New Roman" w:eastAsia="Times New Roman" w:hAnsi="Times New Roman"/>
          <w:sz w:val="12"/>
          <w:szCs w:val="12"/>
          <w:b w:val="1"/>
          <w:bCs w:val="1"/>
          <w:color w:val="auto"/>
        </w:rPr>
        <w:t>Co-Chief Executive Officer and Co-President</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April 30, 2025</w:t>
      </w:r>
    </w:p>
    <w:p>
      <w:pPr>
        <w:sectPr>
          <w:pgSz w:w="11900" w:h="16838" w:orient="portrait"/>
          <w:cols w:equalWidth="0" w:num="1">
            <w:col w:w="11308"/>
          </w:cols>
          <w:pgMar w:left="292" w:top="638" w:right="2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2"/>
          <w:szCs w:val="12"/>
          <w:b w:val="1"/>
          <w:bCs w:val="1"/>
          <w:color w:val="auto"/>
        </w:rPr>
        <w:t>EXHIBIT 31.3</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Eric J. Dugas, certify that:</w:t>
      </w:r>
    </w:p>
    <w:p>
      <w:pPr>
        <w:spacing w:after="0" w:line="168" w:lineRule="exact"/>
        <w:rPr>
          <w:sz w:val="20"/>
          <w:szCs w:val="20"/>
          <w:color w:val="auto"/>
        </w:rPr>
      </w:pPr>
    </w:p>
    <w:p>
      <w:pPr>
        <w:ind w:left="128" w:hanging="128"/>
        <w:spacing w:after="0"/>
        <w:tabs>
          <w:tab w:leader="none" w:pos="12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Clean Harbors, Inc.;</w:t>
      </w:r>
    </w:p>
    <w:p>
      <w:pPr>
        <w:spacing w:after="0" w:line="168" w:lineRule="exact"/>
        <w:rPr>
          <w:rFonts w:ascii="Times New Roman" w:cs="Times New Roman" w:eastAsia="Times New Roman" w:hAnsi="Times New Roman"/>
          <w:sz w:val="12"/>
          <w:szCs w:val="12"/>
          <w:color w:val="auto"/>
        </w:rPr>
      </w:pPr>
    </w:p>
    <w:p>
      <w:pPr>
        <w:ind w:left="8" w:right="280" w:hanging="8"/>
        <w:spacing w:after="0" w:line="279" w:lineRule="auto"/>
        <w:tabs>
          <w:tab w:leader="none" w:pos="134"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Times New Roman" w:cs="Times New Roman" w:eastAsia="Times New Roman" w:hAnsi="Times New Roman"/>
          <w:sz w:val="12"/>
          <w:szCs w:val="12"/>
          <w:color w:val="auto"/>
        </w:rPr>
      </w:pPr>
    </w:p>
    <w:p>
      <w:pPr>
        <w:ind w:left="8" w:right="180" w:hanging="8"/>
        <w:spacing w:after="0" w:line="279" w:lineRule="auto"/>
        <w:tabs>
          <w:tab w:leader="none" w:pos="134"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8" w:right="300" w:hanging="8"/>
        <w:spacing w:after="0" w:line="279" w:lineRule="auto"/>
        <w:tabs>
          <w:tab w:leader="none" w:pos="134"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sz w:val="20"/>
          <w:szCs w:val="20"/>
          <w:color w:val="auto"/>
        </w:rPr>
      </w:pPr>
    </w:p>
    <w:p>
      <w:pPr>
        <w:ind w:left="8" w:right="280" w:hanging="8"/>
        <w:spacing w:after="0" w:line="279" w:lineRule="auto"/>
        <w:tabs>
          <w:tab w:leader="none" w:pos="17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2"/>
          <w:szCs w:val="12"/>
          <w:color w:val="auto"/>
        </w:rPr>
      </w:pPr>
    </w:p>
    <w:p>
      <w:pPr>
        <w:ind w:left="8" w:right="200" w:hanging="8"/>
        <w:spacing w:after="0" w:line="279" w:lineRule="auto"/>
        <w:tabs>
          <w:tab w:leader="none" w:pos="184"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2"/>
          <w:szCs w:val="12"/>
          <w:color w:val="auto"/>
        </w:rPr>
      </w:pPr>
    </w:p>
    <w:p>
      <w:pPr>
        <w:ind w:left="8" w:right="140" w:hanging="8"/>
        <w:spacing w:after="0" w:line="279" w:lineRule="auto"/>
        <w:tabs>
          <w:tab w:leader="none" w:pos="177"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Times New Roman" w:cs="Times New Roman" w:eastAsia="Times New Roman" w:hAnsi="Times New Roman"/>
          <w:sz w:val="12"/>
          <w:szCs w:val="12"/>
          <w:color w:val="auto"/>
        </w:rPr>
      </w:pPr>
    </w:p>
    <w:p>
      <w:pPr>
        <w:ind w:left="8" w:right="180" w:hanging="8"/>
        <w:spacing w:after="0" w:line="279" w:lineRule="auto"/>
        <w:tabs>
          <w:tab w:leader="none" w:pos="184"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sz w:val="20"/>
          <w:szCs w:val="20"/>
          <w:color w:val="auto"/>
        </w:rPr>
      </w:pPr>
    </w:p>
    <w:p>
      <w:pPr>
        <w:ind w:left="8" w:right="80" w:hanging="8"/>
        <w:spacing w:after="0" w:line="279" w:lineRule="auto"/>
        <w:tabs>
          <w:tab w:leader="none" w:pos="134"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sz w:val="20"/>
          <w:szCs w:val="20"/>
          <w:color w:val="auto"/>
        </w:rPr>
      </w:pPr>
    </w:p>
    <w:p>
      <w:pPr>
        <w:ind w:left="8" w:right="300" w:hanging="8"/>
        <w:spacing w:after="0" w:line="279" w:lineRule="auto"/>
        <w:tabs>
          <w:tab w:leader="none" w:pos="17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7988"/>
        <w:spacing w:after="0"/>
        <w:rPr>
          <w:sz w:val="20"/>
          <w:szCs w:val="20"/>
          <w:color w:val="auto"/>
        </w:rPr>
      </w:pPr>
      <w:r>
        <w:rPr>
          <w:rFonts w:ascii="Times New Roman" w:cs="Times New Roman" w:eastAsia="Times New Roman" w:hAnsi="Times New Roman"/>
          <w:sz w:val="12"/>
          <w:szCs w:val="12"/>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10795</wp:posOffset>
            </wp:positionV>
            <wp:extent cx="357759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ind w:left="8128"/>
        <w:spacing w:after="0"/>
        <w:rPr>
          <w:sz w:val="20"/>
          <w:szCs w:val="20"/>
          <w:color w:val="auto"/>
        </w:rPr>
      </w:pPr>
      <w:r>
        <w:rPr>
          <w:rFonts w:ascii="Times New Roman" w:cs="Times New Roman" w:eastAsia="Times New Roman" w:hAnsi="Times New Roman"/>
          <w:sz w:val="12"/>
          <w:szCs w:val="12"/>
          <w:b w:val="1"/>
          <w:bCs w:val="1"/>
          <w:color w:val="auto"/>
        </w:rPr>
        <w:t>Eric J. Dugas</w:t>
      </w:r>
    </w:p>
    <w:p>
      <w:pPr>
        <w:spacing w:after="0" w:line="21" w:lineRule="exact"/>
        <w:rPr>
          <w:sz w:val="20"/>
          <w:szCs w:val="20"/>
          <w:color w:val="auto"/>
        </w:rPr>
      </w:pPr>
    </w:p>
    <w:p>
      <w:pPr>
        <w:ind w:left="7108"/>
        <w:spacing w:after="0"/>
        <w:rPr>
          <w:sz w:val="20"/>
          <w:szCs w:val="20"/>
          <w:color w:val="auto"/>
        </w:rPr>
      </w:pPr>
      <w:r>
        <w:rPr>
          <w:rFonts w:ascii="Times New Roman" w:cs="Times New Roman" w:eastAsia="Times New Roman" w:hAnsi="Times New Roman"/>
          <w:sz w:val="12"/>
          <w:szCs w:val="12"/>
          <w:b w:val="1"/>
          <w:bCs w:val="1"/>
          <w:color w:val="auto"/>
        </w:rPr>
        <w:t>Executive Vice President and Chief Financial Officer</w:t>
      </w:r>
    </w:p>
    <w:p>
      <w:pPr>
        <w:spacing w:after="0" w:line="2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April 30, 2025</w:t>
      </w:r>
    </w:p>
    <w:p>
      <w:pPr>
        <w:sectPr>
          <w:pgSz w:w="11900" w:h="16838" w:orient="portrait"/>
          <w:cols w:equalWidth="0" w:num="1">
            <w:col w:w="11308"/>
          </w:cols>
          <w:pgMar w:left="292" w:top="638" w:right="2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2"/>
          <w:szCs w:val="12"/>
          <w:b w:val="1"/>
          <w:bCs w:val="1"/>
          <w:color w:val="auto"/>
        </w:rPr>
        <w:t>EXHIBIT 32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CLEAN HARBORS, INC. AND SUBSIDIARIES</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SECTION 1350, CHAPTER 63 OF TITLE 18, UNITED STATES CODE,</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 OXLEY ACT OF 2002</w:t>
      </w:r>
    </w:p>
    <w:p>
      <w:pPr>
        <w:spacing w:after="0" w:line="157"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Pursuant to 18 U.S.C. §1350, each of the undersigned certifies that, to his knowledge, this Quarterly Report on Form 10-Q for the period ended March 31, 2025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201" w:lineRule="exact"/>
        <w:rPr>
          <w:sz w:val="20"/>
          <w:szCs w:val="20"/>
          <w:color w:val="auto"/>
        </w:rPr>
      </w:pPr>
    </w:p>
    <w:tbl>
      <w:tblPr>
        <w:tblLayout w:type="fixed"/>
        <w:tblInd w:w="440" w:type="dxa"/>
        <w:tblCellMar>
          <w:top w:w="0" w:type="dxa"/>
          <w:left w:w="0" w:type="dxa"/>
          <w:bottom w:w="0" w:type="dxa"/>
          <w:right w:w="0" w:type="dxa"/>
        </w:tblCellMar>
      </w:tblPr>
      <w:tr>
        <w:trPr>
          <w:trHeight w:val="155"/>
        </w:trPr>
        <w:tc>
          <w:tcPr>
            <w:tcW w:w="5240" w:type="dxa"/>
            <w:vAlign w:val="bottom"/>
          </w:tcPr>
          <w:p>
            <w:pPr>
              <w:ind w:left="5040"/>
              <w:spacing w:after="0"/>
              <w:rPr>
                <w:sz w:val="20"/>
                <w:szCs w:val="20"/>
                <w:color w:val="auto"/>
              </w:rPr>
            </w:pPr>
            <w:r>
              <w:rPr>
                <w:rFonts w:ascii="Times New Roman" w:cs="Times New Roman" w:eastAsia="Times New Roman" w:hAnsi="Times New Roman"/>
                <w:sz w:val="12"/>
                <w:szCs w:val="12"/>
                <w:color w:val="auto"/>
              </w:rPr>
              <w:t>By:</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MICHAEL L. BATTLES</w:t>
            </w:r>
          </w:p>
        </w:tc>
      </w:tr>
      <w:tr>
        <w:trPr>
          <w:trHeight w:val="136"/>
        </w:trPr>
        <w:tc>
          <w:tcPr>
            <w:tcW w:w="5240" w:type="dxa"/>
            <w:vAlign w:val="bottom"/>
          </w:tcPr>
          <w:p>
            <w:pPr>
              <w:spacing w:after="0"/>
              <w:rPr>
                <w:sz w:val="11"/>
                <w:szCs w:val="11"/>
                <w:color w:val="auto"/>
              </w:rPr>
            </w:pPr>
          </w:p>
        </w:tc>
        <w:tc>
          <w:tcPr>
            <w:tcW w:w="55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Michael L. Battles</w:t>
            </w:r>
          </w:p>
        </w:tc>
      </w:tr>
      <w:tr>
        <w:trPr>
          <w:trHeight w:val="159"/>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Date: April 30, 2025</w:t>
            </w:r>
          </w:p>
        </w:tc>
        <w:tc>
          <w:tcPr>
            <w:tcW w:w="5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Co-Chief Executive Officer and Co-President</w:t>
            </w:r>
          </w:p>
        </w:tc>
      </w:tr>
      <w:tr>
        <w:trPr>
          <w:trHeight w:val="306"/>
        </w:trPr>
        <w:tc>
          <w:tcPr>
            <w:tcW w:w="5240" w:type="dxa"/>
            <w:vAlign w:val="bottom"/>
          </w:tcPr>
          <w:p>
            <w:pPr>
              <w:ind w:left="5040"/>
              <w:spacing w:after="0"/>
              <w:rPr>
                <w:sz w:val="20"/>
                <w:szCs w:val="20"/>
                <w:color w:val="auto"/>
              </w:rPr>
            </w:pPr>
            <w:r>
              <w:rPr>
                <w:rFonts w:ascii="Times New Roman" w:cs="Times New Roman" w:eastAsia="Times New Roman" w:hAnsi="Times New Roman"/>
                <w:sz w:val="12"/>
                <w:szCs w:val="12"/>
                <w:color w:val="auto"/>
              </w:rPr>
              <w:t>By:</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/s/ ERIC W. GERSTENBERG</w:t>
            </w:r>
          </w:p>
        </w:tc>
      </w:tr>
      <w:tr>
        <w:trPr>
          <w:trHeight w:val="136"/>
        </w:trPr>
        <w:tc>
          <w:tcPr>
            <w:tcW w:w="5240" w:type="dxa"/>
            <w:vAlign w:val="bottom"/>
          </w:tcPr>
          <w:p>
            <w:pPr>
              <w:spacing w:after="0"/>
              <w:rPr>
                <w:sz w:val="11"/>
                <w:szCs w:val="11"/>
                <w:color w:val="auto"/>
              </w:rPr>
            </w:pPr>
          </w:p>
        </w:tc>
        <w:tc>
          <w:tcPr>
            <w:tcW w:w="55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Eric W. Gerstenberg</w:t>
            </w:r>
          </w:p>
        </w:tc>
      </w:tr>
      <w:tr>
        <w:trPr>
          <w:trHeight w:val="159"/>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Date: April 30, 2025</w:t>
            </w:r>
          </w:p>
        </w:tc>
        <w:tc>
          <w:tcPr>
            <w:tcW w:w="5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Co-Chief Executive Officer and Co-President</w:t>
            </w:r>
          </w:p>
        </w:tc>
      </w:tr>
      <w:tr>
        <w:trPr>
          <w:trHeight w:val="324"/>
        </w:trPr>
        <w:tc>
          <w:tcPr>
            <w:tcW w:w="5240" w:type="dxa"/>
            <w:vAlign w:val="bottom"/>
          </w:tcPr>
          <w:p>
            <w:pPr>
              <w:ind w:left="5040"/>
              <w:spacing w:after="0"/>
              <w:rPr>
                <w:sz w:val="20"/>
                <w:szCs w:val="20"/>
                <w:color w:val="auto"/>
              </w:rPr>
            </w:pPr>
            <w:r>
              <w:rPr>
                <w:rFonts w:ascii="Times New Roman" w:cs="Times New Roman" w:eastAsia="Times New Roman" w:hAnsi="Times New Roman"/>
                <w:sz w:val="12"/>
                <w:szCs w:val="12"/>
                <w:color w:val="auto"/>
              </w:rPr>
              <w:t>By:</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ERIC J. DUGAS</w:t>
            </w:r>
          </w:p>
        </w:tc>
      </w:tr>
      <w:tr>
        <w:trPr>
          <w:trHeight w:val="136"/>
        </w:trPr>
        <w:tc>
          <w:tcPr>
            <w:tcW w:w="5240" w:type="dxa"/>
            <w:vAlign w:val="bottom"/>
          </w:tcPr>
          <w:p>
            <w:pPr>
              <w:spacing w:after="0"/>
              <w:rPr>
                <w:sz w:val="11"/>
                <w:szCs w:val="11"/>
                <w:color w:val="auto"/>
              </w:rPr>
            </w:pPr>
          </w:p>
        </w:tc>
        <w:tc>
          <w:tcPr>
            <w:tcW w:w="55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Eric J. Dugas</w:t>
            </w:r>
          </w:p>
        </w:tc>
      </w:tr>
      <w:tr>
        <w:trPr>
          <w:trHeight w:val="159"/>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Date: April 30, 2025</w:t>
            </w:r>
          </w:p>
        </w:tc>
        <w:tc>
          <w:tcPr>
            <w:tcW w:w="5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300"/>
      </w:cols>
      <w:pgMar w:left="300" w:top="63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5"/>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5"/>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5"/>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2025-04-30T10:01:32Z</dcterms:created>
  <dcterms:modified xsi:type="dcterms:W3CDTF">2025-04-30T10:01:32Z</dcterms:modified>
</cp:coreProperties>
</file>