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ectPr>
          <w:pgSz w:w="11900" w:h="16838" w:orient="portrait"/>
          <w:cols w:equalWidth="0" w:num="1">
            <w:col w:w="11200"/>
          </w:cols>
          <w:pgMar w:left="320" w:top="229" w:right="379" w:bottom="1440" w:gutter="0" w:footer="0" w:header="0"/>
        </w:sectPr>
      </w:pPr>
    </w:p>
    <w:p>
      <w:pPr>
        <w:spacing w:after="0" w:line="33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29" w:right="379" w:bottom="1440" w:gutter="0" w:footer="0" w:header="0"/>
          <w:type w:val="continuous"/>
        </w:sectPr>
      </w:pP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00"/>
          </w:cols>
          <w:pgMar w:left="320" w:top="229" w:right="379" w:bottom="1440" w:gutter="0" w:footer="0" w:header="0"/>
          <w:type w:val="continuous"/>
        </w:sectPr>
      </w:pPr>
    </w:p>
    <w:p>
      <w:pPr>
        <w:spacing w:after="0" w:line="1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3220" w:type="dxa"/>
            <w:vAlign w:val="bottom"/>
            <w:gridSpan w:val="2"/>
            <w:vMerge w:val="continue"/>
          </w:tcPr>
          <w:p>
            <w:pPr>
              <w:spacing w:after="0"/>
              <w:rPr>
                <w:sz w:val="20"/>
                <w:szCs w:val="20"/>
                <w:color w:val="auto"/>
              </w:rPr>
            </w:pPr>
          </w:p>
        </w:tc>
        <w:tc>
          <w:tcPr>
            <w:tcW w:w="3240" w:type="dxa"/>
            <w:vAlign w:val="bottom"/>
            <w:gridSpan w:val="2"/>
            <w:vMerge w:val="continue"/>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80" w:firstLine="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1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540" w:space="100"/>
            <w:col w:w="3300" w:space="720"/>
            <w:col w:w="3540"/>
          </w:cols>
          <w:pgMar w:left="320" w:top="229" w:right="379" w:bottom="1440" w:gutter="0" w:footer="0" w:header="0"/>
          <w:type w:val="continuous"/>
        </w:sectPr>
      </w:pPr>
    </w:p>
    <w:p>
      <w:pPr>
        <w:spacing w:after="0" w:line="3" w:lineRule="exact"/>
        <w:rPr>
          <w:sz w:val="24"/>
          <w:szCs w:val="24"/>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October 28, 2022 was 54,074,296.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630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30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 Unaudited Financial Statements</w:t>
            </w:r>
          </w:p>
        </w:tc>
        <w:tc>
          <w:tcPr>
            <w:tcW w:w="3080" w:type="dxa"/>
            <w:vAlign w:val="bottom"/>
            <w:tcBorders>
              <w:top w:val="single" w:sz="8" w:color="0000FF"/>
            </w:tcBorders>
            <w:gridSpan w:val="8"/>
          </w:tcPr>
          <w:p>
            <w:pPr>
              <w:spacing w:after="0"/>
              <w:rPr>
                <w:sz w:val="22"/>
                <w:szCs w:val="22"/>
                <w:color w:val="auto"/>
              </w:rPr>
            </w:pPr>
          </w:p>
        </w:tc>
        <w:tc>
          <w:tcPr>
            <w:tcW w:w="3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1020" w:type="dxa"/>
            <w:vAlign w:val="bottom"/>
            <w:tcBorders>
              <w:top w:val="single" w:sz="8" w:color="0000FF"/>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2"/>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8"/>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452,575</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81,724</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$48,826 and $40,140,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792,734</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250,692</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68,483</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1,741,171</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161,797</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1,227,042</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644,912</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2,107,861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2,049,353</w:t>
            </w:r>
          </w:p>
        </w:tc>
      </w:tr>
      <w:tr>
        <w:trPr>
          <w:trHeight w:val="248"/>
        </w:trPr>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5,653,699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359,866</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83,749</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391,414</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925,314</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$17,373 and $12,015,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87,088</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$19,531 and $13,121, respectively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98,752</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2,517,024</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117,991</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314,853</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78,790</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3,214,498</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17)</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54,070,197 and 54,419,321 shares,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536,377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earnings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1,172,978</w:t>
            </w:r>
          </w:p>
        </w:tc>
      </w:tr>
      <w:tr>
        <w:trPr>
          <w:trHeight w:val="223"/>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6,072,627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5,653,699</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18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1,073,810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2,141,820</w:t>
            </w:r>
          </w:p>
        </w:tc>
      </w:tr>
      <w:tr>
        <w:trPr>
          <w:trHeight w:val="230"/>
        </w:trPr>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544,265</w:t>
            </w:r>
          </w:p>
        </w:tc>
      </w:tr>
      <w:tr>
        <w:trPr>
          <w:trHeight w:val="223"/>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1,363,086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3,888,507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2,686,085</w:t>
            </w:r>
          </w:p>
        </w:tc>
      </w:tr>
      <w:tr>
        <w:trPr>
          <w:trHeight w:val="21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1,451,498</w:t>
            </w:r>
          </w:p>
        </w:tc>
      </w:tr>
      <w:tr>
        <w:trPr>
          <w:trHeight w:val="229"/>
        </w:trPr>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366,156</w:t>
            </w:r>
          </w:p>
        </w:tc>
      </w:tr>
      <w:tr>
        <w:trPr>
          <w:trHeight w:val="223"/>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2,652,506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1,817,654</w:t>
            </w:r>
          </w:p>
        </w:tc>
      </w:tr>
      <w:tr>
        <w:trPr>
          <w:trHeight w:val="22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378,911</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215,206</w:t>
            </w: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265,689</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$1,103, $653, $2,159 and $1,712,</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(53,953)</w:t>
            </w: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209,227</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w:t>
            </w:r>
          </w:p>
        </w:tc>
      </w:tr>
      <w:tr>
        <w:trPr>
          <w:trHeight w:val="223"/>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154,254</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63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6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54,111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54,411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54,278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54,553</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7"/>
                <w:szCs w:val="17"/>
                <w:color w:val="auto"/>
              </w:rPr>
            </w:pPr>
          </w:p>
        </w:tc>
      </w:tr>
      <w:tr>
        <w:trPr>
          <w:trHeight w:val="23"/>
        </w:trPr>
        <w:tc>
          <w:tcPr>
            <w:tcW w:w="5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5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154,254</w:t>
            </w:r>
          </w:p>
        </w:tc>
      </w:tr>
      <w:tr>
        <w:trPr>
          <w:trHeight w:val="229"/>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fair value of interest rate hedges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175"/>
        </w:trPr>
        <w:tc>
          <w:tcPr>
            <w:tcW w:w="59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Unfunded pension liability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10,761</w:t>
            </w:r>
          </w:p>
        </w:tc>
      </w:tr>
      <w:tr>
        <w:trPr>
          <w:trHeight w:val="248"/>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329,270</w:t>
            </w:r>
          </w:p>
        </w:tc>
        <w:tc>
          <w:tcPr>
            <w:tcW w:w="120" w:type="dxa"/>
            <w:vAlign w:val="bottom"/>
          </w:tcPr>
          <w:p>
            <w:pPr>
              <w:spacing w:after="0"/>
              <w:rPr>
                <w:sz w:val="18"/>
                <w:szCs w:val="18"/>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154,254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260,560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215,206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12,786</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(293,562)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(113,601)</w:t>
            </w: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86,974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21,916</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357,542</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368,226</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(244,547)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(146,654)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 net of transaction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(96,785)</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(281,962)</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(169,267)</w:t>
            </w:r>
          </w:p>
        </w:tc>
        <w:tc>
          <w:tcPr>
            <w:tcW w:w="0" w:type="dxa"/>
            <w:vAlign w:val="bottom"/>
          </w:tcPr>
          <w:p>
            <w:pPr>
              <w:spacing w:after="0"/>
              <w:rPr>
                <w:sz w:val="1"/>
                <w:szCs w:val="1"/>
                <w:color w:val="auto"/>
              </w:rPr>
            </w:pPr>
          </w:p>
        </w:tc>
      </w:tr>
      <w:tr>
        <w:trPr>
          <w:trHeight w:val="19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127,562</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452,575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519,101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449,023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646,663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86,407</w:t>
            </w:r>
          </w:p>
        </w:tc>
        <w:tc>
          <w:tcPr>
            <w:tcW w:w="120" w:type="dxa"/>
            <w:vAlign w:val="bottom"/>
          </w:tcPr>
          <w:p>
            <w:pPr>
              <w:spacing w:after="0"/>
              <w:rPr>
                <w:sz w:val="18"/>
                <w:szCs w:val="18"/>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48,202</w:t>
            </w:r>
          </w:p>
        </w:tc>
        <w:tc>
          <w:tcPr>
            <w:tcW w:w="0" w:type="dxa"/>
            <w:vAlign w:val="bottom"/>
          </w:tcPr>
          <w:p>
            <w:pPr>
              <w:spacing w:after="0"/>
              <w:rPr>
                <w:sz w:val="1"/>
                <w:szCs w:val="1"/>
                <w:color w:val="auto"/>
              </w:rPr>
            </w:pP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Remedial liability assumed in acquisition of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18,528</w:t>
            </w:r>
          </w:p>
        </w:tc>
        <w:tc>
          <w:tcPr>
            <w:tcW w:w="0" w:type="dxa"/>
            <w:vAlign w:val="bottom"/>
          </w:tcPr>
          <w:p>
            <w:pPr>
              <w:spacing w:after="0"/>
              <w:rPr>
                <w:sz w:val="1"/>
                <w:szCs w:val="1"/>
                <w:color w:val="auto"/>
              </w:rPr>
            </w:pPr>
          </w:p>
        </w:tc>
      </w:tr>
      <w:tr>
        <w:trPr>
          <w:trHeight w:val="210"/>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2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5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1,593,237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1,716,950</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1,837,581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 (CONTINUED)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2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9"/>
        </w:trPr>
        <w:tc>
          <w:tcPr>
            <w:tcW w:w="35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1,341,551</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1,348,450</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1,409,587</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1,463,560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2021. There have been no material changes in these policies or their application during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third-party revenues are disaggregated by geographic location and source of revenue as management believes these categories depict how revenue and cash flows are affected by economic factors. The Company's significant sources of revenue include:</w:t>
      </w:r>
    </w:p>
    <w:p>
      <w:pPr>
        <w:spacing w:after="0" w:line="9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large remediation projects,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remediation, railcar cleaning, manhole/vault clean outs, product recovery and transfer and vacuum services. Additional services include filtration and water treatment services. Response services for environmental emergencies of any scale range from man-made disasters such as oil spills to natural disasters such as hurricanes. Emergency response services also include spill cleanup on land and water, contagion disinfection, decontamination and disposal services most recently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Company uses the input method to recognize revenue over time, based on time and materials incurred. The duration of such services can be over a number of hours, several days or even months for larger scale projects.</w:t>
      </w:r>
    </w:p>
    <w:p>
      <w:pPr>
        <w:spacing w:after="0" w:line="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Industrial Services and Other</w:t>
      </w:r>
      <w:r>
        <w:rPr>
          <w:rFonts w:ascii="Times New Roman" w:cs="Times New Roman" w:eastAsia="Times New Roman" w:hAnsi="Times New Roman"/>
          <w:sz w:val="18"/>
          <w:szCs w:val="18"/>
          <w:color w:val="auto"/>
        </w:rPr>
        <w:t>—Industrial Services contribute to the revenues of the Environmental Services operating segment. These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primarily generated from industrial and specialty services provided to refineries, mines, upgraders, chemical plants, pulp and paper mills, manufacturing facilities, power generation facilities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Safety-Kleen Sustainability Solutions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11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Safety-Kleen Sustainability Solutions segment. These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2022</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960,737</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249,035</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1,080,032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282,771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1,363,086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398,664</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1,080,032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282,771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1,363,086</w:t>
            </w: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632,755</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185,096</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207,589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951,479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308,158</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951,479</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2022</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2,740,994</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688,444</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3,429,872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458,635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3,105,336</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782,737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3,888,507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1,109,339</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3,105,336</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782,737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80" w:type="dxa"/>
            <w:vAlign w:val="bottom"/>
          </w:tcPr>
          <w:p>
            <w:pPr>
              <w:spacing w:after="0"/>
              <w:rPr>
                <w:sz w:val="14"/>
                <w:szCs w:val="14"/>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1,824,848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356,718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2,119,856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2,686,085</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887,063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2,119,856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2,686,085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operations related to HydroChemPSC, which the Company acquired on October 8, 2021, have been fully integrated into the Industrial Services and Field Services operations of the Company. Third-party revenues generated from the acquired HydroChemPSC business are no longer separately identifiable.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792,734</w:t>
            </w: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83,749</w:t>
            </w:r>
          </w:p>
        </w:tc>
      </w:tr>
    </w:tbl>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17, 2022, the Company acquired a privately-owned company for an all-cash purchase price of approximately $78.6 million, net of cash acquired and subject to the final settlement of working capital. Pursuant to the purchase agreement, in the three months ended September 30, 2022, the Company paid $4.8 million to partially settle working capital. The Company expects to finalize working capital, which is not expected to be material, prior to December 31, 2022. The operations of the newly acquired company expand the Safety-Kleen Sustainability Solutions segment's waste oil collection capabilities and re-refining business throughout the southeast region of the United States, including the addition of a re-refinery in Georgia.</w:t>
      </w:r>
    </w:p>
    <w:p>
      <w:pPr>
        <w:spacing w:after="0" w:line="11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June 17, 2022. The Company continues to obtain information to complete the valuation of these balances and the associated income tax accounting. Measurement period adjustments will reflect new information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about facts and circumstances that existed as of the acquisition date. The following table summarizes the preliminary determination and recognition of assets acquired and liabilities assumed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At Acquisition Date</w:t>
            </w:r>
          </w:p>
        </w:tc>
      </w:tr>
      <w:tr>
        <w:trPr>
          <w:trHeight w:val="162"/>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204"/>
        </w:trPr>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At Acquisition Date</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7"/>
                <w:szCs w:val="17"/>
                <w:color w:val="auto"/>
              </w:rPr>
            </w:pPr>
          </w:p>
        </w:tc>
        <w:tc>
          <w:tcPr>
            <w:tcW w:w="15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37"/>
        </w:trPr>
        <w:tc>
          <w:tcPr>
            <w:tcW w:w="59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23,325</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43,866</w:t>
            </w:r>
          </w:p>
        </w:tc>
      </w:tr>
      <w:tr>
        <w:trPr>
          <w:trHeight w:val="22"/>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7"/>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w:t>
            </w:r>
          </w:p>
        </w:tc>
      </w:tr>
      <w:tr>
        <w:trPr>
          <w:trHeight w:val="22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78,568</w:t>
            </w:r>
          </w:p>
        </w:tc>
      </w:tr>
      <w:tr>
        <w:trPr>
          <w:trHeight w:val="22"/>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supplier relationships, permits, customer relationships and trademarks/tradenames and are anticipated to have estimated useful lives of between five and 20 years with a weighted average useful life of approximately 17 years. The excess of the total purchase price, which includes the aggregate cash consideration paid in excess of the fair value of the tangible and intangible assets acquired,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11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September 30, 2022 and pro forma revenue and earnings amounts on a combined basis as if this acquisition had been completed on January 1, 2021 are immaterial to the consolidated financial statements of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October 8, 2021, the Company completed the acquisition of LJ Energy Services Intermediate Holding Corp. and its subsidiaries (collectively, “HydroChemPSC”), a privately-owned company, for an all-cash purchase price of approximately $1.23 billion. HydroChemPSC is a leading U.S. provider of industrial cleaning, specialty maintenance and utilities services. These operations enhance and have been fully integrated into the Company's Environmental Services segment. In the first quarter of 2022, the Company received $5.0 million after finalizing the acquisition date working capital balances, which decreased the overall purchase price.</w:t>
      </w:r>
    </w:p>
    <w:p>
      <w:pPr>
        <w:spacing w:after="0" w:line="11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finalized the purchase accounting for the acquisition of HydroChemPSC. The allocation of the purchase price was based on estimates of the fair value of assets acquired and liabilities assumed as of October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following table summarizes the final determination and recognition of assets acquired and liabilities assumed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Final Allocation At</w:t>
            </w:r>
          </w:p>
        </w:tc>
      </w:tr>
      <w:tr>
        <w:trPr>
          <w:trHeight w:val="176"/>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Acquisition Date As</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 December 31,</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80" w:type="dxa"/>
            <w:vAlign w:val="bottom"/>
          </w:tcPr>
          <w:p>
            <w:pPr>
              <w:spacing w:after="0"/>
              <w:rPr>
                <w:sz w:val="14"/>
                <w:szCs w:val="14"/>
                <w:color w:val="auto"/>
              </w:rPr>
            </w:pP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204"/>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7"/>
                <w:szCs w:val="17"/>
                <w:color w:val="auto"/>
              </w:rPr>
            </w:pPr>
          </w:p>
        </w:tc>
        <w:tc>
          <w:tcPr>
            <w:tcW w:w="15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37"/>
        </w:trPr>
        <w:tc>
          <w:tcPr>
            <w:tcW w:w="59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131,516</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314,397</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34,415</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(118,854)</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(80,386)</w:t>
            </w:r>
          </w:p>
        </w:tc>
      </w:tr>
      <w:tr>
        <w:trPr>
          <w:trHeight w:val="257"/>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w:t>
            </w:r>
          </w:p>
        </w:tc>
      </w:tr>
      <w:tr>
        <w:trPr>
          <w:trHeight w:val="23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548,712</w:t>
            </w:r>
          </w:p>
        </w:tc>
      </w:tr>
      <w:tr>
        <w:trPr>
          <w:trHeight w:val="256"/>
        </w:trPr>
        <w:tc>
          <w:tcPr>
            <w:tcW w:w="592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(i)</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683,463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676,701</w:t>
            </w:r>
          </w:p>
        </w:tc>
      </w:tr>
      <w:tr>
        <w:trPr>
          <w:trHeight w:val="27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1,225,413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right="60" w:firstLine="656"/>
        <w:spacing w:after="0" w:line="255" w:lineRule="auto"/>
        <w:tabs>
          <w:tab w:leader="none" w:pos="8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fair value of the net assets acquired over the purchase price. Goodwill of $676.7 million was assigned to the Environmental Sales &amp; Service reporting unit and is attributable to the future economic benefits arising from the acquired operations, synergies and the acquired workforce of HydroChemPSC. None of the goodwill related to this acquisition will be deductible for tax purposes.</w:t>
      </w:r>
    </w:p>
    <w:p>
      <w:pPr>
        <w:spacing w:after="0" w:line="11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HydroChemPSC's results of operations have been included in the Company's financial statements for the period subsequent to the completion of the acquisition on October 8, 2021. The following unaudited supplemental pro-forma data presents consolidated information as if the acquisition had occurred on January 1, 2021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7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60" w:type="dxa"/>
            <w:vAlign w:val="bottom"/>
          </w:tcPr>
          <w:p>
            <w:pPr>
              <w:spacing w:after="0"/>
              <w:rPr>
                <w:sz w:val="16"/>
                <w:szCs w:val="16"/>
                <w:color w:val="auto"/>
              </w:rPr>
            </w:pP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37"/>
        </w:trPr>
        <w:tc>
          <w:tcPr>
            <w:tcW w:w="78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combined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3,246,249</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combined net income</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170,899</w:t>
            </w:r>
          </w:p>
        </w:tc>
      </w:tr>
    </w:tbl>
    <w:p>
      <w:pPr>
        <w:spacing w:after="0" w:line="23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 forma results do not include any costs incurred directly attributable to the acquisition of HydroChemPSC. The pro forma results do reflect impacts resulting from the issuance of $1.0 billion senior secured term loans issued in connection with the acquisition assuming interest rates in effect at the time of the acquisition.</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not necessarily indicative of the Company's consolidated operating results that would have been reported had the transactions been completed as described herein, nor is such information necessarily indicative of the Company's consolidated results for any future period. Interest expense used in calculating the pro forma net income did not contemplate the interest rate swaps that the Company put in place in early 2022.</w:t>
      </w:r>
    </w:p>
    <w:p>
      <w:pPr>
        <w:spacing w:after="0" w:line="11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27, 2021, the Company also acquired a privately-owned business for $22.8 million cash consideration. The acquired company increases the Safety-Kleen Sustainability Solutions segment's network within the south central United States. In connection with this acquisition, a final goodwill amount of $16.3 million was recognized.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DISPOSITION OF BUSINESS</w:t>
      </w:r>
    </w:p>
    <w:p>
      <w:pPr>
        <w:spacing w:after="0" w:line="14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June 30, 2022, the Company completed the sale of a line of business as part of its continuous focus on divesting certain non-core operations. The divested line of business was previously included within the Sales &amp; Services reporting unit of the Environmental Services segment. The Company determined that the disposition did not constitute a strategic shift and that the impact on the Company's overall operations and financial results will not be material. Accordingly, the operations associated with the disposal are not reported in discontinued operations. The final purchase price for the line of business was $18.8 million, after settling working capital. The gain on sale of $8.9 million, after accounting for the assets sold, liabilities transferred upon sale and transaction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is included in gain on sale of business in the Company’s consolidated statement of operations for the nine months ended September 30,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AND SUPPLIES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205,873</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551,795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 equipment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127,680</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912,836</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2,092,395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60,447</w:t>
            </w:r>
          </w:p>
        </w:tc>
      </w:tr>
      <w:tr>
        <w:trPr>
          <w:trHeight w:val="223"/>
        </w:trPr>
        <w:tc>
          <w:tcPr>
            <w:tcW w:w="7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4,141,585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2,417,940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2,278,410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r>
      <w:tr>
        <w:trPr>
          <w:trHeight w:val="21"/>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and $8.9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$88.8 million and $77.7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$9.1 million and $9.3 million, respectively.</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$75.3 million and $223.0 million for the three and nine months ended September 30, 2022, respectively. Depreciation expense, inclusive of landfill and finance lease amortization, was $63.9 million and $192.3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nine months ended September 30, 2022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1,227,042</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34,702</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from disposition of business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1,246,327</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decrease from disposition of business relates to the divestiture discussed in Note 5, "Disposition of Business." The Company assesses goodwill on an annual basis as of December 31 or at an interim date when events or changes in the business environment (“triggering events”) would more likely than not reduce the fair value of a reporting unit below its carrying value. During the period ended September 30, 2022, no such triggering events were identified.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Company's intangible assets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361,698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74,912</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521,721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990,851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369,017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621,834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981,455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644,912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$13.1 million and $37.6 million in the three and nine months ended September 30, 2022, respectively. Amortization expense of permits, customer and supplier relationships and other intangible assets was $7.6 million and $22.9 million in the three and nine months ended September 30, 2021, respectively.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September 30, 2022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(three months)</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45,682</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41,536</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37,703</w:t>
            </w:r>
          </w:p>
        </w:tc>
      </w:tr>
      <w:tr>
        <w:trPr>
          <w:trHeight w:val="230"/>
        </w:trPr>
        <w:tc>
          <w:tcPr>
            <w:tcW w:w="20" w:type="dxa"/>
            <w:vAlign w:val="bottom"/>
            <w:tcBorders>
              <w:bottom w:val="single" w:sz="8" w:color="CCEEFF"/>
            </w:tcBorders>
          </w:tcPr>
          <w:p>
            <w:pPr>
              <w:spacing w:after="0"/>
              <w:rPr>
                <w:sz w:val="19"/>
                <w:szCs w:val="19"/>
                <w:color w:val="auto"/>
              </w:rPr>
            </w:pPr>
          </w:p>
        </w:tc>
        <w:tc>
          <w:tcPr>
            <w:tcW w:w="9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322,485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87,835</w:t>
            </w: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decrease in the interest rate swap liability balance from December 31, 2021 is due to changes in future interest rate expectations. As of September 30, 2022, the interest rate swap derivatives are in an asset position and therefore are included within Other Assets on the consolidated balance sheet. For additional information relating to the interest rate swaps, see Note 12, "Financing Arrangements."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CLOSURE AND POST-CLOSURE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2022 through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106,772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2022, there were no significant charges or benefits resulting from changes in estimates for closure and post-closure liabilities.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asset retirement obligations incurred during the first nine months of 2022 were discounted at the credit-adjusted risk-free rate of 5.37%.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2022 through September 30, 2022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assumed in acquisition of real estate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 from a prior period acquisition</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117,268</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2022, there were no significant benefits or charges resulting from changes in estimates for remedial liabilities. The $8.1 million liability assumed in acquisition relates to real estate that the Company acquired in 2022. In purchasing the property, the Company assumed a known associated remedial liability, which was contemplated in the purchase price.</w:t>
      </w:r>
    </w:p>
    <w:p>
      <w:pPr>
        <w:spacing w:after="0" w:line="199" w:lineRule="exact"/>
        <w:rPr>
          <w:sz w:val="20"/>
          <w:szCs w:val="20"/>
          <w:color w:val="auto"/>
        </w:rPr>
      </w:pPr>
    </w:p>
    <w:p>
      <w:pPr>
        <w:ind w:right="8260" w:firstLine="8"/>
        <w:spacing w:after="0" w:line="417" w:lineRule="auto"/>
        <w:tabs>
          <w:tab w:leader="none" w:pos="34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Debt:</w:t>
            </w:r>
          </w:p>
        </w:tc>
        <w:tc>
          <w:tcPr>
            <w:tcW w:w="64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June 30, 2024 ("2024 Term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712,091</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 ("2028 Term Loans")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2,533,939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2,547,091</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2,507,946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2,517,024</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the estimated fair value of the Company’s outstanding long-term debt, including the current portion, was $2.5 billion and $2.6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$400.0 million revolving credit facility under which the Company had no outstanding loan balances as of September 30, 2022 and December 31, 2021. As of September 30, 2022, the Company had $292.6 million available to borrow under the revolving credit facility and outstanding letters of credit were $107.4 million. Subject to certain conditions, this credit facility will expire in October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Although the interest rates on the Term Loans are variable, the Company has effectively fixed the interest rate on $350.0 million principal of the outstanding 2024 Term Loans by entering into interest rate swap agreements in 2018 with a notional amount of $350.0 million ("2018 Swaps"). Under the terms of the 2018 Swaps, the Company receives interest based on the one-month LIBOR index and pays interest at a weighted average rate of approximately 2.92%, resulting in a fixed effective annual interest rate of approximately 4.67%.</w:t>
      </w:r>
    </w:p>
    <w:p>
      <w:pPr>
        <w:spacing w:after="0" w:line="11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January 2022, the Company entered into interest rate swap agreements ("2022 Swaps") with a notional amount of $600.0 million to effectively fix the interest rate on $600.0 million principal of the outstanding 2028 Term Loans. Under the terms of the 2022 Swaps' agreements, the Company will receive interest based upon the variable rates on the 2028 Term Loans and pay a fixed amount of interest. The fixed rate on these instruments is 0.931% through June 30, 2023 and then increases to 1.9645% from July 1, 2023 through September 30, 2027. The variable rate on these instruments is designed to both mirror the current 2028 Term Loan interest payments and the successor rate upon the eventual sunsetting of the LIBOR rate. Under the terms of the 2022 Swaps, the Company currently receives interest based on the one-month LIBOR index and pays interest at a weighted average rate of 0.931%, resulting in a fixed effective annual interest rate of approximately 2.931%.</w:t>
      </w:r>
    </w:p>
    <w:p>
      <w:pPr>
        <w:spacing w:after="0" w:line="1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both the 2018 Swaps and the 2022 Swaps (collectively referred to as the “Swaps”) as cash flow hedges. The Company recognizes the fair value of the derivative instruments by counterparty as either a net asset, included in Other Assets, or net liability, included in Accrued expenses and other current liabilities, on the consolidated balance sheets. As of September 30, 2022, the Company recorded a related derivative asset with a fair value of $65.3 million. As of December 31, 2021, the derivative liability totaled $17.4 million. The change in the fair value of the interest rate swap liability is mainly due to the passage of time and changes in future interest rate expectations.</w:t>
      </w:r>
    </w:p>
    <w:p>
      <w:pPr>
        <w:spacing w:after="0" w:line="1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Swaps are measured using discounted cash flow valuation methodologies based upon the yield curves of the relevant variable rate indexes that are observable at commonly quoted intervals for the term of the Swaps and as such is considered a Level 2 measure according to the fair value hierarchy.</w:t>
      </w:r>
    </w:p>
    <w:p>
      <w:pPr>
        <w:spacing w:after="0" w:line="10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 The Company’s effective tax rate for the three and nine months ended September 30, 2022 was 25.0%, compared to 24.8% and 26.3%, respectively, for the comparable periods in 2021.</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recorded $2.5 million and $5.5 million, respectively, of gross liabilities for unrecognized tax benefits and $1.8 million and $2.3 million, respectively, of accrued interest.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1"/>
        </w:trPr>
        <w:tc>
          <w:tcPr>
            <w:tcW w:w="5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329,270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154,254</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54,553</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outstanding stock awards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54,862</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3"/>
        </w:trPr>
        <w:tc>
          <w:tcPr>
            <w:tcW w:w="5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and 2021, all then outstanding performance awards and restricted stock awards were included in the calculation of diluted earnings per share except for 81,341 and 67,019, respectively, of performance stock awards for which the performance criteria were not attained at the reporting dates and 10,043 and 38,250, respectively, of restricted stock awards and performance awards which were excluded as their inclusion would have an antidilutive effect.</w:t>
      </w:r>
    </w:p>
    <w:p>
      <w:pPr>
        <w:spacing w:after="0" w:line="112"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and 2021, all then outstanding performance awards and restricted stock awards were included in the calculation of diluted earnings per share except for 81,341 and 67,019, respectively, of performance stock awards for which the performance criteria were not attained at the reporting dates and 13,500 and 39,750, respectively, of restricted stock awards and performance awards which were excluded as their inclusion would have an antidilutive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162"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nine months ended September 30, 2022 were as follows (in thousands):</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36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 Loss</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on Available-</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Gain on</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For-Sale</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40" w:type="dxa"/>
            <w:vAlign w:val="bottom"/>
          </w:tcPr>
          <w:p>
            <w:pPr>
              <w:spacing w:after="0"/>
              <w:rPr>
                <w:sz w:val="14"/>
                <w:szCs w:val="14"/>
                <w:color w:val="auto"/>
              </w:rPr>
            </w:pPr>
          </w:p>
        </w:tc>
        <w:tc>
          <w:tcPr>
            <w:tcW w:w="12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on Unfunded</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Pension Liability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39,132</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(171,567)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amount realized in the consolidated statement of operations during the three and nine months ended September 30, 2022 which was reclassified out of accumulated other comprehensive loss was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Other Comprehensive (Loss) Income Component</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Ended September 30,</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Ended September 30,</w:t>
            </w:r>
          </w:p>
        </w:tc>
        <w:tc>
          <w:tcPr>
            <w:tcW w:w="350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3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gain on interest rate hedges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Borders>
              <w:top w:val="single" w:sz="8" w:color="CCEEFF"/>
            </w:tcBorders>
            <w:shd w:val="clear" w:color="auto" w:fill="CCEEFF"/>
          </w:tcPr>
          <w:p>
            <w:pPr>
              <w:spacing w:after="0"/>
              <w:rPr>
                <w:sz w:val="19"/>
                <w:szCs w:val="19"/>
                <w:color w:val="auto"/>
              </w:rPr>
            </w:pPr>
          </w:p>
        </w:tc>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charged to selling, general and administrative expenses for the three and nine months ended September 30, 2022 was $7.8 million and $20.4 million, respectively. Total stock-based compensation cost charged to selling, general and administrative expenses for the three and nine months ended September 30, 2021 was $6.0 million and $12.8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respectively. The total income tax benefit recognized in the consolidated statements of operations from stock-based compensation expense for the three and nine months ended September 30, 2022 was $1.5 million and $3.8 million, respectively. The total income tax benefit recognized in the consolidated statements of operations from stock-based compensation expense for the three and nine months ended September 30, 2021 was $1.3 million and $2.8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nine months ended September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there was $28.2 million of total unrecognized compensation cost arising from restricted stock awards. This cost is expected to be recognized over a weighted average period of 2.7 years. The total fair value of restricted stock vested during the three and nine months ended September 30, 2022 was $9.1 million and $14.7 million, respectively. The total fair value of restricted stock vested during the three and nine months ended September 30, 2021 was $7.4 million and $16.3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4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Committee of the Company's Board of Directors prior to or at the date of grant. The vesting of the performance stock awards is based on achieving targets currently based on revenue, Adjusted EBITDA, Adjusted EBITDA Margin, Return on Invested Capital and Total Recordable Incident Rate. In addition, performance stock awards include continued service conditions.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nine months ended September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there was $12.5 million of total unrecognized compensation cost arising from unvested performance stock awards deemed probable of vesting. The total fair value of performance awards vested during the three months ended September 30, 2022 was $1.0 million. No performance awards vested during the three months ended September 30, 2021. The total fair value of performance awards vested during the nine months ended September 30, 2022 and September 30, 2021 was $4.7 million and $6.4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14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1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September 30, 2022 and December 31, 2021, the Company had recorded reserves of $39.3 million and $36.1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September 30, 2022 and December 31, 2021, the $39.3 million and $36.1 million, respectively, of reserves consisted of (i) $23.6 million and $24.1 million, respectively, related to pending legal or administrative proceedings, including Superfund liabilities, which were included in remedial liabilities on the consolidated balance sheets, and (ii) $15.7 million and $12.0 million, respectively, which were included in accrued expenses and other current liabilities on the consolidated balance sheets and primarily related to general legal matters as well as federal, state and provincial enforcement actions.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2022, the Company's principal legal and administrative proceedings were as follows:</w:t>
      </w:r>
    </w:p>
    <w:p>
      <w:pPr>
        <w:spacing w:after="0" w:line="1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Ville Mercier. </w:t>
      </w:r>
      <w:r>
        <w:rPr>
          <w:rFonts w:ascii="Times New Roman" w:cs="Times New Roman" w:eastAsia="Times New Roman" w:hAnsi="Times New Roman"/>
          <w:sz w:val="18"/>
          <w:szCs w:val="18"/>
          <w:color w:val="auto"/>
        </w:rPr>
        <w:t>In September 2002, the Company acquired the stock of a subsidiary (the "Mercier Subsidiary") which owns a 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a future material effect on its financial position, results of operations or cash flows.</w:t>
      </w:r>
    </w:p>
    <w:p>
      <w:pPr>
        <w:spacing w:after="0" w:line="12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Liability Cases. </w:t>
      </w:r>
      <w:r>
        <w:rPr>
          <w:rFonts w:ascii="Times New Roman" w:cs="Times New Roman" w:eastAsia="Times New Roman" w:hAnsi="Times New Roman"/>
          <w:sz w:val="18"/>
          <w:szCs w:val="18"/>
          <w:color w:val="auto"/>
        </w:rPr>
        <w:t>On December 28, 2012, the Company acquired Safety-Kleen, Inc. ("Safety-Kleen") and thereby became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proceedings in which Safety-Kleen was a party on that date. In addition to certain Superfund proceedings in which Safety-Kleen has been named as a potentially responsible party as described below under “Superfund Proceedings,” Safety-Kleen has been named as a defendant in various product liability lawsuits that are currently pending in various courts and jurisdictions throughout the United States. As of September 30, 2022, Safety-Kleen has been named in approximately 59 outstanding proceedings (excluding cases which have been settled but not formally dismissed),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10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September 30, 2022. From January 1, 2022 to September 30, 2022, 13 product liability claims were settled or dismissed. Due to the nature of these claims and the related insurance, the Company did not incur any expense as insurance provided coverage in full for all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60"/>
        <w:spacing w:after="0" w:line="414" w:lineRule="auto"/>
        <w:rPr>
          <w:sz w:val="20"/>
          <w:szCs w:val="20"/>
          <w:color w:val="auto"/>
        </w:rPr>
      </w:pPr>
      <w:r>
        <w:rPr>
          <w:rFonts w:ascii="Times New Roman" w:cs="Times New Roman" w:eastAsia="Times New Roman" w:hAnsi="Times New Roman"/>
          <w:sz w:val="18"/>
          <w:szCs w:val="18"/>
          <w:color w:val="auto"/>
        </w:rPr>
        <w:t xml:space="preserve">Safety-Kleen may be named in similar, additional lawsuits in the future, including claims for which insurance coverage may not be available. </w:t>
      </w:r>
      <w:r>
        <w:rPr>
          <w:rFonts w:ascii="Times New Roman" w:cs="Times New Roman" w:eastAsia="Times New Roman" w:hAnsi="Times New Roman"/>
          <w:sz w:val="18"/>
          <w:szCs w:val="18"/>
          <w:b w:val="1"/>
          <w:bCs w:val="1"/>
          <w:i w:val="1"/>
          <w:iCs w:val="1"/>
          <w:color w:val="auto"/>
        </w:rPr>
        <w:t>Superfund Proceedings</w:t>
      </w:r>
    </w:p>
    <w:p>
      <w:pPr>
        <w:spacing w:after="0" w:line="1"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Company has been notified that either the Company or the prior owners of certain of the Company's facilities for which the Company may have certain indemnification obligations have been identified as potentially responsible parties ("PRPs") or potential PRPs in connection with 131 sites which are subject to or are proposed to become subject to proceedings under federal or state Superfund laws. Of the 131 Superfund related sites, six (including the BR Facility described below) involve facilities that are now owned or leased by the Company and 125 involve third-party sites to which either the Company or the prior owners of certain of the Company’s facilities shipped wastes. Of the 125 third-party sites, 30 are now settled, 16 are currently requiring expenditures on remediation and 79 are not currently requiring expenditures on remediation.</w:t>
      </w:r>
    </w:p>
    <w:p>
      <w:pPr>
        <w:spacing w:after="0" w:line="1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 million at three of the 131 Superfund related sites.</w:t>
      </w:r>
    </w:p>
    <w:p>
      <w:pPr>
        <w:spacing w:after="0" w:line="12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 Facility. </w:t>
      </w:r>
      <w:r>
        <w:rPr>
          <w:rFonts w:ascii="Times New Roman" w:cs="Times New Roman" w:eastAsia="Times New Roman" w:hAnsi="Times New Roman"/>
          <w:sz w:val="18"/>
          <w:szCs w:val="18"/>
          <w:color w:val="auto"/>
        </w:rPr>
        <w:t>The Company acquired in 2002 a former hazardous waste incinerator and landfill in Baton Rouge (the "BR Facility"),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feasibility study for Devil's Swamp under the order issued by the EPA at which point the feasibility study, with several remedial alternatives, was submitted to the EPA for review. During 2020, the EPA signed a Record of Decision which defined the remediation alternative selected and approved by the EPA and in return, the Company increased the estimated remedial liability for this inactive site by $3.3 million. Changes in the natural landscape and/or new information identified during the remediation could impact this estimate; however, any such changes are not expected to have a future material effect on the Company's financial position, liquidity or results of operation.</w:t>
      </w:r>
    </w:p>
    <w:p>
      <w:pPr>
        <w:spacing w:after="0" w:line="10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Third-Party Sites. </w:t>
      </w:r>
      <w:r>
        <w:rPr>
          <w:rFonts w:ascii="Times New Roman" w:cs="Times New Roman" w:eastAsia="Times New Roman" w:hAnsi="Times New Roman"/>
          <w:sz w:val="18"/>
          <w:szCs w:val="18"/>
          <w:color w:val="auto"/>
        </w:rPr>
        <w:t>Of the 125 third-party Superfund sites at which the Company has been notified it is a PRP or potential PRP or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obligations, the Company has an indemnification agreement at a total of 17 sites. These agreements indemnify the Company (which now includes Safety-Kleen) with respect to any liability at the 17 sites for waste disposed prior to the Company's (or Safety-Kleen's) acquisition of the former subsidiaries of Waste Management and McKesson.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and McKesson, the Company does not have an indemnity agreement with respect to any of the 125 third-party sites discussed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September 30, 2022 and December 31, 2021, there were two proceedings for which the Company reasonably believes that the sanctions could equal or exceed $1.0 million. The Company believes that the fines or other penalties in these or any of the other regulatory proceedings will not, individually or in the aggregate, have a material effect on its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 (i) the Environmental Services segment and (ii) the Safety-Kleen Sustainability Solutions segment.</w:t>
      </w:r>
    </w:p>
    <w:p>
      <w:pPr>
        <w:spacing w:after="0" w:line="9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Transactions between the segments are accounted for at the Company’s best estimate based on similar transactions with outside customers. The intersegment revenues are shown net. The operations not managed through the Company’s operating segments described above are recorded as “Corporate Items.”</w:t>
      </w:r>
    </w:p>
    <w:p>
      <w:pPr>
        <w:spacing w:after="0" w:line="11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third-party revenues to direct revenues for the three and nine months ended September 30, 2022 and 2021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10"/>
          </w:tcPr>
          <w:p>
            <w:pPr>
              <w:jc w:val="center"/>
              <w:ind w:left="674"/>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10"/>
          </w:tcPr>
          <w:p>
            <w:pPr>
              <w:jc w:val="center"/>
              <w:ind w:left="654"/>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Third-party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20" w:type="dxa"/>
            <w:vAlign w:val="bottom"/>
          </w:tcPr>
          <w:p>
            <w:pPr>
              <w:spacing w:after="0"/>
              <w:rPr>
                <w:sz w:val="13"/>
                <w:szCs w:val="13"/>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3"/>
                <w:szCs w:val="13"/>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1,080,032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1,086,484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743,831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745,633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1,363,086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1,363,086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951,479</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951,479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10"/>
          </w:tcPr>
          <w:p>
            <w:pPr>
              <w:jc w:val="center"/>
              <w:ind w:left="594"/>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0"/>
          </w:tcPr>
          <w:p>
            <w:pPr>
              <w:jc w:val="center"/>
              <w:ind w:left="594"/>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2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2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3,105,336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3,124,672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2,119,856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3,888,507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3,888,507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provision for income taxes and excludes other gains, losses or non-cash charges not deemed representative of fundamental segment results and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8"/>
                <w:szCs w:val="18"/>
                <w:color w:val="auto"/>
              </w:rPr>
            </w:pPr>
          </w:p>
        </w:tc>
        <w:tc>
          <w:tcPr>
            <w:tcW w:w="252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9"/>
        </w:trPr>
        <w:tc>
          <w:tcPr>
            <w:tcW w:w="5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260,687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713,630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482,766</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165,756</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(146,216)</w:t>
            </w:r>
          </w:p>
        </w:tc>
      </w:tr>
      <w:tr>
        <w:trPr>
          <w:trHeight w:val="223"/>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502,306</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12,786</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215,206</w:t>
            </w:r>
          </w:p>
        </w:tc>
      </w:tr>
      <w:tr>
        <w:trPr>
          <w:trHeight w:val="22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265,689</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53,953</w:t>
            </w: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181,110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209,227</w:t>
            </w:r>
          </w:p>
        </w:tc>
      </w:tr>
      <w:tr>
        <w:trPr>
          <w:trHeight w:val="21"/>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those items identified as "Risk Factors,” in this report under Item 1A and in our Annual Report on Form 10-K filed with the Securities and Exchange Commission ("SEC") on February 23, 2022,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Clean Harbors undertakes no obligation to revise or publicly release the results of any revision to these forward-looking statements other than through its filings with the SEC, which may be viewed in the "Investors" section of the Clean Harbors website.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This diverse customer base includes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the largest re-refiner and recycler of used oil in North America and the largest provider of parts washer and related environmental services to commercial, industrial and automotive customers in North America.</w:t>
      </w:r>
    </w:p>
    <w:p>
      <w:pPr>
        <w:spacing w:after="0" w:line="1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right="80" w:hanging="324"/>
        <w:spacing w:after="0" w:line="253"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customer demand for waste services, waste volumes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such services and project work for which waste handling and/or disposal is required. Environmental Services results are also impacted by the demand for planned and unplanned industrial related cleaning and maintenance services at customer sites and environmental cleanup services on a scheduled or emergency basis, including response to national events such as major chemical spills, natural disasters, or other events where immediate and specialized services are required, including our contagion disinfection, decontamination and disposal services. With the addition of the Safety-Kleen core service offerings, (e.g. containerized waste disposal, parts washer and vacuum services), the Environmental Services results are further impacted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number of parts washer services performed, among other key metrics. Levels of activity and ultimate performance associated with this segment can be impacted by several factors including overall U.S. GDP, U.S. industrial production, economic conditions in the automotive, manufacturing and other industrial markets, weather conditions, efficiency of our operations, technology, changing regulations, competition, market pricing of our services, costs incurred to deliver our services and the management of our related operating costs.</w:t>
      </w:r>
    </w:p>
    <w:p>
      <w:pPr>
        <w:spacing w:after="0" w:line="117"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segment results are impacted by our customers' demand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high-quality, environmentally responsible recycled oil products and their demand for our related service offerings and products. Safety-Kleen Sustainability Solutions offers high quality recycled KLEEN+ base oils and various blended oil products to end users including fleet customers, distributors and manufacturers of oil products.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Segment results are impacted by overall demand as well as product mix as it relates to these oil products. Segment results are also predicated on the demand for the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the management of our related operating costs and the availability of raw materials including used oil and additives.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 and other regulations related to the burning of used motor oil as a fuel, both impact the premium the segment can charge for used oil collections.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4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Total revenues for the three and nine months ended September 30, 2022 were $1,363.1 million and $3,888.5 million, compared with $951.5 million and $2,686.1 million for the three and nine months ended September 30, 2021. Our Environmental Services segment direct revenues increased $340.9 million and $1,000.3 million or 45.7% and 47.1% from the comparable periods in 2021. Our acquisition of HydroChemPSC on October 8, 2021, contributed to increases in both our industrial services and field and emergency response service offerings within the Environmental Services segment for the three and nine months ended September 30, 2022. Continued demand for our disposal network and pricing initiatives across the business also contributed meaningfully to the overall growth in this segment. Specifically, approximately one-third of the total revenue growth in the segment was driven by growth within our technical services and Safety-Kleen environmental services revenue streams, neither of which were impacted by the acquisition of HydroChemPSC. In the three and nine months ended September 30, 2022, our Safety-Kleen Sustainability Solutions segment direct revenues increased $70.5 million and $201.9 million or 34.3% and 35.9% from the comparable periods in 2021 predominately due to higher pricing of our base and blended oil products. Foreign currency translation of our Canadian operations negatively impacted our consolidated direct revenues by $6.5 million and $13.7 million in the three and nine months ended September 30, 2022.</w:t>
      </w:r>
    </w:p>
    <w:p>
      <w:pPr>
        <w:spacing w:after="0" w:line="12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the three and nine months ended September 30, 2022, costs have increased in both the Environmental Services and Safety-Kleen Sustainability Solutions segments when comparing to the prior year given the increase in business levels, revenue mix, inflationary pressures seen across several cost categories and supply chain constraints. Our business began seeing the impact of macroeconomic factors including inflationary pressures and supply chain constraints in 2021 and these factors continue to impact the business operations. Supply chain challenges for additives and other materials used in the oil re-refining process have delayed production, added costs and shifted the product mix within our Safety-Kleen Sustainability Solutions segment. Similarly within the Environmental Services segment, supply chain challenges have delayed fleet and equipment delivery, increasing rental and external transportation costs. Strategic decisions made in connection with these challenges drove increased investment in and levels of certain supplies related inventory which have increased overall working capital of the Company. We believe that this investment will also mitigate future potential supply chain constraints.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combating inflationary pressures across both segments and our Corporate operations, in recent quarters we have executed upon cost control initiatives, to the greatest extent possible, as well as strategic pricing initiatives with customers. As a result of these focused efforts, our quarterly operating margins have improved in 2022 as compared to quarters prior to the implementation of these initiatives.</w:t>
      </w:r>
    </w:p>
    <w:p>
      <w:pPr>
        <w:spacing w:after="0" w:line="9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reported income from operations for the three and nine months ended September 30, 2022 of $209.1 million and $507.4 million, compared with $104.8 million and $265.7 million in the three and nine months ended September 30, 2021, representing increases of 99.4% and 91.0%, respectively. Net income for the three and nine months ended September 30, 2022 was $135.8 million and $329.3 million, compared with net income of $65.4 million and $154.3 million in the three and nine months ended September 30, 2021, representing increases of 107.5% and 113.5%, respectively.</w:t>
      </w:r>
    </w:p>
    <w:p>
      <w:pPr>
        <w:spacing w:after="0" w:line="11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Adjusted EBITDA, which is the primary financial measure by which our segments are evaluated, increased 66.7% to $308.6 million in the three months ended September 30, 2022 from $185.1 million in the three months ended September 30, 2021 and increased 58.8% to $797.9 million in the nine months ended September 30, 2022 from $502.3 million in the nine months ended September 30, 2021. This improved performance was driven by the increased revenue levels in both segments noted above, including the acquisition of HydroChemPSC, focused pricing initiatives in the Environmental Services segment, strong spread management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it relates to the pricing of base oil products and used motor oil collection services in the Safety-Kleen Sustainability Solutions segment and cost control initiatives across the entire business. Additional information, including a reconciliation of Adjusted EBITDA to net income, appears below under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nine months ended September 30, 2022 was $357.5 million, as compared to net cash from operating activities of $368.2 million in the comparable period of 2021. Adjusted free cash flow, which management uses to measure our financial strength and ability to generate cash, was $118.1 million in the nine months ended September 30, 2022 as compared to $238.0 million in the comparable period of 2021. These expected decreases in our cash flows were the result of an increase in working capital arising from our significant growth in the business and strategic inventory management decisions, comparatively higher incentive compensation and interest payments and higher levels of cash spending on the acquisition of property, plant and equipment, partially offset by higher operating income. Additional information, including a reconciliation of adjusted free cash flow to net cash from operating activities, appears below under </w:t>
      </w:r>
      <w:r>
        <w:rPr>
          <w:rFonts w:ascii="Times New Roman" w:cs="Times New Roman" w:eastAsia="Times New Roman" w:hAnsi="Times New Roman"/>
          <w:sz w:val="18"/>
          <w:szCs w:val="18"/>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primary financial measure by which we evaluate the performance of our segments is Adjusted EBITDA, as described below under </w:t>
      </w:r>
      <w:r>
        <w:rPr>
          <w:rFonts w:ascii="Times New Roman" w:cs="Times New Roman" w:eastAsia="Times New Roman" w:hAnsi="Times New Roman"/>
          <w:sz w:val="18"/>
          <w:szCs w:val="18"/>
          <w:i w:val="1"/>
          <w:iCs w:val="1"/>
          <w:color w:val="auto"/>
        </w:rPr>
        <w:t>"Adjusted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The following table sets forth certain financial information associated with our results of operations for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September 30, 2021 (in thousands, except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gridSpan w:val="2"/>
          </w:tcPr>
          <w:p>
            <w:pPr>
              <w:jc w:val="center"/>
              <w:ind w:left="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11"/>
        </w:trPr>
        <w:tc>
          <w:tcPr>
            <w:tcW w:w="198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 xml:space="preserve">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1,086,484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745,633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340,851</w:t>
            </w:r>
          </w:p>
        </w:tc>
        <w:tc>
          <w:tcPr>
            <w:tcW w:w="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3,124,672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2,124,332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1,000,340</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276,319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205,787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70,532</w:t>
            </w:r>
          </w:p>
        </w:tc>
        <w:tc>
          <w:tcPr>
            <w:tcW w:w="80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763,401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561,536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201,865</w:t>
            </w:r>
          </w:p>
        </w:tc>
        <w:tc>
          <w:tcPr>
            <w:tcW w:w="8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35.9</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1,363,086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951,479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411,607</w:t>
            </w:r>
          </w:p>
        </w:tc>
        <w:tc>
          <w:tcPr>
            <w:tcW w:w="8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3,888,507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2,686,085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1,202,422</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44.8</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746,869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516,340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230,529</w:t>
            </w:r>
          </w:p>
        </w:tc>
        <w:tc>
          <w:tcPr>
            <w:tcW w:w="8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2,175,864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1,454,852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721,012</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49.6</w:t>
            </w:r>
          </w:p>
        </w:tc>
        <w:tc>
          <w:tcPr>
            <w:tcW w:w="0" w:type="dxa"/>
            <w:vAlign w:val="bottom"/>
          </w:tcPr>
          <w:p>
            <w:pPr>
              <w:spacing w:after="0"/>
              <w:rPr>
                <w:sz w:val="1"/>
                <w:szCs w:val="1"/>
                <w:color w:val="auto"/>
              </w:rPr>
            </w:pPr>
          </w:p>
        </w:tc>
      </w:tr>
      <w:tr>
        <w:trPr>
          <w:trHeight w:val="162"/>
        </w:trPr>
        <w:tc>
          <w:tcPr>
            <w:tcW w:w="19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12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154,753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119,332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35,421</w:t>
            </w:r>
          </w:p>
        </w:tc>
        <w:tc>
          <w:tcPr>
            <w:tcW w:w="80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457,790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350,733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107,057</w:t>
            </w:r>
          </w:p>
        </w:tc>
        <w:tc>
          <w:tcPr>
            <w:tcW w:w="8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30.5</w:t>
            </w: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5,466</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6,783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1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910,648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639,232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271,416</w:t>
            </w:r>
          </w:p>
        </w:tc>
        <w:tc>
          <w:tcPr>
            <w:tcW w:w="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2,652,506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1,817,654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834,852</w:t>
            </w:r>
          </w:p>
        </w:tc>
        <w:tc>
          <w:tcPr>
            <w:tcW w:w="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45.9</w:t>
            </w: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Selling, General &amp;</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 Expenses: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62,822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16,106</w:t>
            </w:r>
          </w:p>
        </w:tc>
        <w:tc>
          <w:tcPr>
            <w:tcW w:w="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186,714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48,464</w:t>
            </w:r>
          </w:p>
        </w:tc>
        <w:tc>
          <w:tcPr>
            <w:tcW w:w="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26.0</w:t>
            </w: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2,765</w:t>
            </w:r>
          </w:p>
        </w:tc>
        <w:tc>
          <w:tcPr>
            <w:tcW w:w="80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53,568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8,521</w:t>
            </w:r>
          </w:p>
        </w:tc>
        <w:tc>
          <w:tcPr>
            <w:tcW w:w="8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18.9</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54,373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54,697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(324)</w:t>
            </w:r>
          </w:p>
        </w:tc>
        <w:tc>
          <w:tcPr>
            <w:tcW w:w="8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7"/>
              </w:rPr>
              <w:t>(0.6)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169,746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147,150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22,596</w:t>
            </w:r>
          </w:p>
        </w:tc>
        <w:tc>
          <w:tcPr>
            <w:tcW w:w="8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15.4</w:t>
            </w: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151,711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18,547</w:t>
            </w:r>
          </w:p>
        </w:tc>
        <w:tc>
          <w:tcPr>
            <w:tcW w:w="8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458,492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378,911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79,581</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21.0</w:t>
            </w:r>
          </w:p>
        </w:tc>
        <w:tc>
          <w:tcPr>
            <w:tcW w:w="0" w:type="dxa"/>
            <w:vAlign w:val="bottom"/>
          </w:tcPr>
          <w:p>
            <w:pPr>
              <w:spacing w:after="0"/>
              <w:rPr>
                <w:sz w:val="1"/>
                <w:szCs w:val="1"/>
                <w:color w:val="auto"/>
              </w:rPr>
            </w:pPr>
          </w:p>
        </w:tc>
      </w:tr>
      <w:tr>
        <w:trPr>
          <w:trHeight w:val="21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260,687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94,216</w:t>
            </w:r>
          </w:p>
        </w:tc>
        <w:tc>
          <w:tcPr>
            <w:tcW w:w="8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713,630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482,766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230,864</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47.8</w:t>
            </w:r>
          </w:p>
        </w:tc>
        <w:tc>
          <w:tcPr>
            <w:tcW w:w="0" w:type="dxa"/>
            <w:vAlign w:val="bottom"/>
          </w:tcPr>
          <w:p>
            <w:pPr>
              <w:spacing w:after="0"/>
              <w:rPr>
                <w:sz w:val="1"/>
                <w:szCs w:val="1"/>
                <w:color w:val="auto"/>
              </w:rPr>
            </w:pPr>
          </w:p>
        </w:tc>
      </w:tr>
      <w:tr>
        <w:trPr>
          <w:trHeight w:val="162"/>
        </w:trPr>
        <w:tc>
          <w:tcPr>
            <w:tcW w:w="19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12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103,156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70,810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32,346</w:t>
            </w:r>
          </w:p>
        </w:tc>
        <w:tc>
          <w:tcPr>
            <w:tcW w:w="80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252,043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165,756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86,287</w:t>
            </w:r>
          </w:p>
        </w:tc>
        <w:tc>
          <w:tcPr>
            <w:tcW w:w="82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52.1</w:t>
            </w: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(55,288)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(52,197)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(3,091)</w:t>
            </w:r>
          </w:p>
        </w:tc>
        <w:tc>
          <w:tcPr>
            <w:tcW w:w="8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7"/>
              </w:rPr>
              <w:t>(5.9)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(167,789)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(146,216)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(21,573)</w:t>
            </w:r>
          </w:p>
        </w:tc>
        <w:tc>
          <w:tcPr>
            <w:tcW w:w="8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7"/>
        </w:trPr>
        <w:tc>
          <w:tcPr>
            <w:tcW w:w="1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308,555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185,084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123,471</w:t>
            </w:r>
          </w:p>
        </w:tc>
        <w:tc>
          <w:tcPr>
            <w:tcW w:w="8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797,884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502,306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295,578</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Adjusted EBITDA as a %</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of Direct Revenues: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20" w:type="dxa"/>
            <w:vAlign w:val="bottom"/>
          </w:tcPr>
          <w:p>
            <w:pPr>
              <w:spacing w:after="0"/>
              <w:rPr>
                <w:sz w:val="18"/>
                <w:szCs w:val="18"/>
                <w:color w:val="auto"/>
              </w:rPr>
            </w:pP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Pr>
          <w:p>
            <w:pPr>
              <w:spacing w:after="0"/>
              <w:rPr>
                <w:sz w:val="18"/>
                <w:szCs w:val="18"/>
                <w:color w:val="auto"/>
              </w:rPr>
            </w:pP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340" w:hanging="328"/>
        <w:spacing w:after="0" w:line="260"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There are many factors which have impacted and continue to impact our revenues including, but not limited to: overall levels of industrial activity and economic growth in North America, existence or non-existence of large scale environmental waste and remediation projects, competitive industry pricing, miles driven and related lubricant demand, impacts of acquisitions and divestitures, the level of emergency response services, captive incinerator closures, government infrastructure investment, weather related events, base and blended oil pricing, market changes relative to the collection of used oil, our ability to manage the spread between oil product prices and prices for the collection of used oil, the number of parts washers placed at customer sites and foreign currency translation. In addition, customer efforts to minimize hazardous waste and changes in regulation can also impact our revenues.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6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60" w:type="dxa"/>
            <w:vAlign w:val="bottom"/>
            <w:gridSpan w:val="3"/>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9"/>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20" w:type="dxa"/>
            <w:vAlign w:val="bottom"/>
            <w:tcBorders>
              <w:top w:val="single" w:sz="8" w:color="auto"/>
            </w:tcBorders>
            <w:gridSpan w:val="2"/>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tcPr>
          <w:p>
            <w:pPr>
              <w:ind w:left="3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1,086,484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745,633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340,851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3,124,672</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2,124,332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1,000,340</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firstLine="648"/>
        <w:spacing w:after="0" w:line="272" w:lineRule="auto"/>
        <w:rPr>
          <w:sz w:val="20"/>
          <w:szCs w:val="20"/>
          <w:color w:val="auto"/>
        </w:rPr>
      </w:pPr>
      <w:r>
        <w:rPr>
          <w:rFonts w:ascii="Times New Roman" w:cs="Times New Roman" w:eastAsia="Times New Roman" w:hAnsi="Times New Roman"/>
          <w:sz w:val="17"/>
          <w:szCs w:val="17"/>
          <w:color w:val="auto"/>
        </w:rPr>
        <w:t>Environmental Services direct revenues for the three months ended September 30, 2022 increased $340.9 million from the comparable period in 2021. With the acquisition of HydroChemPSC, our industrial services and field and emergency response services direct revenues grew. In addition, our technical services and Safety-Kleen environmental revenue streams, which were not impacted by the acquisition of HydroChemPSC, grew 29.4% and</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21.5% respectively. More specifically, direct revenues of our industrial service offerings increased $179.1 million most notably focused in revenue streams associated with the HydroChemPSC operations including vacuum services, hydroblasting and industrial cleaning. Technical services revenues increased $89.1 million largely due to higher collection and throughput of waste streams at our facilities including higher value waste streams at our incinerators coupled with pricing initiatives across the business. Higher volumes, throughput efficiencies and fewer down days at our incinerators drove an increase in utilization from 82% in the third quarter of 2021 to 86% in the third quarter of 2022. We also saw an increase in landfill volumes in the third quarter of 2022 as compared to the third quarter of 2021. Field and emergency response services revenues increased approximately $36.8 million largely due to contributions from the HydroChemPSC operations, despite a $5.2 million decrease in COVID-19 decontamination service revenues. Direct revenues for the Safety-Kleen core service offerings increased $35.9 million from the comparable period in 2021 due to improved pricing and greater demand for these containerized waste, parts washer and vacuum services. The Canadian operations of the Environmental Services segment were negatively impacted by $4.7 million due to foreign currency translation.</w:t>
      </w:r>
    </w:p>
    <w:p>
      <w:pPr>
        <w:spacing w:after="0" w:line="1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nine months ended September 30, 2022 increased $1,000.3 million from the comparable period in 2021. Consistent with the discussion above, revenues associated with HydroChemPSC operations within industrial services and field and emergency response services drove much of this increase, however, Technical services and Safety-Kleen environmental services offerings grew organically by 25.1% and 18.4%, respectively. Direct revenues of our industrial service offerings increased $567.3 million which was due to increases in revenue streams associated with the HydroChemPSC operations. Technical services revenues increased $244.5 million largely due to higher throughput at our facilities and higher value waste streams at our incinerators coupled with pricing initiatives. Utilization at our incinerators increased from 83% in the nine months ended September 30, 2021 to 87% in the nine months ended September 30, 2022 largely driven by increased volumes, throughput efficiencies and fewer down days. We also saw an increase in landfill volumes in the nine months of 2022 as compared to the first nine months of 2021. Field and emergency response services revenues increased approximately $104.2 million, mainly due to contributions from the HydroChemPSC business, despite a $30.9 million decrease in COVID-19 decontamination service revenues. Direct revenues for the Safety-Kleen core service offerings increased $83.9 million from the comparable period in 2021 due to improved pricing and greater demand for our containerized waste, vacuum services and parts washer services. The Canadian operations of the Environmental Services segment were negatively impacted by $10.5 million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2180" w:type="dxa"/>
            <w:vAlign w:val="bottom"/>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9"/>
                <w:szCs w:val="19"/>
                <w:color w:val="auto"/>
              </w:rPr>
            </w:pPr>
          </w:p>
        </w:tc>
        <w:tc>
          <w:tcPr>
            <w:tcW w:w="1840" w:type="dxa"/>
            <w:vAlign w:val="bottom"/>
            <w:gridSpan w:val="3"/>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20" w:type="dxa"/>
            <w:vAlign w:val="bottom"/>
            <w:tcBorders>
              <w:top w:val="single" w:sz="8" w:color="auto"/>
            </w:tcBorders>
            <w:gridSpan w:val="2"/>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tcPr>
          <w:p>
            <w:pPr>
              <w:ind w:left="3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276,319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205,787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70,532</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763,401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561,536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Safety-Kleen Sustainability Solutions direct revenues for the three months ended September 30, 2022 increased $70.5 million from the comparable period in 2021 predominately due to higher pricing of our base and blended oil products. For the three months ended September 30, 2022, base oil sales revenues increased $48.2 million from the comparable period in 2021 mainly due to pricing increases and, to a lesser extent, an increase in volumes sold. Pricing also drove an increase in revenues from recycled fuel oil and refinery byproducts of $20.6 million and an increase in blended oil sales of $6.5 million. In the three months ended September 30, 2022, the Canadian operations of the Safety-Kleen Sustainability Solutions segment were negatively impacted by $1.8 million due to foreign currency translation.</w:t>
      </w:r>
    </w:p>
    <w:p>
      <w:pPr>
        <w:spacing w:after="0" w:line="1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2022, the overall direct revenue increase of $201.9 million was largely due to a $146.4 million increase in base oil sales driven by higher pricing across a relatively consistent volume sold. Revenues from recycled fuel oil and refinery byproducts increased $35.1 million in the nine months ended September 30, 2022 when compared to 2021 and revenues from blended oil sales increased $33.6 million due to higher pricing which more than offset lower volumes sold. The volume of used oil collected increased, however, revenue from the collection of used motor oil decreased $8.8 million. This decrease is in line with expectations given the inverse correlation between movements in base oil pricing and the market prices associated with our used oil collection services. The Canadian operations of the Safety-Kleen Sustainability Solutions segment were negatively impacted by $3.2 million in the nine months ended September 30, 2022 due to foreign currency translation.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the current macroeconomic inflationary pressures across several cost categories, but most notably related to internal and external labor, transportation, general supplies and energy related costs. We aim to manage these increases through constant cost monitoring as well as our overall customer pricing strategies designed to offset the negative inflationary impacts on our margins.</w:t>
      </w:r>
    </w:p>
    <w:p>
      <w:pPr>
        <w:spacing w:after="0" w:line="11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invest in new business opportunities and aggressively implement strategic sourcing and logistics solutions in the face of these inflationary pressures, while also continuing to optimize our management and operating structure in an effort to manage our operating margins.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8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34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8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2"/>
        </w:trPr>
        <w:tc>
          <w:tcPr>
            <w:tcW w:w="20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20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20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746,869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516,340</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230,529</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44.6 %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2,175,864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1,454,852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721,012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23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September 30, 2022 increased $230.5 million from the comparable period in 2021, primarily due to the increase in direct revenues noted above, including additional costs from the HydroChemPSC operations. Cost of revenues as a percentage of direct revenues for the three months ended September 30, 2022 remained relatively consistent with the three months ended September 30, 2021 despite lower COVID-19 decontamination services and the growth of our industrial services offerings which typically operate at a lower margin than our waste disposal focused offerings. Overall, labor and benefit related costs increased $122.4 million, equipment and supply costs increased $45.7 million and external transportation, vehicle and fuel costs increased $38.5 million. These increases were driven by a combination of increased business, including the addition of HydroChemPSC, and inflationary pressures.</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cost of revenues for the nine months ended September 30, 2022 increased $721.0 million from the comparable period in 2021, primarily due to the increase in direct revenues noted above, including additional costs from the HydroChemPSC operations and inflationary pressures. Cost of revenues as a percentage of direct revenues increased 1.1% from the comparable period in the prior year mainly due to the mix of services, most notably lower COVID-19 decontamination services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growth of our industrial service offerings. Inflationary pressures across several cost categories including labor, transportation, equipment and supply costs have also contributed to the increase of these costs as a percentage of revenues. Overall, labor and benefit related costs increased $357.2 million, equipment and supply costs increased $176.5 million and external transportation, vehicle and fuel related costs increased $120.7 million.</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0" w:type="dxa"/>
            <w:vAlign w:val="bottom"/>
            <w:gridSpan w:val="5"/>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8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1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tcPr>
          <w:p>
            <w:pPr>
              <w:ind w:left="3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22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154,753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119,332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35,421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29.7 %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457,790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350,733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107,057</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3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Safety-Kleen Sustainability Solutions cost of revenues for the three months ended September 30, 2022 increased $35.4 million from the comparable period in 2021. The cost of raw materials used in production of our oil products increased $17.4 million, driven mainly by increased costs to obtain used oil through our used oil collection services. The increase in base oil pricing in the third quarter of 2022 as compared to the same period in 2021 has resulted in a correlating increase in the cost we now pay for used oil feedstock. Increased external transportation, vehicle and fuel costs of $8.3 million, labor and benefit related costs of $3.6 million and equipment and supply costs of $1.8 million also contributed to the overall increase in cost of revenues. The remaining increase was spread across various cost categories.</w:t>
      </w:r>
    </w:p>
    <w:p>
      <w:pPr>
        <w:spacing w:after="0" w:line="10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Safety-Kleen Sustainability Solutions cost of revenues for the nine months ended September 30, 2022 increased $107.1 million from the comparable period in 2021. The cost of raw materials used in production of our oil products increased $66.9 million, more than half of which was due to increased costs to obtain used oil through our used oil collection services. As noted above, the increase in base oil pricing has resulted in a correlating increase in the cost we now pay for used oil feedstock. Other costs that contributed to the overall increase include external transportation, vehicle and fuel costs which increased $18.6 million, labor and benefit related costs which increased $6.4 million and equipment and supply costs of which increased $1.8 million. The remaining increase was spread across various cost categories.</w:t>
      </w:r>
    </w:p>
    <w:p>
      <w:pPr>
        <w:spacing w:after="0" w:line="12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a percentage of revenues, Safety-Kleen Sustainability Solutions costs of revenues improved by 2.0% and 2.5% in the three and nine months ended September 30, 2022 as compared to the comparable periods in 2021. This margin improvement was largely driven by the increased pricing of our products which outpaced the increase in cost of revenues as the business continued to capitalize on the favorable market conditions and efficient management of the spread between the pricing of products and the rising costs to obtain oil feedstock.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0" w:type="dxa"/>
            <w:vAlign w:val="bottom"/>
            <w:gridSpan w:val="5"/>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88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1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ind w:left="3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78,928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62,822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16,106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235,178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186,714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48,464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and nine months ended September 30, 2022 increased $16.1 million and $48.5 million from the comparable periods in 2021. These cost increases were primarily driven by increased labor and benefits related costs of $13.7 million and $37.7 million in the three and nine month periods respectively, predominately due to the addition of the HydroChemPSC business operations, investments in our employees and higher incentive compensation. Professional fees also increased $2.0 million in the nine months ended September 30, 2022 as compared to the same period in the prior year. The remaining increases were spread across various other cost categories. As a percentage of revenue, the Environmental Services SG&amp;A expense improved by 1.1% and 1.3% in both the three and nine months ended September 30, 2022, driven both by the HydroChemPSC business operations which have lower associated SG&amp;A expenses when compared to the business's related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overall improved leverage of SG&amp;A in the legacy Environmental Services business.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1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88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2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tcPr>
          <w:p>
            <w:pPr>
              <w:ind w:left="3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18,410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15,645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53,568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45,047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8,521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3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7.0 %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Safety-Kleen Sustainability Solutions SG&amp;A expenses for the three and nine months ended September 30, 2022 increased $2.8 million and $8.5 million from the comparable periods in 2021 primarily due to a $1.2 million and $5.8 million increase in labor and benefit costs as we expanded our sales team for the segment. As a percentage of revenue, these costs improved in both the three and nine months ended September 30, 2022 when compared to the same periods in the prior year.</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00" w:type="dxa"/>
            <w:vAlign w:val="bottom"/>
            <w:gridSpan w:val="3"/>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1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tcPr>
          <w:p>
            <w:pPr>
              <w:jc w:val="right"/>
              <w:ind w:right="29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20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2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54,373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54,697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169,746</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147,150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22,596</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184"/>
        </w:trPr>
        <w:tc>
          <w:tcPr>
            <w:tcW w:w="21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 a % of Total Clean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Harbors' Direct revenues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manage our Corporate Items SG&amp;A expenses commensurate with the overall total company performance and direct revenue levels. Generally, as revenues increase, we would expect some increase in these costs; however, Corporate Items SG&amp;A expenses for the three and nine months ended September 30, 2022 decreased as a percentage of total Clean Harbors' direct revenues when compared to the same period in the prior year which has also contributed to Clean Harbors' overall profitability.</w:t>
      </w:r>
    </w:p>
    <w:p>
      <w:pPr>
        <w:spacing w:after="0" w:line="11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the overall costs remained relatively consistent with the prior year while improving as a percentage of total Clean Harbors' direct revenues with lower bad debt expense and professional fees more than offsetting increases in labor and benefit related costs.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the overall increase of $22.6 million included a $17.6 million increase in labor and benefits related costs and a $7.6 million increase from higher stock-based compensation costs. This increase in stock-based compensation is mainly due to the timing of grants in 2022. We expect the overall grants for 2022 to be relatively consistent with 2021. Information technology/cyber-security related technology costs also increased $5.4 million. These increases were partially offset by the $3.0 million breakup fee received related to the termination of the proposed asset acquisition from Vertex Energy, Inc. and $2.7 million reduction in professional fees in the nine months ended September 30, 2022.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GAAP metrics.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9"/>
                <w:szCs w:val="19"/>
                <w:color w:val="auto"/>
              </w:rPr>
            </w:pPr>
          </w:p>
        </w:tc>
        <w:tc>
          <w:tcPr>
            <w:tcW w:w="184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80" w:type="dxa"/>
            <w:vAlign w:val="bottom"/>
          </w:tcPr>
          <w:p>
            <w:pPr>
              <w:spacing w:after="0"/>
              <w:rPr>
                <w:sz w:val="19"/>
                <w:szCs w:val="19"/>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9"/>
                <w:szCs w:val="19"/>
                <w:color w:val="auto"/>
              </w:rPr>
            </w:pPr>
          </w:p>
        </w:tc>
        <w:tc>
          <w:tcPr>
            <w:tcW w:w="17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gridSpan w:val="2"/>
          </w:tcPr>
          <w:p>
            <w:pPr>
              <w:ind w:left="4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260,687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94,216</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56.6 %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713,630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482,766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230,864</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47.8 %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252,043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165,756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86,287</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(55,288)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(52,197)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98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(167,789)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(146,216)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98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123,471</w:t>
            </w:r>
          </w:p>
        </w:tc>
        <w:tc>
          <w:tcPr>
            <w:tcW w:w="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66.7 %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797,884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502,306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295,578</w:t>
            </w:r>
          </w:p>
        </w:tc>
        <w:tc>
          <w:tcPr>
            <w:tcW w:w="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our interpretation of such results with the board.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80" w:type="dxa"/>
            <w:vAlign w:val="bottom"/>
          </w:tcPr>
          <w:p>
            <w:pPr>
              <w:spacing w:after="0"/>
              <w:rPr>
                <w:sz w:val="18"/>
                <w:szCs w:val="18"/>
                <w:color w:val="auto"/>
              </w:rPr>
            </w:pPr>
          </w:p>
        </w:tc>
        <w:tc>
          <w:tcPr>
            <w:tcW w:w="29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135,799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329,270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154,254</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12,786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88,394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71,451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260,560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215,206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28,081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79,354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53,953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45,311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21,605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109,663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54,973</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308,555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185,084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797,884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502,306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0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0" w:type="dxa"/>
            <w:vAlign w:val="bottom"/>
          </w:tcPr>
          <w:p>
            <w:pPr>
              <w:spacing w:after="0"/>
              <w:rPr>
                <w:sz w:val="19"/>
                <w:szCs w:val="19"/>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18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tcPr>
          <w:p>
            <w:pPr>
              <w:jc w:val="right"/>
              <w:ind w:right="314"/>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50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of landfills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17.9 %</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223,001</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164"/>
        </w:trPr>
        <w:tc>
          <w:tcPr>
            <w:tcW w:w="26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depreciation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88,394</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71,451</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23.7 %</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27"/>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and nine months ended September 30, 2022 increased by $16.9 million and $45.4 million from the comparable periods in 2021 due to the depreciation and amortization of the HydroChemPSC tangible and intangible assets which were acquired in in the fourth quarter of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1560" w:type="dxa"/>
            <w:vAlign w:val="bottom"/>
            <w:gridSpan w:val="3"/>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 w:type="dxa"/>
            <w:vAlign w:val="bottom"/>
            <w:vMerge w:val="restart"/>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vMerge w:val="restart"/>
          </w:tcPr>
          <w:p>
            <w:pPr>
              <w:spacing w:after="0"/>
              <w:rPr>
                <w:sz w:val="13"/>
                <w:szCs w:val="13"/>
                <w:color w:val="auto"/>
              </w:rPr>
            </w:pPr>
          </w:p>
        </w:tc>
        <w:tc>
          <w:tcPr>
            <w:tcW w:w="100" w:type="dxa"/>
            <w:vAlign w:val="bottom"/>
            <w:tcBorders>
              <w:top w:val="single" w:sz="8" w:color="auto"/>
            </w:tcBorders>
            <w:vMerge w:val="restart"/>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3"/>
                <w:szCs w:val="13"/>
                <w:color w:val="auto"/>
              </w:rPr>
            </w:pPr>
          </w:p>
        </w:tc>
        <w:tc>
          <w:tcPr>
            <w:tcW w:w="94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3"/>
                <w:szCs w:val="13"/>
                <w:color w:val="auto"/>
              </w:rPr>
            </w:pPr>
          </w:p>
        </w:tc>
        <w:tc>
          <w:tcPr>
            <w:tcW w:w="94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5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760" w:firstLine="648"/>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we recorded a $8.9 million gain on the sale of a non-core line of business within our Environmental Services segment. For additional information regarding this gain on sale of business, see Note 5, "Disposition of Business," to the accompanying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60" w:type="dxa"/>
            <w:vAlign w:val="bottom"/>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220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8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61"/>
        </w:trPr>
        <w:tc>
          <w:tcPr>
            <w:tcW w:w="22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18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tcPr>
          <w:p>
            <w:pPr>
              <w:jc w:val="right"/>
              <w:ind w:right="27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60" w:type="dxa"/>
            <w:vAlign w:val="bottom"/>
            <w:tcBorders>
              <w:top w:val="single" w:sz="8" w:color="auto"/>
            </w:tcBorders>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tcPr>
          <w:p>
            <w:pPr>
              <w:ind w:left="3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8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45,311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21,605</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23,706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109,663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54,973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54,690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99.5 %</w:t>
            </w:r>
          </w:p>
        </w:tc>
        <w:tc>
          <w:tcPr>
            <w:tcW w:w="0" w:type="dxa"/>
            <w:vAlign w:val="bottom"/>
          </w:tcPr>
          <w:p>
            <w:pPr>
              <w:spacing w:after="0"/>
              <w:rPr>
                <w:sz w:val="1"/>
                <w:szCs w:val="1"/>
                <w:color w:val="auto"/>
              </w:rPr>
            </w:pPr>
          </w:p>
        </w:tc>
      </w:tr>
      <w:tr>
        <w:trPr>
          <w:trHeight w:val="234"/>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2022 increased $23.7 million and $54.7 million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periods in 2021 due to an increase in income before provision for income taxes. Our effective tax rate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was relatively consistent to the prior year while the rate for the nine months ended September 30, 2022 decreased 1.3%. The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effective tax rate is largely due to the utilization of previous unbenefited losses in certain of our Canadian entities.</w:t>
      </w:r>
    </w:p>
    <w:p>
      <w:pPr>
        <w:spacing w:after="0" w:line="13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recent periods, certain Canadian entities which have historically generated net operating losses and for which we have recognized valuation allowances, have been operating at a profit. This recent profitability and associated utilization of previous unbenefited losses is due to operational improvements and tax strategies as well as government subsidies and the gain on sale of business. As of September 30, 2022, we do not yet believe that sufficient positive evidence exists to support that the profitability of these certain Canadian entities will continue for a sustained period. We will continue to evaluate this on an ongoing basis to determine when, if at all, to release some or all of the associated remaining valuation allowances. The related valuation allowances, should they be released, would not have a significant impact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8"/>
                <w:szCs w:val="18"/>
                <w:color w:val="auto"/>
              </w:rPr>
            </w:pPr>
          </w:p>
        </w:tc>
      </w:tr>
      <w:tr>
        <w:trPr>
          <w:trHeight w:val="21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368,226</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(281,962)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(169,267)</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(71,762)</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4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Net cash from operating activities for the nine months ended September 30, 2022 was $357.5 million as compared to $368.2 million in the comparable period of 2021. This $10.7 million decrease in operating cash flows was attributable to an increase in working capital caused by the recent significant growth in the business and higher interest, incentive compensation and income tax payments in the first nine months of 2022. With approximately 30% of our debt being subject to variable interest rates, the LIBOR rate increases during 2022 have resulted in the increase in interest payments when compared to the prior year. These operating cash flow decreases were partially offset by greater levels of operating income.</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was $282.0 million, an increase of $112.7 million from the comparable period in 2021. The increase in net cash used in investing activities as compared to the same prior year period was primarily due to a $109.2 million increase in additions to property, plant and equipment, net of proceeds from the sale and disposal of fixed assets and incremental spend of $50.7 million for acquisitions, net of cash acquired. The increase in additions to property plant and equipment, net of proceeds from the sale and disposal of fixed assets is inclusive of $26.8 million of capital spending for our new incinerator construction in Kimball, Nebraska as well as incremental spend for the HydroChemPSC operations. These uses of cash were partially offset by a $28.9 million cash inflow related to the timing of investment transactions within our wholly owned captive insurance company and a $16.8 million cash inflow from the disposition of a business.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6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2022 was $72.6 million, as compared to $71.8 million in the comparable period in 2021. Higher principal payments on debt and payments on finance leases were partially offset by the change in the level of uncashed checks as well as lower cash spent on repurchases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is not calculated identically by all companies, and therefore our measurements of adjusted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from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368,226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118,113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237,996</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2022, cash and cash equivalents and marketable securities totaled $514.1 million, compared to $534.3 million at December 31, 2021. At September 30, 2022, cash and cash equivalents held by our foreign subsidiaries totaled $79.0 million. The cash and cash equivalents and marketable securities balance for our U.S. operations was $435.1 million at September 30, 2022. Our U.S. operations had net operating cash inflows of $323.9 million for the nine months ended September 30, 2022.</w:t>
      </w:r>
    </w:p>
    <w:p>
      <w:pPr>
        <w:spacing w:after="0" w:line="11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$400.0 million revolving credit facility of which, as of September 30, 2022, approximately $292.6 million was available to borrow and letters of credit under the credit facility in the amount of $107.4 million were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Capital expenditures during the first nine months of 2022 were $244.5 million as compared to $146.7 million during the nine months of 2021. We anticipate that 2022 capital spending, net of disposals, will be in the range of $325.0 million to $345.0 million, including approximately $45.0 million of capital spending for our new incinerator construction in Kimball, Nebraska, of which $26.8 million has been spent during the first nine months of 2022.</w:t>
      </w:r>
    </w:p>
    <w:p>
      <w:pPr>
        <w:spacing w:after="0" w:line="10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always, unanticipated changes in environmental regulations could require us to make significant capital expenditures for our facilities and could adversely affect our results of operations and cash flow.</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7"/>
          <w:szCs w:val="17"/>
          <w:color w:val="auto"/>
        </w:rPr>
        <w:t>As of September 30, 2022, our financing arrangements include (i) $714.0 million of senior secured term loans due 2024, (ii) $545.0 million of 4.875% senior unsecured notes due 2027, (iii) $992.5 million of senior secured term loans due 2028 and (iv) $300.0 million of 5.125% senior unsecured notes due 2029. We also maintain our $400.0 million revolving credit facility. As of September 30, 2022, under the revolving credit facility, we had no outstanding loan balance, $292.6 million available to borrow and outstanding letters of credit of $107.4 million. 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w:t>
      </w:r>
    </w:p>
    <w:p>
      <w:pPr>
        <w:spacing w:after="0" w:line="1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12, “Financing Arrangements,” to our consolidated financial statements included in Item 8 of this report.</w:t>
      </w:r>
    </w:p>
    <w:p>
      <w:pPr>
        <w:spacing w:after="0" w:line="9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Company's common stock repurchases are made pursuant to the previously authorized board approved plan to repurchase up to $600.0 million of the Company's common stock. During the three and nine months ended September 30, 2022, the Company repurchased and retired a total of approximately 0.1 million and 0.5 million shares of the Company's common stock, respectively, for total expenditures of approximately $10.5 million and $44.2 million, respectively. During the three and nine months ended September 30, 2021, the Company repurchased and retired a total of approximately 33.4 thousand and 533.4 thousand shares of the Company's common stock, respectively, for total expenditures of approximately $3.0 million and $48.4 million, respectively.</w:t>
      </w:r>
    </w:p>
    <w:p>
      <w:pPr>
        <w:spacing w:after="0" w:line="12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Through September 30, 2022, the Company has repurchased and retired a total of approximately 8.1 million shares of its common stock for approximately $488.7 million under this program. As of September 30, 2022, an additional $111.3 million remained available for repurchase of shares under this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9"/>
              </w:rPr>
              <w:t>7.7 %</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9"/>
              </w:rPr>
              <w:t>6.2 %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Total environmental liabilities as of September 30, 2022 were $224.0 million, an increase of $13.1 million compared to December 31, 2021, primarily due to new liabilities, including those assumed in acquisition, of $10.8 million and accretion of $9.6 million, partially offset by expenditures of $9.7 million. The majority of the new liabilities relate to a real estate acquisition completed in 2022 in connection with which we assumed a remedial liability. The remedial liability was contemplated when arriving at the amount paid to acquire the property.</w:t>
      </w:r>
    </w:p>
    <w:p>
      <w:pPr>
        <w:spacing w:after="0" w:line="11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were no material changes in the first nine months of 2022 to the information provided under the heading “Critical Accounting Policies and Estimates” included in our Annual Report on Form 10-K for the year ended December 31, 2021.</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nine months of 2022 to the information provided under Item 7A. “Quantitative and Qualitative Disclosures about Market Risk” in the Company's Annual Report on Form 10-K for the year ended December 31, 2021.</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September 30, 2022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nine months ended September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17, “Commitments and Contingencies,” to the unaudited consolidated financial statements included in Item 1 of this report, which description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the Company's Annual Report on Form 10-K 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through July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116,265</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2022 through August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116,265</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through September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111,265</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58" w:lineRule="exact"/>
        <w:rPr>
          <w:sz w:val="20"/>
          <w:szCs w:val="20"/>
          <w:color w:val="auto"/>
        </w:rPr>
      </w:pPr>
    </w:p>
    <w:p>
      <w:pPr>
        <w:ind w:left="660" w:right="620" w:hanging="328"/>
        <w:spacing w:after="0" w:line="261" w:lineRule="auto"/>
        <w:tabs>
          <w:tab w:leader="none" w:pos="7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39,027 shares withheld by us from employees to satisfy employee tax obligations upon vesting of restricted stock granted to our employees under the Company's equity incentive plans.</w:t>
      </w:r>
    </w:p>
    <w:p>
      <w:pPr>
        <w:ind w:left="720" w:hanging="38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hanging="328"/>
        <w:spacing w:after="0" w:line="251" w:lineRule="auto"/>
        <w:tabs>
          <w:tab w:leader="none" w:pos="7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September 30, 2022, 62,852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80" w:type="dxa"/>
            <w:vAlign w:val="bottom"/>
          </w:tcPr>
          <w:p>
            <w:pPr>
              <w:spacing w:after="0"/>
              <w:rPr>
                <w:sz w:val="20"/>
                <w:szCs w:val="20"/>
                <w:color w:val="auto"/>
              </w:rPr>
            </w:pPr>
          </w:p>
        </w:tc>
      </w:tr>
      <w:tr>
        <w:trPr>
          <w:trHeight w:val="34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0" w:type="dxa"/>
            <w:vAlign w:val="bottom"/>
            <w:gridSpan w:val="4"/>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jc w:val="center"/>
              <w:ind w:left="113"/>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Rule 13a-14a/15d-14(a) Certification of the CEO Alan S. McKim</w:t>
            </w:r>
          </w:p>
        </w:tc>
        <w:tc>
          <w:tcPr>
            <w:tcW w:w="36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7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CFO Michael L. Battles</w:t>
            </w:r>
          </w:p>
        </w:tc>
        <w:tc>
          <w:tcPr>
            <w:tcW w:w="3660" w:type="dxa"/>
            <w:vAlign w:val="bottom"/>
            <w:gridSpan w:val="2"/>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3"/>
        </w:trPr>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32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Certifications</w:t>
            </w:r>
          </w:p>
        </w:tc>
        <w:tc>
          <w:tcPr>
            <w:tcW w:w="6600" w:type="dxa"/>
            <w:vAlign w:val="bottom"/>
            <w:gridSpan w:val="4"/>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59"/>
        </w:trPr>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6"/>
              </w:rPr>
              <w:t>101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auto"/>
              </w:rPr>
              <w:t>Form 10-Q of Clean Harbors, Inc. for the quarterly period ended September 30, 2022, formatted in iXBRL (Inline</w:t>
            </w:r>
          </w:p>
        </w:tc>
        <w:tc>
          <w:tcPr>
            <w:tcW w:w="1480" w:type="dxa"/>
            <w:vAlign w:val="bottom"/>
          </w:tcPr>
          <w:p>
            <w:pPr>
              <w:spacing w:after="0"/>
              <w:rPr>
                <w:sz w:val="17"/>
                <w:szCs w:val="17"/>
                <w:color w:val="auto"/>
              </w:rPr>
            </w:pPr>
          </w:p>
        </w:tc>
      </w:tr>
    </w:tbl>
    <w:p>
      <w:pPr>
        <w:ind w:left="1180" w:right="2160"/>
        <w:spacing w:after="0" w:line="223" w:lineRule="auto"/>
        <w:rPr>
          <w:sz w:val="20"/>
          <w:szCs w:val="20"/>
          <w:color w:val="auto"/>
        </w:rPr>
      </w:pPr>
      <w:r>
        <w:rPr>
          <w:rFonts w:ascii="Times New Roman" w:cs="Times New Roman" w:eastAsia="Times New Roman" w:hAnsi="Times New Roman"/>
          <w:sz w:val="17"/>
          <w:szCs w:val="17"/>
          <w:color w:val="auto"/>
        </w:rPr>
        <w:t>eXtensible Business Reporting Language): (i) Consolidated Balance Sheets, (ii) Unaudited Consolidated Statements of Operations, (iii) Unaudited Consolidated Statements of Comprehensive Income, (iv) Unaudited</w:t>
      </w:r>
    </w:p>
    <w:p>
      <w:pPr>
        <w:spacing w:after="0" w:line="1" w:lineRule="exact"/>
        <w:rPr>
          <w:sz w:val="20"/>
          <w:szCs w:val="20"/>
          <w:color w:val="auto"/>
        </w:rPr>
      </w:pPr>
    </w:p>
    <w:p>
      <w:pPr>
        <w:ind w:left="1180" w:right="2200"/>
        <w:spacing w:after="0" w:line="226" w:lineRule="auto"/>
        <w:rPr>
          <w:sz w:val="20"/>
          <w:szCs w:val="20"/>
          <w:color w:val="auto"/>
        </w:rPr>
      </w:pPr>
      <w:r>
        <w:rPr>
          <w:rFonts w:ascii="Times New Roman" w:cs="Times New Roman" w:eastAsia="Times New Roman" w:hAnsi="Times New Roman"/>
          <w:sz w:val="18"/>
          <w:szCs w:val="18"/>
          <w:color w:val="auto"/>
        </w:rPr>
        <w:t>Consolidated Statements of Cash Flows, (v) Unaudited Consolidated Statements of Stockholders’ Equity and (vi) Notes to Unaudited Consolidated Financial Statements.</w:t>
      </w:r>
    </w:p>
    <w:p>
      <w:pPr>
        <w:spacing w:after="0" w:line="49" w:lineRule="exact"/>
        <w:rPr>
          <w:sz w:val="20"/>
          <w:szCs w:val="20"/>
          <w:color w:val="auto"/>
        </w:rPr>
      </w:pPr>
    </w:p>
    <w:p>
      <w:pPr>
        <w:ind w:left="1180" w:right="1820" w:hanging="841"/>
        <w:spacing w:after="0" w:line="250"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quarterly period ended September 30, 2022, formatted in iXBRL and contained in Exhibit 101.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4" w:lineRule="exact"/>
        <w:rPr>
          <w:sz w:val="20"/>
          <w:szCs w:val="20"/>
          <w:color w:val="auto"/>
        </w:rPr>
      </w:pPr>
    </w:p>
    <w:p>
      <w:pPr>
        <w:ind w:left="660" w:right="380" w:hanging="490"/>
        <w:spacing w:after="0" w:line="266" w:lineRule="auto"/>
        <w:tabs>
          <w:tab w:leader="none" w:pos="4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p>
      <w:pPr>
        <w:ind w:left="576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2, 2022</w:t>
      </w:r>
    </w:p>
    <w:p>
      <w:pPr>
        <w:spacing w:after="0" w:line="77" w:lineRule="exact"/>
        <w:rPr>
          <w:sz w:val="20"/>
          <w:szCs w:val="20"/>
          <w:color w:val="auto"/>
        </w:rPr>
      </w:pPr>
    </w:p>
    <w:p>
      <w:pPr>
        <w:ind w:left="576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60"/>
          </w:cols>
          <w:pgMar w:left="320" w:top="121" w:right="9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 Chief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2022</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September 30, 2022 fully complies with the requirements of Section 13(a) or 15(d) of the Securities Exchange Act of 1934 and the information contained in this report fairly presents, in all material respects, the financial condition and results of operations of Clean Harbors, Inc.</w:t>
      </w:r>
    </w:p>
    <w:p>
      <w:pPr>
        <w:ind w:left="592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252" w:lineRule="exact"/>
        <w:rPr>
          <w:sz w:val="20"/>
          <w:szCs w:val="20"/>
          <w:color w:val="auto"/>
        </w:rPr>
      </w:pPr>
    </w:p>
    <w:p>
      <w:pPr>
        <w:ind w:left="592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November 2,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0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2022-11-02T09:51:16Z</dcterms:created>
  <dcterms:modified xsi:type="dcterms:W3CDTF">2022-11-02T09:51:16Z</dcterms:modified>
</cp:coreProperties>
</file>