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spacing w:after="0" w:line="18" w:lineRule="exact"/>
        <w:rPr>
          <w:sz w:val="24"/>
          <w:szCs w:val="24"/>
          <w:color w:val="auto"/>
        </w:rPr>
      </w:pPr>
    </w:p>
    <w:p>
      <w:pPr>
        <w:ind w:left="1600" w:hanging="464"/>
        <w:spacing w:after="0"/>
        <w:tabs>
          <w:tab w:leader="none" w:pos="1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15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spacing w:after="0" w:line="18" w:lineRule="exact"/>
        <w:rPr>
          <w:sz w:val="24"/>
          <w:szCs w:val="24"/>
          <w:color w:val="auto"/>
        </w:rPr>
      </w:pPr>
    </w:p>
    <w:p>
      <w:pPr>
        <w:ind w:left="1600" w:hanging="464"/>
        <w:spacing w:after="0"/>
        <w:tabs>
          <w:tab w:leader="none" w:pos="1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400"/>
          </w:cols>
          <w:pgMar w:left="240" w:top="233" w:right="259" w:bottom="1440" w:gutter="0" w:footer="0" w:header="0"/>
        </w:sectPr>
      </w:pPr>
    </w:p>
    <w:p>
      <w:pPr>
        <w:spacing w:after="0" w:line="226"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33" w:right="25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00"/>
          </w:cols>
          <w:pgMar w:left="240" w:top="233"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480" w:type="dxa"/>
            <w:vAlign w:val="bottom"/>
          </w:tcPr>
          <w:p>
            <w:pPr>
              <w:jc w:val="center"/>
              <w:ind w:right="590"/>
              <w:spacing w:after="0"/>
              <w:rPr>
                <w:sz w:val="20"/>
                <w:szCs w:val="20"/>
                <w:color w:val="auto"/>
              </w:rPr>
            </w:pPr>
            <w:r>
              <w:rPr>
                <w:rFonts w:ascii="Arial" w:cs="Arial" w:eastAsia="Arial" w:hAnsi="Arial"/>
                <w:sz w:val="18"/>
                <w:szCs w:val="18"/>
                <w:b w:val="1"/>
                <w:bCs w:val="1"/>
                <w:color w:val="auto"/>
                <w:w w:val="86"/>
              </w:rPr>
              <w:t>Massachusetts</w:t>
            </w:r>
          </w:p>
        </w:tc>
        <w:tc>
          <w:tcPr>
            <w:tcW w:w="356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04-2997780</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6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480" w:type="dxa"/>
            <w:vAlign w:val="bottom"/>
          </w:tcPr>
          <w:p>
            <w:pPr>
              <w:ind w:left="1040"/>
              <w:spacing w:after="0"/>
              <w:rPr>
                <w:sz w:val="20"/>
                <w:szCs w:val="20"/>
                <w:color w:val="auto"/>
              </w:rPr>
            </w:pPr>
            <w:r>
              <w:rPr>
                <w:rFonts w:ascii="Arial" w:cs="Arial" w:eastAsia="Arial" w:hAnsi="Arial"/>
                <w:sz w:val="18"/>
                <w:szCs w:val="18"/>
                <w:b w:val="1"/>
                <w:bCs w:val="1"/>
                <w:color w:val="auto"/>
              </w:rPr>
              <w:t>42 Longwater Drive Norwell MA</w:t>
            </w:r>
          </w:p>
        </w:tc>
        <w:tc>
          <w:tcPr>
            <w:tcW w:w="356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02061-9149</w:t>
            </w:r>
          </w:p>
        </w:tc>
      </w:tr>
      <w:tr>
        <w:trPr>
          <w:trHeight w:val="270"/>
        </w:trPr>
        <w:tc>
          <w:tcPr>
            <w:tcW w:w="548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$0.01 par value</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CLH</w:t>
            </w: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33" w:right="259" w:bottom="1440" w:gutter="0" w:footer="0" w:header="0"/>
          <w:type w:val="continuous"/>
        </w:sectPr>
      </w:pPr>
    </w:p>
    <w:p>
      <w:pPr>
        <w:spacing w:after="0" w:line="235"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3400" w:space="100"/>
            <w:col w:w="4180" w:space="720"/>
            <w:col w:w="1200" w:space="60"/>
            <w:col w:w="1740"/>
          </w:cols>
          <w:pgMar w:left="240" w:top="233" w:right="259" w:bottom="1440" w:gutter="0" w:footer="0" w:header="0"/>
          <w:type w:val="continuous"/>
        </w:sectPr>
      </w:pPr>
    </w:p>
    <w:p>
      <w:pPr>
        <w:spacing w:after="0" w:line="20"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3400" w:space="40"/>
            <w:col w:w="3480" w:space="720"/>
            <w:col w:w="1960" w:space="60"/>
            <w:col w:w="1740"/>
          </w:cols>
          <w:pgMar w:left="240" w:top="233" w:right="259" w:bottom="1440" w:gutter="0" w:footer="0" w:header="0"/>
          <w:type w:val="continuous"/>
        </w:sectPr>
      </w:pPr>
    </w:p>
    <w:p>
      <w:pPr>
        <w:spacing w:after="0" w:line="20" w:lineRule="exact"/>
        <w:rPr>
          <w:sz w:val="24"/>
          <w:szCs w:val="24"/>
          <w:color w:val="auto"/>
        </w:rPr>
      </w:pPr>
    </w:p>
    <w:p>
      <w:pPr>
        <w:ind w:left="76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2">
            <w:col w:w="9600" w:space="60"/>
            <w:col w:w="1740"/>
          </w:cols>
          <w:pgMar w:left="240" w:top="233" w:right="259" w:bottom="1440" w:gutter="0" w:footer="0" w:header="0"/>
          <w:type w:val="continuous"/>
        </w:sect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8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July 26, 2019 was 55,862,092</w:t>
      </w:r>
    </w:p>
    <w:p>
      <w:pPr>
        <w:sectPr>
          <w:pgSz w:w="11900" w:h="16838" w:orient="portrait"/>
          <w:cols w:equalWidth="0" w:num="1">
            <w:col w:w="1140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4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54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36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920" w:type="dxa"/>
            <w:vAlign w:val="bottom"/>
            <w:gridSpan w:val="11"/>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Arial" w:cs="Arial" w:eastAsia="Arial" w:hAnsi="Arial"/>
                <w:sz w:val="18"/>
                <w:szCs w:val="18"/>
                <w:b w:val="1"/>
                <w:bCs w:val="1"/>
                <w:color w:val="0000FF"/>
                <w:w w:val="89"/>
              </w:rPr>
            </w:pPr>
            <w:hyperlink w:anchor="page37">
              <w:r>
                <w:rPr>
                  <w:rFonts w:ascii="Arial" w:cs="Arial" w:eastAsia="Arial" w:hAnsi="Arial"/>
                  <w:sz w:val="18"/>
                  <w:szCs w:val="18"/>
                  <w:b w:val="1"/>
                  <w:bCs w:val="1"/>
                  <w:color w:val="0000FF"/>
                  <w:w w:val="89"/>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Arial" w:cs="Arial" w:eastAsia="Arial" w:hAnsi="Arial"/>
                <w:sz w:val="18"/>
                <w:szCs w:val="18"/>
                <w:b w:val="1"/>
                <w:bCs w:val="1"/>
                <w:color w:val="0000FF"/>
                <w:w w:val="96"/>
              </w:rPr>
            </w:pPr>
            <w:hyperlink w:anchor="page38">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FF"/>
                <w:w w:val="85"/>
              </w:rPr>
            </w:pPr>
            <w:hyperlink w:anchor="page39">
              <w:r>
                <w:rPr>
                  <w:rFonts w:ascii="Arial" w:cs="Arial" w:eastAsia="Arial" w:hAnsi="Arial"/>
                  <w:sz w:val="18"/>
                  <w:szCs w:val="18"/>
                  <w:b w:val="1"/>
                  <w:bCs w:val="1"/>
                  <w:color w:val="0000FF"/>
                  <w:w w:val="85"/>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r>
      <w:tr>
        <w:trPr>
          <w:trHeight w:val="264"/>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204,455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226,507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52,856</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Accounts receivable, net of allowances aggregating $36,398 and $44,315, respectively</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632,888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606,952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54,794</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18,770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199,479</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42,800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1,213,186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1,202,158</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1,596,917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1,561,978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173,504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514,189</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433,853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441,875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18,121</w:t>
            </w:r>
          </w:p>
        </w:tc>
      </w:tr>
      <w:tr>
        <w:trPr>
          <w:trHeight w:val="237"/>
        </w:trPr>
        <w:tc>
          <w:tcPr>
            <w:tcW w:w="8340" w:type="dxa"/>
            <w:vAlign w:val="bottom"/>
          </w:tcPr>
          <w:p>
            <w:pPr>
              <w:ind w:left="540"/>
              <w:spacing w:after="0"/>
              <w:rPr>
                <w:sz w:val="20"/>
                <w:szCs w:val="20"/>
                <w:color w:val="auto"/>
              </w:rPr>
            </w:pPr>
            <w:r>
              <w:rPr>
                <w:rFonts w:ascii="Arial" w:cs="Arial" w:eastAsia="Arial" w:hAnsi="Arial"/>
                <w:sz w:val="18"/>
                <w:szCs w:val="18"/>
                <w:color w:val="auto"/>
              </w:rPr>
              <w:t>Total other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1,145,218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974,185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3,955,321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3,738,321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276,461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61,843</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224,497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233,405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23,034</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633,690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602,278</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$13,491 and $9,592,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60,339</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$17,256 and $13,442, respectively</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107,575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1,565,021</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130,704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233,352</w:t>
            </w:r>
          </w:p>
        </w:tc>
      </w:tr>
      <w:tr>
        <w:trPr>
          <w:trHeight w:val="237"/>
        </w:trPr>
        <w:tc>
          <w:tcPr>
            <w:tcW w:w="8340" w:type="dxa"/>
            <w:vAlign w:val="bottom"/>
          </w:tcPr>
          <w:p>
            <w:pPr>
              <w:ind w:left="54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2,112,164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1,966,287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Commitments and contingent liabilities (See Note 16)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$.01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w w:val="96"/>
              </w:rPr>
              <w:t>Authorized 80,000,000; shares issued and outstanding 55,859,402 and 55,847,261 shares, respectively</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655,415</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(223,371)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774,374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737,154</w:t>
            </w:r>
          </w:p>
        </w:tc>
      </w:tr>
      <w:tr>
        <w:trPr>
          <w:trHeight w:val="237"/>
        </w:trPr>
        <w:tc>
          <w:tcPr>
            <w:tcW w:w="834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1,209,467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1,169,756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3,955,321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3,738,321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97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975"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715,085</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696,779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1,371,743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1,316,498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153,593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282,420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868,678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1,649,517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1,598,918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480,229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473,423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943,712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921,072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114,704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215,585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208,937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594,933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1,159,297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1,130,009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238,732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241,083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74,217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149,572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73,048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96,782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Interest expense, net of interest income of $903, $587, $1,829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$1,350,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16,025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36,244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earnings per share - 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55,875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Shares used to compute earnings per share -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56,066</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56,505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56,001</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Unrealized (losses) gains on available-for-sale securities (net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of $27, $8, $58 and $88,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Reclassification adjustment for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securities included in net income</w:t>
            </w:r>
          </w:p>
        </w:tc>
        <w:tc>
          <w:tcPr>
            <w:tcW w:w="3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w w:val="99"/>
              </w:rPr>
              <w:t>Reclassification adjustment for losses on interest rate hedge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included in net income</w:t>
            </w:r>
          </w:p>
        </w:tc>
        <w:tc>
          <w:tcPr>
            <w:tcW w:w="3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13,597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22,137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(21,482)</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5,076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41,320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46,320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37,220</w:t>
            </w:r>
          </w:p>
        </w:tc>
        <w:tc>
          <w:tcPr>
            <w:tcW w:w="10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18,116</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149,572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147,604</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 and debt discount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environmental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4,878</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Changes in environmental liability estimates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Other income,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(2,419)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Environmental expenditures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(6,134)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Accounts receivable and unbilled accounts receivable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(62,764)</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Inventories and supplies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w:t>
            </w: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23,605</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6,582</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from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138,470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129,670</w:t>
            </w:r>
          </w:p>
        </w:tc>
        <w:tc>
          <w:tcPr>
            <w:tcW w:w="0" w:type="dxa"/>
            <w:vAlign w:val="bottom"/>
          </w:tcPr>
          <w:p>
            <w:pPr>
              <w:spacing w:after="0"/>
              <w:rPr>
                <w:sz w:val="1"/>
                <w:szCs w:val="1"/>
                <w:color w:val="auto"/>
              </w:rPr>
            </w:pP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used in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(118,372)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(94,139)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and disposal of fixed assets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7,389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2,641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(123,750)</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available-for-sale securities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11,214</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(139,868)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(216,141)</w:t>
            </w:r>
          </w:p>
        </w:tc>
        <w:tc>
          <w:tcPr>
            <w:tcW w:w="0" w:type="dxa"/>
            <w:vAlign w:val="bottom"/>
          </w:tcPr>
          <w:p>
            <w:pPr>
              <w:spacing w:after="0"/>
              <w:rPr>
                <w:sz w:val="1"/>
                <w:szCs w:val="1"/>
                <w:color w:val="auto"/>
              </w:rPr>
            </w:pP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used in 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uncashed checks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Tax payments related to withholdings on vested restricted stock</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(26,482)</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financing costs paid</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on finance lease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Principal payments on debt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(33,928)</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 on cash</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(122,331)</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226,507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319,399</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204,455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197,068</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180"/>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payments for interest and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39,369</w:t>
            </w:r>
          </w:p>
        </w:tc>
        <w:tc>
          <w:tcPr>
            <w:tcW w:w="10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40,745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14,118</w:t>
            </w:r>
          </w:p>
        </w:tc>
        <w:tc>
          <w:tcPr>
            <w:tcW w:w="0" w:type="dxa"/>
            <w:vAlign w:val="bottom"/>
          </w:tcPr>
          <w:p>
            <w:pPr>
              <w:spacing w:after="0"/>
              <w:rPr>
                <w:sz w:val="1"/>
                <w:szCs w:val="1"/>
                <w:color w:val="auto"/>
              </w:rPr>
            </w:pPr>
          </w:p>
        </w:tc>
      </w:tr>
      <w:tr>
        <w:trPr>
          <w:trHeight w:val="264"/>
        </w:trPr>
        <w:tc>
          <w:tcPr>
            <w:tcW w:w="8260" w:type="dxa"/>
            <w:vAlign w:val="bottom"/>
          </w:tcPr>
          <w:p>
            <w:pPr>
              <w:ind w:left="14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cash flows from operating leases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27,773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Operating cash flows from finance lease</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Financing cash flows from finance lease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260" w:type="dxa"/>
            <w:vAlign w:val="bottom"/>
          </w:tcPr>
          <w:p>
            <w:pPr>
              <w:ind w:left="180"/>
              <w:spacing w:after="0"/>
              <w:rPr>
                <w:sz w:val="20"/>
                <w:szCs w:val="20"/>
                <w:color w:val="auto"/>
              </w:rPr>
            </w:pPr>
            <w:r>
              <w:rPr>
                <w:rFonts w:ascii="Arial" w:cs="Arial" w:eastAsia="Arial" w:hAnsi="Arial"/>
                <w:sz w:val="14"/>
                <w:szCs w:val="14"/>
                <w:color w:val="auto"/>
              </w:rPr>
              <w:t>Non-cash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Property, plant and equipment accrued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13,041</w:t>
            </w:r>
          </w:p>
        </w:tc>
        <w:tc>
          <w:tcPr>
            <w:tcW w:w="0" w:type="dxa"/>
            <w:vAlign w:val="bottom"/>
          </w:tcPr>
          <w:p>
            <w:pPr>
              <w:spacing w:after="0"/>
              <w:rPr>
                <w:sz w:val="1"/>
                <w:szCs w:val="1"/>
                <w:color w:val="auto"/>
              </w:rPr>
            </w:pPr>
          </w:p>
        </w:tc>
      </w:tr>
      <w:tr>
        <w:trPr>
          <w:trHeight w:val="264"/>
        </w:trPr>
        <w:tc>
          <w:tcPr>
            <w:tcW w:w="8260" w:type="dxa"/>
            <w:vAlign w:val="bottom"/>
          </w:tcPr>
          <w:p>
            <w:pPr>
              <w:ind w:left="140"/>
              <w:spacing w:after="0"/>
              <w:rPr>
                <w:sz w:val="20"/>
                <w:szCs w:val="20"/>
                <w:color w:val="auto"/>
              </w:rPr>
            </w:pPr>
            <w:r>
              <w:rPr>
                <w:rFonts w:ascii="Arial" w:cs="Arial" w:eastAsia="Arial" w:hAnsi="Arial"/>
                <w:sz w:val="14"/>
                <w:szCs w:val="14"/>
                <w:color w:val="auto"/>
              </w:rPr>
              <w:t>ROU assets obtained in exchange for new operating lease liabilities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5,575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ROU asset obtained in exchange for new finance lease liability</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60"/>
          </w:cols>
          <w:pgMar w:left="240" w:top="125" w:right="299" w:bottom="0" w:gutter="0" w:footer="0" w:header="0"/>
        </w:sect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ectPr>
          <w:pgSz w:w="11900" w:h="16838" w:orient="portrait"/>
          <w:cols w:equalWidth="0" w:num="1">
            <w:col w:w="11360"/>
          </w:cols>
          <w:pgMar w:left="240" w:top="125" w:right="29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3"/>
                <w:szCs w:val="13"/>
                <w:color w:val="auto"/>
              </w:rPr>
            </w:pPr>
          </w:p>
        </w:tc>
        <w:tc>
          <w:tcPr>
            <w:tcW w:w="840" w:type="dxa"/>
            <w:vAlign w:val="bottom"/>
          </w:tcPr>
          <w:p>
            <w:pPr>
              <w:jc w:val="center"/>
              <w:ind w:right="353"/>
              <w:spacing w:after="0" w:line="153" w:lineRule="exact"/>
              <w:rPr>
                <w:sz w:val="20"/>
                <w:szCs w:val="20"/>
                <w:color w:val="auto"/>
              </w:rPr>
            </w:pPr>
            <w:r>
              <w:rPr>
                <w:rFonts w:ascii="Arial" w:cs="Arial" w:eastAsia="Arial" w:hAnsi="Arial"/>
                <w:sz w:val="14"/>
                <w:szCs w:val="14"/>
                <w:b w:val="1"/>
                <w:bCs w:val="1"/>
                <w:color w:val="auto"/>
                <w:w w:val="92"/>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Par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6"/>
                <w:szCs w:val="16"/>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Issuance of restricted shares, net of shares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remitted and tax withholdings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652,624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1,171,965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36,244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Issuance of restricted shares, net of shares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remitted and tax withholdings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55,859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648,805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774,374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1,209,467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3"/>
                <w:szCs w:val="13"/>
                <w:color w:val="auto"/>
              </w:rPr>
            </w:pPr>
          </w:p>
        </w:tc>
        <w:tc>
          <w:tcPr>
            <w:tcW w:w="840" w:type="dxa"/>
            <w:vAlign w:val="bottom"/>
          </w:tcPr>
          <w:p>
            <w:pPr>
              <w:jc w:val="center"/>
              <w:ind w:right="353"/>
              <w:spacing w:after="0" w:line="153" w:lineRule="exact"/>
              <w:rPr>
                <w:sz w:val="20"/>
                <w:szCs w:val="20"/>
                <w:color w:val="auto"/>
              </w:rPr>
            </w:pPr>
            <w:r>
              <w:rPr>
                <w:rFonts w:ascii="Arial" w:cs="Arial" w:eastAsia="Arial" w:hAnsi="Arial"/>
                <w:sz w:val="14"/>
                <w:szCs w:val="14"/>
                <w:b w:val="1"/>
                <w:bCs w:val="1"/>
                <w:color w:val="auto"/>
                <w:w w:val="92"/>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Par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6"/>
                <w:szCs w:val="16"/>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3"/>
              </w:rPr>
              <w:t>Cumulative effect of change in accounting</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Issuance of restricted shares,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remitted and tax withholdings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0" w:type="dxa"/>
            <w:vAlign w:val="bottom"/>
          </w:tcPr>
          <w:p>
            <w:pPr>
              <w:spacing w:after="0"/>
              <w:rPr>
                <w:sz w:val="1"/>
                <w:szCs w:val="1"/>
                <w:color w:val="auto"/>
              </w:rPr>
            </w:pPr>
          </w:p>
        </w:tc>
      </w:tr>
      <w:tr>
        <w:trPr>
          <w:trHeight w:val="237"/>
        </w:trPr>
        <w:tc>
          <w:tcPr>
            <w:tcW w:w="3340" w:type="dxa"/>
            <w:vAlign w:val="bottom"/>
          </w:tcPr>
          <w:p>
            <w:pPr>
              <w:ind w:left="80"/>
              <w:spacing w:after="0"/>
              <w:rPr>
                <w:sz w:val="20"/>
                <w:szCs w:val="20"/>
                <w:color w:val="auto"/>
              </w:rPr>
            </w:pPr>
            <w:r>
              <w:rPr>
                <w:rFonts w:ascii="Arial" w:cs="Arial" w:eastAsia="Arial" w:hAnsi="Arial"/>
                <w:sz w:val="18"/>
                <w:szCs w:val="18"/>
                <w:color w:val="auto"/>
              </w:rPr>
              <w:t>Balance at March 31, 2018</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56,245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675,230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658,887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1,145,526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30,747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Issuance of restricted shares,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remitted and tax withholdings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56,087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664,948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689,634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1,161,048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firstLine="621"/>
        <w:spacing w:after="0" w:line="254" w:lineRule="auto"/>
        <w:rPr>
          <w:sz w:val="20"/>
          <w:szCs w:val="20"/>
          <w:color w:val="auto"/>
        </w:rPr>
      </w:pPr>
      <w:r>
        <w:rPr>
          <w:rFonts w:ascii="Arial" w:cs="Arial" w:eastAsia="Arial" w:hAnsi="Arial"/>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and Note 3, "Revenues," in the Company's Annual Report on Form 10-K for the year ended December 31, 2018. There have been no material changes in these policies or their application except for the changes described below.</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implemented</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 increases transparency and comparability among organizations by recognizing lease assets and lease liabilities on the balance sheet and disclosing key information about leasing arrangements. The Company adopted Topic 842 on January 1, 2019 using the modified retrospective method of adoption. Prior period amounts have not been adjusted and continue to be reported in accordance with the Company's historical accounting methodology pursuant to ASC 840, </w:t>
      </w:r>
      <w:r>
        <w:rPr>
          <w:rFonts w:ascii="Arial" w:cs="Arial" w:eastAsia="Arial" w:hAnsi="Arial"/>
          <w:sz w:val="17"/>
          <w:szCs w:val="17"/>
          <w:i w:val="1"/>
          <w:iCs w:val="1"/>
          <w:color w:val="auto"/>
        </w:rPr>
        <w:t>Leases</w:t>
      </w:r>
      <w:r>
        <w:rPr>
          <w:rFonts w:ascii="Arial" w:cs="Arial" w:eastAsia="Arial" w:hAnsi="Arial"/>
          <w:sz w:val="17"/>
          <w:szCs w:val="17"/>
          <w:color w:val="auto"/>
        </w:rPr>
        <w:t>. As permitted under the transition guidance, the Company elected to apply the package of three practical expedients for all existing leases which, among other things, allowed us to maintain the lease classification for all existing leases at the adoption date. The adoption of Topic 842 resulted in the recognition of right-of-use (“ROU”) assets of $185.5 million and total current and noncurrent lease liabilities of $188.5 million at adoption. Additionally, Topic 842 required new and expanded disclosures to enable users of financial statements to assess the amount, timing and uncertainty of cash flows arising from leases. The standard did not have a material impact on the consolidated statements of operations or cash flows.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leases predominately relate to real estate and equipment such as vehicles and industrial equipment utilized in operations as well as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79" w:lineRule="exact"/>
        <w:rPr>
          <w:sz w:val="20"/>
          <w:szCs w:val="20"/>
          <w:color w:val="auto"/>
        </w:rPr>
      </w:pPr>
    </w:p>
    <w:p>
      <w:pPr>
        <w:ind w:right="320" w:firstLine="648"/>
        <w:spacing w:after="0" w:line="320" w:lineRule="auto"/>
        <w:rPr>
          <w:sz w:val="20"/>
          <w:szCs w:val="20"/>
          <w:color w:val="auto"/>
        </w:rPr>
      </w:pPr>
      <w:r>
        <w:rPr>
          <w:rFonts w:ascii="Arial" w:cs="Arial" w:eastAsia="Arial" w:hAnsi="Arial"/>
          <w:sz w:val="15"/>
          <w:szCs w:val="15"/>
          <w:color w:val="auto"/>
        </w:rPr>
        <w:t>The Company generally enters into real estate leases with five to ten-year terms and non-real estate leases with two to seven-year terms. In the normal course of business, the Company also enters into short-term leases having terms of less than one-year. These leases are generally equipment leases entered into for short periods of time (e.g. daily, weekly or monthly), and done so to satisfy immediate and/or short-term operational needs of the business which can arise based upon the nature of particular services performed or seasonality factors. The Company has elected not to recognize ROU assets and lease liabilities for these short-term leases. Expense for all such short-term leases is disclosed as short-term lease cost as shown in Note 17, "Leases."</w:t>
      </w:r>
    </w:p>
    <w:p>
      <w:pPr>
        <w:spacing w:after="0" w:line="3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 if any.</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of the Company's real estate leases contain escalating future lease payments. Escalating lease payments that are based upon explicit amounts contained in the lease or an index (e.g., consumer price index) are included in its determination of future lease payments to determine the ROU asset and lease liability recognized at the commencement date. Any differences in the future lease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108" w:lineRule="exact"/>
        <w:rPr>
          <w:sz w:val="20"/>
          <w:szCs w:val="20"/>
          <w:color w:val="auto"/>
        </w:rPr>
      </w:pPr>
    </w:p>
    <w:p>
      <w:pPr>
        <w:ind w:right="9780" w:firstLine="8"/>
        <w:spacing w:after="0" w:line="443" w:lineRule="auto"/>
        <w:tabs>
          <w:tab w:leader="none" w:pos="2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Revenue Recognition</w:t>
      </w:r>
    </w:p>
    <w:p>
      <w:pPr>
        <w:ind w:right="20" w:firstLine="648"/>
        <w:spacing w:after="0" w:line="259" w:lineRule="auto"/>
        <w:rPr>
          <w:sz w:val="20"/>
          <w:szCs w:val="20"/>
          <w:color w:val="auto"/>
        </w:rPr>
      </w:pPr>
      <w:r>
        <w:rPr>
          <w:rFonts w:ascii="Arial" w:cs="Arial" w:eastAsia="Arial" w:hAnsi="Arial"/>
          <w:sz w:val="18"/>
          <w:szCs w:val="18"/>
          <w:color w:val="auto"/>
        </w:rPr>
        <w:t>The Company generates services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 Product revenues are recognized when the products are delivered and control transfers to the customer.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2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majority of the Company’s contracts are for services, which are recognized based on time and materials incurred at contractually agreed-upon rates. The Company’s payment terms vary by the type and location of its customers and the products or services offered. The periods between invoicing and when payments are due are not significant. Any amounts billed to customers related to shipping and handling are classified as revenue and the Company's shipping and handling costs are included in costs of revenues. In the course of the Company's operations, it collects sales tax and other excise taxes from its customers and recognizes a current liability which is then relieved when the taxes are remitted to the appropriate governmental authorities. The Company excludes sales and other excise taxes that it collects from customers from its revenues.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third-party revenues disaggregated by revenue source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Three Months Ended June 30,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431,749</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316,688</w:t>
            </w:r>
          </w:p>
        </w:tc>
        <w:tc>
          <w:tcPr>
            <w:tcW w:w="12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6"/>
              </w:rPr>
              <w:t>202</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748,639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120,039</w:t>
            </w: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526,294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342,182</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868,678</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275,908</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Field and Emergency Response Services</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86,722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86,722</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136,011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Oil, Gas and Lodging Services and Other</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27,653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27,855</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216,434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216,434</w:t>
            </w:r>
          </w:p>
        </w:tc>
      </w:tr>
      <w:tr>
        <w:trPr>
          <w:trHeight w:val="270"/>
        </w:trPr>
        <w:tc>
          <w:tcPr>
            <w:tcW w:w="42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125,748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125,748</w:t>
            </w:r>
          </w:p>
        </w:tc>
      </w:tr>
      <w:tr>
        <w:trPr>
          <w:trHeight w:val="264"/>
        </w:trPr>
        <w:tc>
          <w:tcPr>
            <w:tcW w:w="42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526,294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342,182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868,678</w:t>
            </w:r>
          </w:p>
        </w:tc>
      </w:tr>
      <w:tr>
        <w:trPr>
          <w:trHeight w:val="58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For the Three Months Ended June 30, 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2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408,127</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306,059</w:t>
            </w:r>
          </w:p>
        </w:tc>
        <w:tc>
          <w:tcPr>
            <w:tcW w:w="1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3"/>
              </w:rPr>
              <w:t>363</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714,549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940" w:type="dxa"/>
            <w:vAlign w:val="bottom"/>
            <w:tcBorders>
              <w:bottom w:val="single" w:sz="8" w:color="CCEEFF"/>
            </w:tcBorders>
            <w:gridSpan w:val="2"/>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111,789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22,656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134,591</w:t>
            </w:r>
          </w:p>
        </w:tc>
      </w:tr>
      <w:tr>
        <w:trPr>
          <w:trHeight w:val="237"/>
        </w:trPr>
        <w:tc>
          <w:tcPr>
            <w:tcW w:w="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519,916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328,715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849,140</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0" w:type="dxa"/>
            <w:vAlign w:val="bottom"/>
            <w:tcBorders>
              <w:right w:val="single" w:sz="8" w:color="CCEEFF"/>
            </w:tcBorders>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257,006</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76,092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76,092</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161,046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161,046</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25,772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26,281</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200,034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200,034</w:t>
            </w:r>
          </w:p>
        </w:tc>
      </w:tr>
      <w:tr>
        <w:trPr>
          <w:trHeight w:val="270"/>
        </w:trPr>
        <w:tc>
          <w:tcPr>
            <w:tcW w:w="40" w:type="dxa"/>
            <w:vAlign w:val="bottom"/>
          </w:tcPr>
          <w:p>
            <w:pPr>
              <w:spacing w:after="0"/>
              <w:rPr>
                <w:sz w:val="23"/>
                <w:szCs w:val="23"/>
                <w:color w:val="auto"/>
              </w:rPr>
            </w:pPr>
          </w:p>
        </w:tc>
        <w:tc>
          <w:tcPr>
            <w:tcW w:w="4200" w:type="dxa"/>
            <w:vAlign w:val="bottom"/>
            <w:gridSpan w:val="4"/>
          </w:tcPr>
          <w:p>
            <w:pPr>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128,681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128,681</w:t>
            </w:r>
          </w:p>
        </w:tc>
      </w:tr>
      <w:tr>
        <w:trPr>
          <w:trHeight w:val="244"/>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519,916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849,140</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393"/>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For the Six Months Ended June 30, 2019</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right w:val="single" w:sz="8" w:color="CCEEFF"/>
            </w:tcBorders>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819,918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603,262</w:t>
            </w:r>
          </w:p>
        </w:tc>
        <w:tc>
          <w:tcPr>
            <w:tcW w:w="1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3"/>
              </w:rPr>
              <w:t>796</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1,423,976</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700" w:type="dxa"/>
            <w:vAlign w:val="bottom"/>
            <w:tcBorders>
              <w:bottom w:val="single" w:sz="8" w:color="CCEEFF"/>
            </w:tcBorders>
            <w:gridSpan w:val="3"/>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180,074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45,467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225,541</w:t>
            </w:r>
          </w:p>
        </w:tc>
      </w:tr>
      <w:tr>
        <w:trPr>
          <w:trHeight w:val="237"/>
        </w:trPr>
        <w:tc>
          <w:tcPr>
            <w:tcW w:w="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999,992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648,729</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796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1,649,517</w:t>
            </w: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527,827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527,827</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158,348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158,348</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252,109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252,109</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61,708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62,504</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423,517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423,517</w:t>
            </w:r>
          </w:p>
        </w:tc>
      </w:tr>
      <w:tr>
        <w:trPr>
          <w:trHeight w:val="270"/>
        </w:trPr>
        <w:tc>
          <w:tcPr>
            <w:tcW w:w="40" w:type="dxa"/>
            <w:vAlign w:val="bottom"/>
          </w:tcPr>
          <w:p>
            <w:pPr>
              <w:spacing w:after="0"/>
              <w:rPr>
                <w:sz w:val="23"/>
                <w:szCs w:val="23"/>
                <w:color w:val="auto"/>
              </w:rPr>
            </w:pPr>
          </w:p>
        </w:tc>
        <w:tc>
          <w:tcPr>
            <w:tcW w:w="4200" w:type="dxa"/>
            <w:vAlign w:val="bottom"/>
            <w:gridSpan w:val="4"/>
          </w:tcPr>
          <w:p>
            <w:pPr>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225,212</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225,212</w:t>
            </w:r>
          </w:p>
        </w:tc>
      </w:tr>
      <w:tr>
        <w:trPr>
          <w:trHeight w:val="244"/>
        </w:trPr>
        <w:tc>
          <w:tcPr>
            <w:tcW w:w="40" w:type="dxa"/>
            <w:vAlign w:val="bottom"/>
            <w:tcBorders>
              <w:right w:val="single" w:sz="8" w:color="CCEEFF"/>
            </w:tcBorders>
          </w:tcPr>
          <w:p>
            <w:pPr>
              <w:spacing w:after="0"/>
              <w:rPr>
                <w:sz w:val="21"/>
                <w:szCs w:val="21"/>
                <w:color w:val="auto"/>
              </w:rPr>
            </w:pPr>
          </w:p>
        </w:tc>
        <w:tc>
          <w:tcPr>
            <w:tcW w:w="4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1,649,517</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For the Six Months Ended June 30,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Borders>
              <w:right w:val="single" w:sz="8" w:color="CCEEFF"/>
            </w:tcBorders>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752,099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593,701</w:t>
            </w:r>
          </w:p>
        </w:tc>
        <w:tc>
          <w:tcPr>
            <w:tcW w:w="100" w:type="dxa"/>
            <w:vAlign w:val="bottom"/>
          </w:tcPr>
          <w:p>
            <w:pPr>
              <w:spacing w:after="0"/>
              <w:rPr>
                <w:sz w:val="21"/>
                <w:szCs w:val="21"/>
                <w:color w:val="auto"/>
              </w:rPr>
            </w:pP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508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1,346,308</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700" w:type="dxa"/>
            <w:vAlign w:val="bottom"/>
            <w:tcBorders>
              <w:bottom w:val="single" w:sz="8" w:color="CCEEFF"/>
            </w:tcBorders>
            <w:gridSpan w:val="3"/>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207,505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44,932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252,610</w:t>
            </w:r>
          </w:p>
        </w:tc>
      </w:tr>
      <w:tr>
        <w:trPr>
          <w:trHeight w:val="237"/>
        </w:trPr>
        <w:tc>
          <w:tcPr>
            <w:tcW w:w="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959,604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638,633</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1,598,918</w:t>
            </w: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493,312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493,312</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146,027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146,027</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264,809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264,809</w:t>
            </w: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55,456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56,137</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394,195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394,195</w:t>
            </w:r>
          </w:p>
        </w:tc>
      </w:tr>
      <w:tr>
        <w:trPr>
          <w:trHeight w:val="270"/>
        </w:trPr>
        <w:tc>
          <w:tcPr>
            <w:tcW w:w="40" w:type="dxa"/>
            <w:vAlign w:val="bottom"/>
          </w:tcPr>
          <w:p>
            <w:pPr>
              <w:spacing w:after="0"/>
              <w:rPr>
                <w:sz w:val="23"/>
                <w:szCs w:val="23"/>
                <w:color w:val="auto"/>
              </w:rPr>
            </w:pPr>
          </w:p>
        </w:tc>
        <w:tc>
          <w:tcPr>
            <w:tcW w:w="4200" w:type="dxa"/>
            <w:vAlign w:val="bottom"/>
            <w:gridSpan w:val="4"/>
          </w:tcPr>
          <w:p>
            <w:pPr>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244,438</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244,438</w:t>
            </w:r>
          </w:p>
        </w:tc>
      </w:tr>
      <w:tr>
        <w:trPr>
          <w:trHeight w:val="244"/>
        </w:trPr>
        <w:tc>
          <w:tcPr>
            <w:tcW w:w="40" w:type="dxa"/>
            <w:vAlign w:val="bottom"/>
            <w:tcBorders>
              <w:right w:val="single" w:sz="8" w:color="CCEEFF"/>
            </w:tcBorders>
          </w:tcPr>
          <w:p>
            <w:pPr>
              <w:spacing w:after="0"/>
              <w:rPr>
                <w:sz w:val="21"/>
                <w:szCs w:val="21"/>
                <w:color w:val="auto"/>
              </w:rPr>
            </w:pPr>
          </w:p>
        </w:tc>
        <w:tc>
          <w:tcPr>
            <w:tcW w:w="4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third-party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959,604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1,598,918</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60" w:right="1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Safety-Kleen Oil was formerly known as Kleen Performance Products.</w:t>
      </w:r>
    </w:p>
    <w:p>
      <w:pPr>
        <w:spacing w:after="0" w:line="14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Technical Services. </w:t>
      </w:r>
      <w:r>
        <w:rPr>
          <w:rFonts w:ascii="Arial" w:cs="Arial" w:eastAsia="Arial" w:hAnsi="Arial"/>
          <w:sz w:val="16"/>
          <w:szCs w:val="16"/>
          <w:color w:val="auto"/>
        </w:rPr>
        <w:t>Technical Services revenues are generated from fees charged for waste material management and disposal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the location of the customer, but generally is measured in days.</w:t>
      </w:r>
    </w:p>
    <w:p>
      <w:pPr>
        <w:spacing w:after="0" w:line="9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i w:val="1"/>
          <w:iCs w:val="1"/>
          <w:color w:val="auto"/>
        </w:rPr>
        <w:t xml:space="preserve">Field and Emergency Response Services. </w:t>
      </w:r>
      <w:r>
        <w:rPr>
          <w:rFonts w:ascii="Arial" w:cs="Arial" w:eastAsia="Arial" w:hAnsi="Arial"/>
          <w:sz w:val="17"/>
          <w:szCs w:val="17"/>
          <w:color w:val="auto"/>
        </w:rPr>
        <w:t>Field Services revenues are generated from cleanup services at customer sites, including municipalities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days or even months for larger scale projects.</w:t>
      </w:r>
    </w:p>
    <w:p>
      <w:pPr>
        <w:spacing w:after="0" w:line="1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Industrial Services. </w:t>
      </w:r>
      <w:r>
        <w:rPr>
          <w:rFonts w:ascii="Arial" w:cs="Arial" w:eastAsia="Arial" w:hAnsi="Arial"/>
          <w:sz w:val="18"/>
          <w:szCs w:val="18"/>
          <w:color w:val="auto"/>
        </w:rPr>
        <w:t>Industrial Services revenues are generated from industrial and specialty services provided to refineries, mines, upgraders,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directional boring services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1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b w:val="1"/>
          <w:bCs w:val="1"/>
          <w:i w:val="1"/>
          <w:iCs w:val="1"/>
          <w:color w:val="auto"/>
        </w:rPr>
        <w:t xml:space="preserve">Oil, Gas and Lodging Services and Other. </w:t>
      </w:r>
      <w:r>
        <w:rPr>
          <w:rFonts w:ascii="Arial" w:cs="Arial" w:eastAsia="Arial" w:hAnsi="Arial"/>
          <w:sz w:val="16"/>
          <w:szCs w:val="16"/>
          <w:color w:val="auto"/>
        </w:rPr>
        <w:t>Oil, Gas and Lodging Services and Other is primarily comprised of revenues generated from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w:t>
      </w:r>
    </w:p>
    <w:p>
      <w:pPr>
        <w:spacing w:after="0" w:line="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Safety-Kleen Environmental Services. </w:t>
      </w:r>
      <w:r>
        <w:rPr>
          <w:rFonts w:ascii="Arial" w:cs="Arial" w:eastAsia="Arial" w:hAnsi="Arial"/>
          <w:sz w:val="18"/>
          <w:szCs w:val="18"/>
          <w:color w:val="auto"/>
        </w:rPr>
        <w:t>Safety-Kleen Environmental Services revenues are generated from providing parts washer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containerized waste handling and disposal services, oil collection services, direct sales of blended oil products and other complementary services and product sales through a network of branch locations. Containerized waste services consist of profiling, collecting, transporting and recycling or disposing of a wide variety of waste. Other products and services include vacuum</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services, sale of complementary supply products including automotive fluids and shop supplies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8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Safety-Kleen Oil. </w:t>
      </w:r>
      <w:r>
        <w:rPr>
          <w:rFonts w:ascii="Arial" w:cs="Arial" w:eastAsia="Arial" w:hAnsi="Arial"/>
          <w:sz w:val="18"/>
          <w:szCs w:val="18"/>
          <w:color w:val="auto"/>
        </w:rPr>
        <w:t>Safety-Kleen Oil revenues are generated from sales of high-quality base and blended lubricating oils to third-party distributors,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generally transfers when the products are delivered to the customer.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606,952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Contract assets (unbilled receivables)</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52,174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54,794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(deferred revenue)</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75,170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61,843</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or deferred revenue (contract liabilities) on the consolidated balance sheets.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sheets on a contract-by-contract basis at the end of each reporting period. The contract liability balances at the beginning of each period presented were fully recognized in the subsequent three-month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9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May 31, 2019, the Company acquired a privately-owned business which expands the environmental services and hazardous materials management services of the Company for $14.9 million. The acquired company is included in the Environmental Services segment. In connection with this acquisition, a preliminary goodwill amount of $7.3 million was recognized.</w:t>
      </w:r>
    </w:p>
    <w:p>
      <w:pPr>
        <w:spacing w:after="0" w:line="12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March 1, 2019, the Company acquired certain assets of a privately-owned business for $10.4 million. The acquired business complements the Safety-Kleen segment's core service offerings, such as used motor oil collection, parts washers, oil filter recycling and vacuum services. In connection with this acquisition, a preliminary goodwill amount of $5.2 million was recognized.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August 31, 2018, the Company acquired a privately-owned business which expands the environmental services and waste oil capabilities of the Company for a $26.7 million purchase price, net of cash. The acquired company is included in the Safety-Kleen and Environmental Services segments. In connection with this acquisition, a preliminary goodwill amount of $12.3 million was recognized. The results of operations of this acquired business were not material in 2019.</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$124.5 million. The amount of pre-tax income for the three and six months ended June 30, 2018 was $2.1 million and $3.3 million, respectively. The Veolia Business was integrated into the Environmental Services segment.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finalized purchase accounting for the Veolia Business in the first quarter of 2019. The components and allocation of the purchase price for the Veolia Business consist of the following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Final Allocation</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39,558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1,126</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72,243</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(18,372)</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100,169</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24,331</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124,500</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products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108,713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104,609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13,390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and supplies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199,479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Supplies and drums consist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154,918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472,383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440,188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777,968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721,735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1,697,490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3,496,303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3,332,595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1,899,386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1,770,617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1,596,917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1,561,978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(1) Inclusive of finance lease.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 the amount of $0.1 million and $0.2 million was capitalized to property, plant and equipment during the three and six months ended June 30, 2019, respectively. Interest in the amount of $0.1 million and $0.4 million was capitalized to property, plant and equipment during the three and six months ended June 30, 2018, respectively. Depreciation expense, inclusive of landfill and finance lease amortization, was $65.5 million and $131.4 million for the three and six months ended June 30, 2019, respectively. Depreciation expense, inclusive of landfill amortization, was $64.2 million and $129.8 million for the three and six months ended June 30, 2018,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six months ended June 30,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212,808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312,236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525,044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and December 31, 2018, the Company's total intangible assets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182,063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177,583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401,296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195,036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206,260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393,487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179,824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213,663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38,198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621,557</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310,580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310,977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608,332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319,407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122,876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122,876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122,468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122,468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744,433</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310,580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433,853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730,800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288,925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441,875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Amortization expense of permits and other intangible assets was $8.7 million and $18.2 million in the three and six months ended June 30, 2019, respectively. Amortization expense of permits and other intangible assets was $8.6 million and $17.8 million in the three and six months ended June 30, 2018, respectively.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amortization of the net carrying amount of finite-lived intangible assets at June 30, 2019 was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Expected 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2019 (six months)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43"/>
        </w:trPr>
        <w:tc>
          <w:tcPr>
            <w:tcW w:w="1740" w:type="dxa"/>
            <w:vAlign w:val="bottom"/>
            <w:gridSpan w:val="2"/>
          </w:tcPr>
          <w:p>
            <w:pPr>
              <w:ind w:left="18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31,943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35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28,661</w:t>
            </w:r>
          </w:p>
        </w:tc>
        <w:tc>
          <w:tcPr>
            <w:tcW w:w="0" w:type="dxa"/>
            <w:vAlign w:val="bottom"/>
          </w:tcPr>
          <w:p>
            <w:pPr>
              <w:spacing w:after="0"/>
              <w:rPr>
                <w:sz w:val="1"/>
                <w:szCs w:val="1"/>
                <w:color w:val="auto"/>
              </w:rPr>
            </w:pPr>
          </w:p>
        </w:tc>
      </w:tr>
      <w:tr>
        <w:trPr>
          <w:trHeight w:val="243"/>
        </w:trPr>
        <w:tc>
          <w:tcPr>
            <w:tcW w:w="174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35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35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Thereafter</w:t>
            </w: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181,304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310,977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320" w:type="dxa"/>
            <w:vAlign w:val="bottom"/>
            <w:gridSpan w:val="3"/>
            <w:vMerge w:val="continue"/>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5280" w:type="dxa"/>
            <w:vAlign w:val="bottom"/>
            <w:gridSpan w:val="2"/>
          </w:tcPr>
          <w:p>
            <w:pPr>
              <w:ind w:left="620"/>
              <w:spacing w:after="0"/>
              <w:rPr>
                <w:sz w:val="20"/>
                <w:szCs w:val="20"/>
                <w:color w:val="auto"/>
              </w:rPr>
            </w:pPr>
            <w:r>
              <w:rPr>
                <w:rFonts w:ascii="Arial" w:cs="Arial" w:eastAsia="Arial" w:hAnsi="Arial"/>
                <w:sz w:val="18"/>
                <w:szCs w:val="18"/>
                <w:color w:val="auto"/>
                <w:w w:val="97"/>
              </w:rPr>
              <w:t>Accrued expenses consisted of the following (in thousands):</w:t>
            </w: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0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77,881</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224,497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233,405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0" w:type="dxa"/>
            <w:vAlign w:val="bottom"/>
            <w:vMerge w:val="restart"/>
          </w:tcPr>
          <w:p>
            <w:pPr>
              <w:jc w:val="right"/>
              <w:ind w:right="223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2019 through June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43,023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75,830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the landfill facilities included in the above were active as of June 30, 2019. In the six months ended June 30, 2019, there were no significant charges (benefits) resulting from changes in estimates for closure and post-closure liabilities.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six months of 2019 were discounted at the credit-adjusted risk-free rate of 6.02%.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2019 through June 30,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64,424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51,975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118,275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six months ended June 30, 2019, there were no significant charges (benefits) resulting from changes in estimates for remedial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Current Obligations:</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57"/>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Long-Term Obligations: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730,929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734,697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845,000</w:t>
            </w: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Long-term obligations, at par</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1,575,929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1,579,697</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(14,676)</w:t>
            </w:r>
          </w:p>
        </w:tc>
      </w:tr>
      <w:tr>
        <w:trPr>
          <w:trHeight w:val="25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1,562,989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1,565,021</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6"/>
          <w:szCs w:val="16"/>
          <w:color w:val="auto"/>
        </w:rPr>
        <w:t>At June 30, 2019 and December 31, 2018, the fair value of the Term Loan Agreement debt was $739.4 million and $707.0 million, respectively, based on quoted market prices or other available market data. At June 30, 2019 and December 31, 2018, the fair value of the Company's 2021 Notes was $847.1 million and $845.0 million, respectively, based on quoted market prices for the instrument. The fair values of the Company's currently outstanding term loans under the Term Loan Agreement (the "Term Loans") and 2021 Notes are considered Level 2 measures according to the fair value hierarchy.</w:t>
      </w:r>
    </w:p>
    <w:p>
      <w:pPr>
        <w:spacing w:after="0" w:line="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also maintains a $400.0 million revolving credit facility under which the Company had no outstanding loan balance as of June 30, 2019 and December 31, 2018. At June 30, 2019, approximately $217.0 million was available to borrow and outstanding letters of credit were $153.5 million. At December 31, 2018, $235.4 million was available to borrow and outstanding letters of credit were $130.1 million.</w:t>
      </w:r>
    </w:p>
    <w:p>
      <w:pPr>
        <w:spacing w:after="0" w:line="10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Senior Unsecured Notes. </w:t>
      </w:r>
      <w:r>
        <w:rPr>
          <w:rFonts w:ascii="Arial" w:cs="Arial" w:eastAsia="Arial" w:hAnsi="Arial"/>
          <w:sz w:val="18"/>
          <w:szCs w:val="18"/>
          <w:color w:val="auto"/>
        </w:rPr>
        <w:t>On July 2, 2019, the Company completed a private placement of $545.0 million aggregate principal amount of 4.875%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due 2027 (the “2027 Notes”) and $300.0 million aggregate principal amount of 5.125% senior unsecured notes due 2029 (the “2029 Notes,” and together with the 2027 Notes, the “New Notes”).</w:t>
      </w:r>
    </w:p>
    <w:p>
      <w:pPr>
        <w:spacing w:after="0" w:line="10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2027 Notes will mature on July 15, 2027, and the 2029 Notes will mature on July 15, 2029. Interest payments on each series of the New Notes will be paid semiannually on January 15 and July 15, commencing on January 15, 2020.</w:t>
      </w:r>
    </w:p>
    <w:p>
      <w:pPr>
        <w:spacing w:after="0" w:line="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may redeem all or any portion of the 2027 Notes prior to July 15, 2022 or the 2029 Notes prior to July 15, 2024 at a redemption price equal to 100% of the principal amount redeemed plus a make whole premium as of the date of redemption including accrued and unpaid interest, if any, to the date of redemption. Additionally, prior to July 15, 2022 for the 2027 Notes and July 15, 2024 for the 2029 Notes, the Company may use cash proceeds of one or more equity offerings to redeem up to 35% in aggregate principal of the 2027 Notes or the 2029 Notes at a redemption price equal to 104.875% or 105.125%, respectively, plus accrued and unpaid interest thereon, if any, up to the date of redemption.</w:t>
      </w:r>
    </w:p>
    <w:p>
      <w:pPr>
        <w:spacing w:after="0" w:line="9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After the dates in the preceding paragraph, the Company may redeem all or any portion of the New Notes which remain outstanding at any time upon proper notice at the following redemption prices if redeemed during the twelve-month period commencing on July 15 of the years set forth below plus accrued and unpaid interest, if any, to the date of redemption: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89" w:lineRule="exact"/>
        <w:rPr>
          <w:sz w:val="20"/>
          <w:szCs w:val="20"/>
          <w:color w:val="auto"/>
        </w:rPr>
      </w:pPr>
    </w:p>
    <w:p>
      <w:pPr>
        <w:ind w:left="40"/>
        <w:spacing w:after="0"/>
        <w:tabs>
          <w:tab w:leader="none" w:pos="1022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Percentage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2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2023</w:t>
            </w:r>
          </w:p>
        </w:tc>
        <w:tc>
          <w:tcPr>
            <w:tcW w:w="7880" w:type="dxa"/>
            <w:vAlign w:val="bottom"/>
            <w:gridSpan w:val="3"/>
          </w:tcPr>
          <w:p>
            <w:pPr>
              <w:jc w:val="right"/>
              <w:spacing w:after="0"/>
              <w:rPr>
                <w:sz w:val="20"/>
                <w:szCs w:val="20"/>
                <w:color w:val="auto"/>
              </w:rPr>
            </w:pPr>
            <w:r>
              <w:rPr>
                <w:rFonts w:ascii="Arial" w:cs="Arial" w:eastAsia="Arial" w:hAnsi="Arial"/>
                <w:sz w:val="18"/>
                <w:szCs w:val="18"/>
                <w:color w:val="auto"/>
              </w:rPr>
              <w:t>101.210%</w:t>
            </w:r>
          </w:p>
        </w:tc>
      </w:tr>
      <w:tr>
        <w:trPr>
          <w:trHeight w:val="27"/>
        </w:trPr>
        <w:tc>
          <w:tcPr>
            <w:tcW w:w="35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7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351"/>
        </w:trPr>
        <w:tc>
          <w:tcPr>
            <w:tcW w:w="3520" w:type="dxa"/>
            <w:vAlign w:val="bottom"/>
          </w:tcPr>
          <w:p>
            <w:pPr>
              <w:spacing w:after="0"/>
              <w:rPr>
                <w:sz w:val="20"/>
                <w:szCs w:val="20"/>
                <w:color w:val="auto"/>
              </w:rPr>
            </w:pPr>
            <w:r>
              <w:rPr>
                <w:rFonts w:ascii="Arial" w:cs="Arial" w:eastAsia="Arial" w:hAnsi="Arial"/>
                <w:sz w:val="18"/>
                <w:szCs w:val="18"/>
                <w:b w:val="1"/>
                <w:bCs w:val="1"/>
                <w:color w:val="auto"/>
              </w:rPr>
              <w:t>2029 Notes</w:t>
            </w:r>
          </w:p>
        </w:tc>
        <w:tc>
          <w:tcPr>
            <w:tcW w:w="6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2"/>
        </w:trPr>
        <w:tc>
          <w:tcPr>
            <w:tcW w:w="352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6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294"/>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5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102.563%</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2025</w:t>
            </w:r>
          </w:p>
        </w:tc>
        <w:tc>
          <w:tcPr>
            <w:tcW w:w="7880" w:type="dxa"/>
            <w:vAlign w:val="bottom"/>
            <w:gridSpan w:val="3"/>
          </w:tcPr>
          <w:p>
            <w:pPr>
              <w:jc w:val="right"/>
              <w:spacing w:after="0"/>
              <w:rPr>
                <w:sz w:val="20"/>
                <w:szCs w:val="20"/>
                <w:color w:val="auto"/>
              </w:rPr>
            </w:pPr>
            <w:r>
              <w:rPr>
                <w:rFonts w:ascii="Arial" w:cs="Arial" w:eastAsia="Arial" w:hAnsi="Arial"/>
                <w:sz w:val="18"/>
                <w:szCs w:val="18"/>
                <w:color w:val="auto"/>
              </w:rPr>
              <w:t>101.281%</w:t>
            </w:r>
          </w:p>
        </w:tc>
      </w:tr>
      <w:tr>
        <w:trPr>
          <w:trHeight w:val="27"/>
        </w:trPr>
        <w:tc>
          <w:tcPr>
            <w:tcW w:w="3520" w:type="dxa"/>
            <w:vAlign w:val="bottom"/>
          </w:tcPr>
          <w:p>
            <w:pPr>
              <w:spacing w:after="0"/>
              <w:rPr>
                <w:sz w:val="2"/>
                <w:szCs w:val="2"/>
                <w:color w:val="auto"/>
              </w:rPr>
            </w:pPr>
          </w:p>
        </w:tc>
        <w:tc>
          <w:tcPr>
            <w:tcW w:w="7880" w:type="dxa"/>
            <w:vAlign w:val="bottom"/>
            <w:gridSpan w:val="3"/>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 and thereafter</w:t>
            </w:r>
          </w:p>
        </w:tc>
        <w:tc>
          <w:tcPr>
            <w:tcW w:w="7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810"/>
        </w:trPr>
        <w:tc>
          <w:tcPr>
            <w:tcW w:w="3520" w:type="dxa"/>
            <w:vAlign w:val="bottom"/>
          </w:tcPr>
          <w:p>
            <w:pPr>
              <w:spacing w:after="0"/>
              <w:rPr>
                <w:sz w:val="24"/>
                <w:szCs w:val="24"/>
                <w:color w:val="auto"/>
              </w:rPr>
            </w:pPr>
          </w:p>
        </w:tc>
        <w:tc>
          <w:tcPr>
            <w:tcW w:w="6220" w:type="dxa"/>
            <w:vAlign w:val="bottom"/>
          </w:tcPr>
          <w:p>
            <w:pPr>
              <w:jc w:val="right"/>
              <w:ind w:right="38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New Notes and the related indenture contains various customary non-financial covenants and are guaranteed by substantially all of the Company’s current and future domestic subsidiaries.</w:t>
      </w:r>
    </w:p>
    <w:p>
      <w:pPr>
        <w:spacing w:after="0" w:line="8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Concurrently with the closing of the New Notes on July 2, 2019, the Company purchased, using a portion of the net proceeds from the sale of the New Notes, an aggregate principal amount of $701.0 million of the 2021 Notes. The total amount paid in purchasing the 2021 Notes was $706.2 million including $3.1 million of accrued interest. On July 17, 2019, the Company redeemed the remaining $144.0 million outstanding 2021 Notes, including $0.9 million of accrued interest, using the remaining net proceeds from the sale of the New Notes and available cash. In connection with this early redemption of the 2021 Notes, the Company expects to record a loss on early extinguishment of debt of approximately $6.0 million in the third quarter of 2019. With the repurchase of the 2021 Notes, none of the Company’s outstanding debt is registered under the Securities Act of 1933, as amended.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 Although the interest rate on all $738.5 million aggregate principal amount of Term Loans which were outstanding on June 30, 2019 is variable under the Term Loan Agreement, the Company has effectively fixed the interest rate on $350.0 million aggregate principal amount of the Term Loans outstanding by entering into interest rate swap agreements with a notional amount of $350.0 million. Under the terms of the interest rate swap agreements, the Company receives interest based on the one-month LIBOR index and pays interest at a weighted average annual interest rate of approximately 2.92%. When combined with the 1.75% interest rate margin for Eurocurrency borrowings, the effective annual interest rate on such $350.0 million aggregate principal amount of Term Loans is therefore approximately 4.67%.</w:t>
      </w:r>
    </w:p>
    <w:p>
      <w:pPr>
        <w:spacing w:after="0" w:line="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0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June 30, 2019 and December 31, 2018, the Company has recorded a derivative liability with a fair value of $22.0 million and $8.8 million, respectively, within accrued expenses in connection with these cash flow hedges.</w:t>
      </w:r>
    </w:p>
    <w:p>
      <w:pPr>
        <w:spacing w:after="0" w:line="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fair value of the interest rate swaps included in the Level 2 tier of the fair value hierarchy is calculated using discounted cash flow valuation methodologies based upon the one-month LIBOR yield curves that are observable at commonly quoted intervals for the full term of the interest rate swaps. Level 2 utilizes quoted market prices in markets that are not active, broker or dealer quotation, or alternative pricing sources with reasonable levels of price transparency for similar assets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97" w:lineRule="exact"/>
        <w:rPr>
          <w:sz w:val="20"/>
          <w:szCs w:val="20"/>
          <w:color w:val="auto"/>
        </w:rPr>
      </w:pPr>
    </w:p>
    <w:p>
      <w:pPr>
        <w:ind w:right="20" w:firstLine="648"/>
        <w:spacing w:after="0" w:line="292"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8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effective tax rate for the three and six months ended June 30, 2019 was 30.7% and 37.2%, respectively, compared to 30.8% and 48.0% for the comparable periods in 2018.</w:t>
      </w:r>
    </w:p>
    <w:p>
      <w:pPr>
        <w:spacing w:after="0" w:line="2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2019 and December 31, 2018, the Company had recorded $4.8 million and $3.2 million, respectively, of liabilities for unrecognized tax benefits and $1.2 million and $0.8 million of interest, respectively.</w:t>
      </w:r>
    </w:p>
    <w:p>
      <w:pPr>
        <w:spacing w:after="0" w:line="8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Company's tax years 2014-2016 are currently under audit by the Internal Revenue Service (“IRS”). While the examination has recently commenced and ultimate outcomes are unknown, the Company does not believe the examination will result in material adjustments to previously filed returns.</w:t>
      </w:r>
    </w:p>
    <w:p>
      <w:pPr>
        <w:spacing w:after="0" w:line="100" w:lineRule="exact"/>
        <w:rPr>
          <w:sz w:val="20"/>
          <w:szCs w:val="20"/>
          <w:color w:val="auto"/>
        </w:rPr>
      </w:pPr>
    </w:p>
    <w:p>
      <w:pPr>
        <w:ind w:right="2100" w:firstLine="648"/>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$0.6 million within the next 12 months.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36,244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30,747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37,220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18,116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56,304</w:t>
            </w: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Dilutive effect of stock-based compensation awards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shares outstanding</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56,066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56,505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56,399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64"/>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4"/>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three months ended June 30, 2019 and June 30, 2018, the dilutive effect of all then outstanding restricted stock and performance awards is included in the earnings per share calculation above except for 75,759 and 146,159 of performance stock awards for which the performance criteria were not attained at that time and 4,623 and 136,155, respectively, of restricted stock awards which were antidilutive.</w:t>
      </w:r>
    </w:p>
    <w:p>
      <w:pPr>
        <w:spacing w:after="0" w:line="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six months ended June 30, 2019 and June 30, 2018, the dilutive effect of all then outstanding restricted stock and performance awards is included in the earnings per share calculation above except for 75,759 and 146,159 of performance stock awards for which the performance criteria were not attained at that time and 78,892 and 130,932, respectively, of restricted stock awards which were antidilutive.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six months ended June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Unrealized (Losses)</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Gains on</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Unfunded Pension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Available-For-Sale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on Interest Rate</w:t>
            </w: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Hedge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 effects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Tax impact related to items in other comprehensive income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Amounts reclassified out of accumulated other comprehensive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three and six months ended June 30, 2019 were as follows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 Comprehensive Income (Loss) Components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34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Ended June 30, 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Unrealized loss on interest rate hedge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Unrealized loss on available-for-sale securities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reclassifications out of accumulated other comprehensive loss during the three and six months ended June 30, 2018.</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stock-based compensation cost charged to selling, general and administrative expenses for the three and six months ended June 30, 2019 was $3.8 million and $9.6 million, respectively. Total stock-based compensation cost charged to selling, general and administrative expenses for the three and six months ended June 30, 2018 was $3.5 million and $6.6 million, respectively. The total income tax benefit recognized in the consolidated statements of operations from stock-based compensation was $0.7 million and $1.8 million for the three and six months ended June 30, 2019, respectively. The total income tax benefit recognized in the consolidated statements of operations from stock-based compensation was $0.7 million and $1.3 million for the three and six months ended June 30, 2018, respectively.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following information relates to restricted stock awards that have been granted to employees and directors under the Company's equity incentive plan adopted in 2010 (the "2010 Plan").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six months ended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657,240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79,060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(48,166)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481,102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2019, there was $21.3 million of total unrecognized compensation cost arising from restricted stock awards under the Company's 2010 Plan. This cost is expected to be recognized over a weighted average period of 2.4 years. The total fair value of restricted stock vested during the three and six months ended June 30, 2019 was $7.9 million and $11.1 million, respectively. The total fair value of restricted stock vested during the three and six months ended June 30, 2018 was $7.0 million and $8.3 million,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following information relates to performance stock awards that have been granted to employees under the Company's 2010 Plan.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six months ended June 30, 2019:</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(23,554)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137,940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June 30, 2019, there was $3.4 million of total unrecognized compensation cost arising from unvested performance stock awards deemed probable of vesting under the Company's 2010 Plan. No performance awards vested during the three months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ended June 30, 2019 and June 30, 2018. The total fair value of performance awards vested during the six months ended June 30, 2019 and June 30, 2018 was $2.9 million and $0.5 million,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4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board of directors has authorized the repurchase of up to $600.0 million of the Company's common stock. During the three and six months ended June 30, 2019, the Company repurchased and retired a total of approximately 0.1 million and 0.2 million shares, respectively, of the Company's common stock for total costs of approximately $4.9 million and $11.3 million, respectively. During the three and six months ended June 30, 2018, the Company repurchased and retired a total of approximately 0.2 million and 0.5 million shares, respectively, of the Company's common stock for total costs of approximately $12.2 million and $26.5 million, respectively. Through June 30, 2019, the Company has repurchased and retired a total of approximately 5.7 million shares of its common stock for approximately $305.2 million under this program. As of June 30, 2019, an additional $294.8 million remained available for repurchase of shares under this program.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wastes.</w:t>
      </w:r>
    </w:p>
    <w:p>
      <w:pPr>
        <w:spacing w:after="0" w:line="8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June 30, 2019 and December 31, 2018, the Company had recorded reserves of $24.1 million and $25.4 million, respectively, in the Company's financial statements for actual or probable liabilities related to the legal and administrative proceedings in which the Company was then involved, the principal of which are described below. At June 30, 2019 and December 31, 2018, the Company also believed that it was reasonably possible that the amount of these potential liabilities could be as much as $1.8 million more. The Company periodically adjusts the aggregate amount of these reserves when actual or probable liabilities are paid or otherwise discharged, new claims arise or additional relevant information about existing or probable claims becomes available. As of June 30, 2019 and December 31, 2018, the $24.1 million and $25.4 million, respectively, of reserves consisted of (i) $18.0 million and $17.9 million, respectively, related to pending legal or administrative proceedings, including Superfund liabilities, which were included in remedial liabilities on the consolidated balance sheets, and (ii) $6.1 million and $7.5 million, respectively, primarily related to federal, state and provincial enforcement actions, which were included in accrued expenses on the consolidated balance sheets.</w:t>
      </w:r>
    </w:p>
    <w:p>
      <w:pPr>
        <w:spacing w:after="0" w:line="23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2019, the principal legal and administrative proceedings in which the Company was involved, or which had been terminated during 2019, were as follows:</w:t>
      </w:r>
    </w:p>
    <w:p>
      <w:pPr>
        <w:spacing w:after="0" w:line="2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June 30, 2019 were as follows:</w:t>
      </w:r>
    </w:p>
    <w:p>
      <w:pPr>
        <w:spacing w:after="0" w:line="10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57 proceedings (excluding cases which have been settled but not formally dismissed) as of June 30, 2019,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24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Safety-Kleen is unable to ascertain the ultimate aggregate amount of monetary liability or financial impact with respect to these matters as of June 30, 2019. From January 1, 2019 to June 30, 2019, 19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129 sites which are subject to or are proposed to become subject to proceedings under federal or state Superfund laws. Of the 129 sites, five (including the BR Facility described below) involve facilities that are now owned or leased by the Company and 124 involve third-party sites to which either the Company or the prior owners of certain of the Company’s facilities shipped wastes. Of the 124 third-party sites, 31 are now settled, 16 are currently requiring expenditures on remediation and 77 are not currently requiring expenditures on remediation.</w:t>
      </w:r>
    </w:p>
    <w:p>
      <w:pPr>
        <w:spacing w:after="0" w:line="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ten of the 124 third-party sites.</w:t>
      </w:r>
    </w:p>
    <w:p>
      <w:pPr>
        <w:spacing w:after="0" w:line="23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124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124 third-party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June 30, 2019 and December 31, 2018, there were 11 and ten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48"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As of June 30, 2019, the Company’s leases were all operating leases except for a single finance lease related to the Company’s corporate headquarters, which was amended during the first quarter of 2019, resulting in the classification as a finance lease.</w:t>
      </w:r>
    </w:p>
    <w:p>
      <w:pPr>
        <w:spacing w:after="0" w:line="3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Company’s lease expense was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June 30, 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Ended June 30, 2019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ROU asset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Interest on lease liability</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finance lease cost</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lease cost</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70,722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60"/>
              <w:spacing w:after="0"/>
              <w:rPr>
                <w:sz w:val="20"/>
                <w:szCs w:val="20"/>
                <w:color w:val="auto"/>
              </w:rPr>
            </w:pPr>
            <w:r>
              <w:rPr>
                <w:rFonts w:ascii="Arial" w:cs="Arial" w:eastAsia="Arial" w:hAnsi="Arial"/>
                <w:sz w:val="18"/>
                <w:szCs w:val="18"/>
                <w:color w:val="auto"/>
                <w:w w:val="93"/>
              </w:rPr>
              <w:t>Other information related to leases was as follows (in thousands, except lease term and discount rate):</w:t>
            </w: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Supplemental Lease Balance Sheet Information:</w:t>
            </w:r>
          </w:p>
        </w:tc>
        <w:tc>
          <w:tcPr>
            <w:tcW w:w="5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173,504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Finance lease (included in property, plant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lease liabilities: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Finance lease (included in accrued expenses)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130,704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Finance lease (included in deferred taxes, unrecognized tax benefits and other long-term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783"/>
        </w:trPr>
        <w:tc>
          <w:tcPr>
            <w:tcW w:w="8340" w:type="dxa"/>
            <w:vAlign w:val="bottom"/>
          </w:tcPr>
          <w:p>
            <w:pPr>
              <w:ind w:left="562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663"/>
        </w:trPr>
        <w:tc>
          <w:tcPr>
            <w:tcW w:w="9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Finance lease</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23.0</w:t>
            </w:r>
          </w:p>
        </w:tc>
      </w:tr>
      <w:tr>
        <w:trPr>
          <w:trHeight w:val="270"/>
        </w:trPr>
        <w:tc>
          <w:tcPr>
            <w:tcW w:w="97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16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Finance lease</w:t>
            </w:r>
          </w:p>
        </w:tc>
        <w:tc>
          <w:tcPr>
            <w:tcW w:w="166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3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June 30, 2019, the Company's future lease payments under non-cancelable leases that have lease terms in excess of one year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4"/>
                <w:szCs w:val="14"/>
                <w:color w:val="auto"/>
              </w:rPr>
            </w:pPr>
          </w:p>
        </w:tc>
        <w:tc>
          <w:tcPr>
            <w:tcW w:w="1260" w:type="dxa"/>
            <w:vAlign w:val="bottom"/>
          </w:tcPr>
          <w:p>
            <w:pPr>
              <w:jc w:val="right"/>
              <w:ind w:right="473"/>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58"/>
        </w:trPr>
        <w:tc>
          <w:tcPr>
            <w:tcW w:w="81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4"/>
              </w:rPr>
              <w:t>Leases</w:t>
            </w:r>
          </w:p>
        </w:tc>
        <w:tc>
          <w:tcPr>
            <w:tcW w:w="340" w:type="dxa"/>
            <w:vAlign w:val="bottom"/>
          </w:tcPr>
          <w:p>
            <w:pPr>
              <w:spacing w:after="0"/>
              <w:rPr>
                <w:sz w:val="13"/>
                <w:szCs w:val="13"/>
                <w:color w:val="auto"/>
              </w:rPr>
            </w:pPr>
          </w:p>
        </w:tc>
        <w:tc>
          <w:tcPr>
            <w:tcW w:w="1260" w:type="dxa"/>
            <w:vAlign w:val="bottom"/>
          </w:tcPr>
          <w:p>
            <w:pPr>
              <w:jc w:val="right"/>
              <w:ind w:right="533"/>
              <w:spacing w:after="0" w:line="158"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(six months)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47,602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40,636</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future lease payments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201,445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50,755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 representing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173,268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At June 30, 2019, none of the Company's executed leases that had not yet commenced will create significant rights or obligations in the future and its sublease transactions are not material. Additionally, the Company does not have any related party leases and there were no restrictions or covenants imposed by its leases.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Disclosures related to periods prior to adoption of Topic 842</w:t>
      </w:r>
    </w:p>
    <w:p>
      <w:pPr>
        <w:spacing w:after="0" w:line="32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summary of future minimum payments under operating leases that have initial or remaining non-cancelable lease terms in excess of one year at December 31, 2018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3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58"/>
        </w:trPr>
        <w:tc>
          <w:tcPr>
            <w:tcW w:w="98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5"/>
              <w:spacing w:after="0" w:line="158" w:lineRule="exact"/>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9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56,480</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45,467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211,051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years ended December 31, 2018, 2017 and 2016, rent expense including short-term rentals was approximately $141.1 million, $125.4 million and $121.9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4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The Company's operations are managed in two operating segments: Environmental Services and Safety-Kleen.</w:t>
      </w:r>
    </w:p>
    <w:p>
      <w:pPr>
        <w:spacing w:after="0" w:line="10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w:t>
      </w:r>
    </w:p>
    <w:p>
      <w:pPr>
        <w:sectPr>
          <w:pgSz w:w="11900" w:h="16838" w:orient="portrait"/>
          <w:cols w:equalWidth="0" w:num="1">
            <w:col w:w="11420"/>
          </w:cols>
          <w:pgMar w:left="240" w:top="108"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8"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The intersegment revenues are shown net. The operations not managed through the Company’s operating segments described above are recorded as “Corporate Items.”</w:t>
      </w:r>
    </w:p>
    <w:p>
      <w:pPr>
        <w:spacing w:after="0" w:line="2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reconciles third-party revenues to direct revenues for the three and six months ended June 30, 2019 and June 30,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136"/>
              <w:spacing w:after="0"/>
              <w:rPr>
                <w:sz w:val="20"/>
                <w:szCs w:val="20"/>
                <w:color w:val="auto"/>
              </w:rPr>
            </w:pPr>
            <w:r>
              <w:rPr>
                <w:rFonts w:ascii="Arial" w:cs="Arial" w:eastAsia="Arial" w:hAnsi="Arial"/>
                <w:sz w:val="14"/>
                <w:szCs w:val="14"/>
                <w:b w:val="1"/>
                <w:bCs w:val="1"/>
                <w:color w:val="auto"/>
                <w:w w:val="94"/>
              </w:rPr>
              <w:t>For the Three Months Ended June 30, 2018</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Third-party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Intersegment</w:t>
            </w:r>
          </w:p>
        </w:tc>
        <w:tc>
          <w:tcPr>
            <w:tcW w:w="126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90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rPr>
              <w:t>Third-party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28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526,294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36,206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563,076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519,916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34,291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554,814</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342,182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305,984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328,715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294,435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868,678</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868,678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849,140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849,140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5"/>
              </w:rPr>
              <w:t>For the Six Months Ended June 30,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rPr>
              <w:t>Third-party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98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rPr>
              <w:t>Third-party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28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999,992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70,281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1,072,098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959,604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66,256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1,027,261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648,729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638,633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572,399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1,649,517</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1,649,517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1,598,918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1,598,918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primary financial measure by which the Company evaluates the performance of its segments is "Adjusted EBITDA," which consists of net income plus accretion of environmental liabilities, depreciation and amortization, interest expense, net of interest income, provision for income taxes and other gains or non-cash charges not deemed representative of fundamental segment results and excludes other expense (income), net. Transactions between the segments are accounted for at the Company’s best estimate based on similar transactions with outside customers.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Environmental Services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117,868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109,199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207,378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170,616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Safety-Kleen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134,252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134,953</w:t>
            </w: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Corporate Items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(77,743)</w:t>
            </w:r>
          </w:p>
        </w:tc>
      </w:tr>
      <w:tr>
        <w:trPr>
          <w:trHeight w:val="27"/>
        </w:trPr>
        <w:tc>
          <w:tcPr>
            <w:tcW w:w="5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251,488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227,826</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4,878</w:t>
            </w: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74,217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72,760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147,604</w:t>
            </w:r>
          </w:p>
        </w:tc>
      </w:tr>
      <w:tr>
        <w:trPr>
          <w:trHeight w:val="27"/>
        </w:trPr>
        <w:tc>
          <w:tcPr>
            <w:tcW w:w="5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75,344</w:t>
            </w: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41,039</w:t>
            </w:r>
          </w:p>
        </w:tc>
      </w:tr>
      <w:tr>
        <w:trPr>
          <w:trHeight w:val="257"/>
        </w:trPr>
        <w:tc>
          <w:tcPr>
            <w:tcW w:w="5600" w:type="dxa"/>
            <w:vAlign w:val="bottom"/>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52,269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44,430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59,222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34,852</w:t>
            </w: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Environmental Services</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956,381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951,867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559,510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553,220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Corporate Items</w:t>
            </w:r>
          </w:p>
        </w:tc>
        <w:tc>
          <w:tcPr>
            <w:tcW w:w="2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81,026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56,891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1,596,917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1,561,978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Environmental Services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212,808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93,303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93,313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Environmental Services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306,111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300,332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312,236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307,170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340,550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348,562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Safety-Kleen</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652,786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655,732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958,897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956,064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2"/>
            <w:vMerge w:val="restart"/>
          </w:tcPr>
          <w:p>
            <w:pPr>
              <w:ind w:left="640"/>
              <w:spacing w:after="0"/>
              <w:rPr>
                <w:sz w:val="20"/>
                <w:szCs w:val="20"/>
                <w:color w:val="auto"/>
              </w:rPr>
            </w:pPr>
            <w:r>
              <w:rPr>
                <w:rFonts w:ascii="Arial" w:cs="Arial" w:eastAsia="Arial" w:hAnsi="Arial"/>
                <w:sz w:val="18"/>
                <w:szCs w:val="18"/>
                <w:color w:val="auto"/>
              </w:rPr>
              <w:t>The following table presents the total assets by reportable segment (in thousands):</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8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1,756,818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Safety-Kleen</w:t>
            </w:r>
          </w:p>
        </w:tc>
        <w:tc>
          <w:tcPr>
            <w:tcW w:w="2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1,513,920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1,431,381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684,583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666,234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3,955,321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0" w:type="dxa"/>
            <w:vAlign w:val="bottom"/>
          </w:tcPr>
          <w:p>
            <w:pPr>
              <w:spacing w:after="0"/>
              <w:rPr>
                <w:sz w:val="24"/>
                <w:szCs w:val="24"/>
                <w:color w:val="auto"/>
              </w:rPr>
            </w:pPr>
          </w:p>
        </w:tc>
        <w:tc>
          <w:tcPr>
            <w:tcW w:w="8120" w:type="dxa"/>
            <w:vAlign w:val="bottom"/>
            <w:gridSpan w:val="2"/>
          </w:tcPr>
          <w:p>
            <w:pPr>
              <w:ind w:left="40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3,270,464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3,090,311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684,857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648,010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3,955,321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7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addition to historical information, this Quarterly Report on Form 10-Q contains forward-looking statements, which are generally identifiable by use of the words “believes,” “expects,” “intends,” “anticipates,” “plans to,” “estimates,” “projects,” “may,” “likely”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27, 2019,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w:t>
      </w:r>
    </w:p>
    <w:p>
      <w:pPr>
        <w:sectPr>
          <w:pgSz w:w="11900" w:h="16838" w:orient="portrait"/>
          <w:cols w:equalWidth="0" w:num="1">
            <w:col w:w="11420"/>
          </w:cols>
          <w:pgMar w:left="240" w:top="125" w:right="239" w:bottom="69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69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241" w:lineRule="exact"/>
        <w:rPr>
          <w:sz w:val="20"/>
          <w:szCs w:val="20"/>
          <w:color w:val="auto"/>
        </w:rPr>
      </w:pPr>
    </w:p>
    <w:p>
      <w:pPr>
        <w:ind w:right="48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hanging="324"/>
        <w:spacing w:after="0" w:line="270"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 customers for waste services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volume and nature of waste streams generated by them and project work for which waste handling and/or disposal is required. In managing the business and evaluating performance, management tracks the volumes and average price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oil spills, natural disasters or other events where immediate and specialized services are required.</w:t>
      </w:r>
    </w:p>
    <w:p>
      <w:pPr>
        <w:spacing w:after="0" w:line="191" w:lineRule="exact"/>
        <w:rPr>
          <w:rFonts w:ascii="Arial" w:cs="Arial" w:eastAsia="Arial" w:hAnsi="Arial"/>
          <w:sz w:val="17"/>
          <w:szCs w:val="17"/>
          <w:color w:val="auto"/>
        </w:rPr>
      </w:pPr>
    </w:p>
    <w:p>
      <w:pPr>
        <w:ind w:left="980" w:right="60" w:hanging="324"/>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Safety-Kleen - </w:t>
      </w:r>
      <w:r>
        <w:rPr>
          <w:rFonts w:ascii="Arial" w:cs="Arial" w:eastAsia="Arial" w:hAnsi="Arial"/>
          <w:sz w:val="16"/>
          <w:szCs w:val="16"/>
          <w:color w:val="auto"/>
        </w:rPr>
        <w:t>Safety-Kleen segment results are impacted by an array of core service offerings that serve to attract small quantity waste</w:t>
      </w:r>
      <w:r>
        <w:rPr>
          <w:rFonts w:ascii="Arial" w:cs="Arial" w:eastAsia="Arial" w:hAnsi="Arial"/>
          <w:sz w:val="16"/>
          <w:szCs w:val="16"/>
          <w:b w:val="1"/>
          <w:bCs w:val="1"/>
          <w:color w:val="auto"/>
        </w:rPr>
        <w:t xml:space="preserve"> </w:t>
      </w:r>
      <w:r>
        <w:rPr>
          <w:rFonts w:ascii="Arial" w:cs="Arial" w:eastAsia="Arial" w:hAnsi="Arial"/>
          <w:sz w:val="16"/>
          <w:szCs w:val="16"/>
          <w:color w:val="auto"/>
        </w:rPr>
        <w:t>producers as customers and integrate them into the Clean Harbors waste network. Core service offerings include parts washer services, containerized waste services, vacuum services, used motor oil collection and sale of base and blended oil products as well as complementary products including automotive related fluids and shop supplies. Key performance indicators tracked by management relative to these services include the number of parts washer services performed and used motor oil and waste volumes collected. Results from these services are primarily driven by the overall number of parts washers placed at customer sites and volumes of waste collected. These factors can be impacted by overall economic conditions in the marketplace, especially in the automotive related area. Safety-Kleen offers high quality base and blended oil products to end users including fleet customers, distributors and manufacturers of oil products. Relative to these oil related products, management tracks the Company's volumes and relative percentages of base and blended oil sales along with various pricing metrics associated with the commodity driven marketplace. The segment's results are significantly impacted by the overall market pricing and product mix associated with base and 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closed loop initiative resulting in the sale of our renewable oil products directly to our end customers will also impact future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revenues for the three and six months ended June 30, 2019 were $868.7 million and $1,649.5 million compared with $849.1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$1,598.9 million for the three and six months ended June 30, 2018. In the three and six months ended June 30, 2019, our Environmental Services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direct revenues 1.5% and 4.4% from the comparable periods in 2018 primarily due to continued improvements in average pricing driven by a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profitable mix of waste streams primarily from chemical and manufacturing customers. Incremental revenues resulting from our acquisition of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Industrial Cleaning Business of Veolia Environmental Services North America LLC (the "Veolia Business") in February 2018 also contributed to the increase</w:t>
      </w:r>
    </w:p>
    <w:p>
      <w:pPr>
        <w:spacing w:after="0" w:line="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revenue for the six months ended June 30, 2019. In the three and six months ended June 30, 2019, our Safety-Kleen segment increased direct revenues 3.9% and 1.1% from the comparable periods in 2018 as a result of continued growth across Safety-Kleen's core service offerings and our blended oil sales. The fluctuation of the Canadian dollar negatively impacted our consolidated revenues by $5.0 million and $11.6 million in the three and six months ended June 30, 2019.</w:t>
      </w:r>
    </w:p>
    <w:p>
      <w:pPr>
        <w:spacing w:after="0" w:line="19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reported income from operations for the three and six months ended June 30, 2019 of $73.0 million and $96.8 million compared with $64.4 million and $75.3 million in the three and six months ended June 30, 2018. We reported net income for the three and six months ended June 30, 2019 of $36.2 million and $37.2 million compared with net income of $30.7 million and $18.1 million in the three and six months ended June 30, 2018.</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increased 7.4% to $149.8 million in the three months ended June 30, 2019 from $139.6 million in the three months ended June 30, 2018 and increased 10.4% to $251.5 million in the six months ended June 30, 2019 from $227.8 million in the six months ended June 30, 2018.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Net cash from operating activities for the six months ended June 30, 2019 was $138.5 million, an increase of $8.8 million from the comparable period in 2018. Adjusted free cash flow, which management uses to measure our financial strength and ability to generate cash, was $27.5 million in the six months ended June 30, 2019, compared to $38.2 million in the comparable period of 2018. The decrease in adjusted free cash flow as compared to the comparable period of 2018 was most directly attributable to increased capital spending through the first half of 2019 offset by greater levels of operating income. During the most recent three-month period ended June 30, 2019 adjusted free cash flow was $52.4 million as compared to $29.7 million in the same period of 2018. Additional information, including a reconciliation of adjusted free cash flow to net cash from operating activities, appears below under the heading </w:t>
      </w:r>
      <w:r>
        <w:rPr>
          <w:rFonts w:ascii="Arial" w:cs="Arial" w:eastAsia="Arial" w:hAnsi="Arial"/>
          <w:sz w:val="18"/>
          <w:szCs w:val="18"/>
          <w:i w:val="1"/>
          <w:iCs w:val="1"/>
          <w:color w:val="auto"/>
        </w:rPr>
        <w:t>"Adjusted Free Cash Flow."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three and six months ended June 30, 2019 and June 30, 2018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Summary of Operations (in thousands)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For the Three Months Ended</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For the Six Months Ended</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2019</w:t>
            </w: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3"/>
                <w:szCs w:val="13"/>
                <w:color w:val="auto"/>
              </w:rPr>
            </w:pPr>
          </w:p>
        </w:tc>
        <w:tc>
          <w:tcPr>
            <w:tcW w:w="72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center"/>
              <w:ind w:left="6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2019</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3"/>
                <w:szCs w:val="13"/>
                <w:color w:val="auto"/>
              </w:rPr>
            </w:pPr>
          </w:p>
        </w:tc>
        <w:tc>
          <w:tcPr>
            <w:tcW w:w="820" w:type="dxa"/>
            <w:vAlign w:val="bottom"/>
          </w:tcPr>
          <w:p>
            <w:pPr>
              <w:jc w:val="right"/>
              <w:ind w:right="420"/>
              <w:spacing w:after="0" w:line="153"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4"/>
                <w:szCs w:val="14"/>
                <w:b w:val="1"/>
                <w:bCs w:val="1"/>
                <w:color w:val="auto"/>
                <w:w w:val="97"/>
              </w:rPr>
              <w:t>Change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70"/>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563,076</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554,814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8,262</w:t>
            </w:r>
          </w:p>
        </w:tc>
        <w:tc>
          <w:tcPr>
            <w:tcW w:w="1060" w:type="dxa"/>
            <w:vAlign w:val="bottom"/>
            <w:gridSpan w:val="3"/>
          </w:tcPr>
          <w:p>
            <w:pPr>
              <w:jc w:val="center"/>
              <w:ind w:left="40"/>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1,072,098</w:t>
            </w:r>
          </w:p>
        </w:tc>
        <w:tc>
          <w:tcPr>
            <w:tcW w:w="10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1,027,261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44,837</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3"/>
              </w:rPr>
              <w:t>4.4%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11,549</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572,399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849,140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19,538</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1,649,517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1,598,918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50,599</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13,013</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189,053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181,494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7,559</w:t>
            </w:r>
          </w:p>
        </w:tc>
        <w:tc>
          <w:tcPr>
            <w:tcW w:w="106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369,419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359,231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10,188</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6,087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298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594,933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583,584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11,349</w:t>
            </w:r>
          </w:p>
        </w:tc>
        <w:tc>
          <w:tcPr>
            <w:tcW w:w="40" w:type="dxa"/>
            <w:vAlign w:val="bottom"/>
            <w:tcBorders>
              <w:top w:val="single" w:sz="8" w:color="auto"/>
            </w:tcBorders>
          </w:tcPr>
          <w:p>
            <w:pPr>
              <w:spacing w:after="0"/>
              <w:rPr>
                <w:sz w:val="18"/>
                <w:szCs w:val="18"/>
                <w:color w:val="auto"/>
              </w:rPr>
            </w:pP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1,159,297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8"/>
              </w:rPr>
              <w:t>1,130,009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29,288</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44,902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43,775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1,127</w:t>
            </w:r>
          </w:p>
        </w:tc>
        <w:tc>
          <w:tcPr>
            <w:tcW w:w="106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84,245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(4,938)</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1"/>
              </w:rPr>
              <w:t>(5.9)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7"/>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1"/>
              </w:rPr>
              <w:t>(4.4)</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41,546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42,348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(802)</w:t>
            </w:r>
          </w:p>
        </w:tc>
        <w:tc>
          <w:tcPr>
            <w:tcW w:w="1060" w:type="dxa"/>
            <w:vAlign w:val="bottom"/>
            <w:gridSpan w:val="3"/>
          </w:tcPr>
          <w:p>
            <w:pPr>
              <w:jc w:val="center"/>
              <w:ind w:left="60"/>
              <w:spacing w:after="0"/>
              <w:rPr>
                <w:sz w:val="20"/>
                <w:szCs w:val="20"/>
                <w:color w:val="auto"/>
              </w:rPr>
            </w:pPr>
            <w:r>
              <w:rPr>
                <w:rFonts w:ascii="Arial" w:cs="Arial" w:eastAsia="Arial" w:hAnsi="Arial"/>
                <w:sz w:val="16"/>
                <w:szCs w:val="16"/>
                <w:color w:val="auto"/>
                <w:w w:val="97"/>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78,623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6,012</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7.6</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7"/>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241,083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1"/>
              </w:rPr>
              <w:t>(1.0)</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8,669</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36,762</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21.5</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79,459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73,069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6,390</w:t>
            </w:r>
          </w:p>
        </w:tc>
        <w:tc>
          <w:tcPr>
            <w:tcW w:w="106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134,252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134,953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1"/>
              </w:rPr>
              <w:t>(0.5)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1060" w:type="dxa"/>
            <w:vAlign w:val="bottom"/>
            <w:tcBorders>
              <w:bottom w:val="single" w:sz="8" w:color="CCEEFF"/>
            </w:tcBorders>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5"/>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(12,399)</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15.9</w:t>
            </w:r>
          </w:p>
        </w:tc>
        <w:tc>
          <w:tcPr>
            <w:tcW w:w="0" w:type="dxa"/>
            <w:vAlign w:val="bottom"/>
          </w:tcPr>
          <w:p>
            <w:pPr>
              <w:spacing w:after="0"/>
              <w:rPr>
                <w:sz w:val="1"/>
                <w:szCs w:val="1"/>
                <w:color w:val="auto"/>
              </w:rPr>
            </w:pPr>
          </w:p>
        </w:tc>
      </w:tr>
      <w:tr>
        <w:trPr>
          <w:trHeight w:val="244"/>
        </w:trPr>
        <w:tc>
          <w:tcPr>
            <w:tcW w:w="298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149,825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139,561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10,264</w:t>
            </w:r>
          </w:p>
        </w:tc>
        <w:tc>
          <w:tcPr>
            <w:tcW w:w="40" w:type="dxa"/>
            <w:vAlign w:val="bottom"/>
            <w:tcBorders>
              <w:top w:val="single" w:sz="8" w:color="auto"/>
              <w:bottom w:val="single" w:sz="8" w:color="auto"/>
            </w:tcBorders>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251,488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227,826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23,662</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general conditions of the energy related industries,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91"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For the Three Months Ended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ind w:left="180"/>
              <w:spacing w:after="0"/>
              <w:rPr>
                <w:sz w:val="20"/>
                <w:szCs w:val="20"/>
                <w:color w:val="auto"/>
              </w:rPr>
            </w:pPr>
            <w:r>
              <w:rPr>
                <w:rFonts w:ascii="Arial" w:cs="Arial" w:eastAsia="Arial" w:hAnsi="Arial"/>
                <w:sz w:val="16"/>
                <w:szCs w:val="16"/>
                <w:b w:val="1"/>
                <w:bCs w:val="1"/>
                <w:color w:val="auto"/>
              </w:rPr>
              <w:t>For the Six Months Ended</w:t>
            </w:r>
          </w:p>
        </w:tc>
        <w:tc>
          <w:tcPr>
            <w:tcW w:w="1060" w:type="dxa"/>
            <w:vAlign w:val="bottom"/>
          </w:tcPr>
          <w:p>
            <w:pPr>
              <w:spacing w:after="0"/>
              <w:rPr>
                <w:sz w:val="18"/>
                <w:szCs w:val="18"/>
                <w:color w:val="auto"/>
              </w:rPr>
            </w:pPr>
          </w:p>
        </w:tc>
      </w:tr>
      <w:tr>
        <w:trPr>
          <w:trHeight w:val="270"/>
        </w:trPr>
        <w:tc>
          <w:tcPr>
            <w:tcW w:w="2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gridSpan w:val="4"/>
          </w:tcPr>
          <w:p>
            <w:pPr>
              <w:ind w:left="420"/>
              <w:spacing w:after="0"/>
              <w:rPr>
                <w:sz w:val="20"/>
                <w:szCs w:val="20"/>
                <w:color w:val="auto"/>
              </w:rPr>
            </w:pPr>
            <w:r>
              <w:rPr>
                <w:rFonts w:ascii="Arial" w:cs="Arial" w:eastAsia="Arial" w:hAnsi="Arial"/>
                <w:sz w:val="16"/>
                <w:szCs w:val="16"/>
                <w:b w:val="1"/>
                <w:bCs w:val="1"/>
                <w:color w:val="auto"/>
              </w:rPr>
              <w:t>2019 over 2018</w:t>
            </w:r>
          </w:p>
        </w:tc>
        <w:tc>
          <w:tcPr>
            <w:tcW w:w="2240" w:type="dxa"/>
            <w:vAlign w:val="bottom"/>
            <w:gridSpan w:val="4"/>
          </w:tcPr>
          <w:p>
            <w:pPr>
              <w:ind w:left="7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3"/>
                <w:szCs w:val="23"/>
                <w:color w:val="auto"/>
              </w:rPr>
            </w:pPr>
          </w:p>
        </w:tc>
        <w:tc>
          <w:tcPr>
            <w:tcW w:w="2020" w:type="dxa"/>
            <w:vAlign w:val="bottom"/>
            <w:gridSpan w:val="3"/>
          </w:tcPr>
          <w:p>
            <w:pPr>
              <w:ind w:left="420"/>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0"/>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Change</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563,076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554,814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8,262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  1,072,098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  1,027,261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44,837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2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Environmental Services direct revenues for the three months ended June 30, 2019 increased $8.3 million from the comparable period in 2018 primarily due to increased levels of higher priced waste streams disposed of in our network of facilities. These pricing strategies and positive mix factors more than offset reductions in our incinerator utilization and landfill volume. The utilization rate at our incinerators on a practical capacity of 561,721 tons was 81.7% for the three months ended June 30, 2019, compared with 89.8% in the comparable period of 2018. The decrease in utilization rate in the three months ended June 30, 2019 from the comparable period in 2018 was primarily due to a high number of down days during the current quarter for maintenance-related turnarounds at our incinerator facilities. The high number of down days also resulted in an increased level of deferred revenue at the end of the current quarter. We expect fewer down days during the second half of 2019 as compared to the second half of 2018. Also included in the change within this segment was the negative impact of foreign currency translation on our Canadian operations of $3.7 million.</w:t>
      </w:r>
    </w:p>
    <w:p>
      <w:pPr>
        <w:spacing w:after="0" w:line="22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Environmental Services direct revenues for the six months ended June 30, 2019 increased $44.8 million from the comparable period in 2018</w:t>
      </w:r>
      <w:r>
        <w:rPr>
          <w:rFonts w:ascii="Arial" w:cs="Arial" w:eastAsia="Arial" w:hAnsi="Arial"/>
          <w:sz w:val="17"/>
          <w:szCs w:val="17"/>
          <w:color w:val="330E74"/>
        </w:rPr>
        <w:t>.</w:t>
      </w:r>
      <w:r>
        <w:rPr>
          <w:rFonts w:ascii="Arial" w:cs="Arial" w:eastAsia="Arial" w:hAnsi="Arial"/>
          <w:sz w:val="17"/>
          <w:szCs w:val="17"/>
          <w:color w:val="auto"/>
        </w:rPr>
        <w:t xml:space="preserve"> </w:t>
      </w:r>
      <w:r>
        <w:rPr>
          <w:rFonts w:ascii="Arial" w:cs="Arial" w:eastAsia="Arial" w:hAnsi="Arial"/>
          <w:sz w:val="17"/>
          <w:szCs w:val="17"/>
          <w:color w:val="330E74"/>
        </w:rPr>
        <w:t>I</w:t>
      </w:r>
      <w:r>
        <w:rPr>
          <w:rFonts w:ascii="Arial" w:cs="Arial" w:eastAsia="Arial" w:hAnsi="Arial"/>
          <w:sz w:val="17"/>
          <w:szCs w:val="17"/>
          <w:color w:val="000000"/>
        </w:rPr>
        <w:t>ncremental revenues from the comparable period in 2018 were generated by the Veolia Business, which we acquired on February 23, 2018, as well as</w:t>
      </w:r>
      <w:r>
        <w:rPr>
          <w:rFonts w:ascii="Arial" w:cs="Arial" w:eastAsia="Arial" w:hAnsi="Arial"/>
          <w:sz w:val="17"/>
          <w:szCs w:val="17"/>
          <w:color w:val="330E74"/>
        </w:rPr>
        <w:t xml:space="preserve"> </w:t>
      </w:r>
      <w:r>
        <w:rPr>
          <w:rFonts w:ascii="Arial" w:cs="Arial" w:eastAsia="Arial" w:hAnsi="Arial"/>
          <w:sz w:val="17"/>
          <w:szCs w:val="17"/>
          <w:color w:val="000000"/>
        </w:rPr>
        <w:t>increased levels of higher priced waste streams disposed of in our network of facilities. The utilization rate at our incinerators on a practical capacity of 561,721 tons was 79.2% for the six months ended June 30, 2019, compared with 88.5% in the comparable period of 2018. The decrease in utilization rate in the six months ended June 30, 2019 from the comparable period in 2018 was primarily due to a high number of down days at our Deer Park facility during the first quarter which was attributable to a fire at a neighboring facility, as well as additional down days during the second quarter. Also included in the change within this segment was the negative impact of foreign currency translation on our Canadian operations of $8.4 million.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For the Three Months Ended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4"/>
              </w:rPr>
              <w:t>For the Six Months Ended</w:t>
            </w:r>
          </w:p>
        </w:tc>
        <w:tc>
          <w:tcPr>
            <w:tcW w:w="1060" w:type="dxa"/>
            <w:vAlign w:val="bottom"/>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40" w:type="dxa"/>
            <w:vAlign w:val="bottom"/>
            <w:gridSpan w:val="5"/>
          </w:tcPr>
          <w:p>
            <w:pPr>
              <w:ind w:left="420"/>
              <w:spacing w:after="0"/>
              <w:rPr>
                <w:sz w:val="20"/>
                <w:szCs w:val="20"/>
                <w:color w:val="auto"/>
              </w:rPr>
            </w:pPr>
            <w:r>
              <w:rPr>
                <w:rFonts w:ascii="Arial" w:cs="Arial" w:eastAsia="Arial" w:hAnsi="Arial"/>
                <w:sz w:val="16"/>
                <w:szCs w:val="16"/>
                <w:b w:val="1"/>
                <w:bCs w:val="1"/>
                <w:color w:val="auto"/>
              </w:rPr>
              <w:t>2019 over 2018</w:t>
            </w:r>
          </w:p>
        </w:tc>
        <w:tc>
          <w:tcPr>
            <w:tcW w:w="2020" w:type="dxa"/>
            <w:vAlign w:val="bottom"/>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0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305,984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11,549</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3.9%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Safety-Kleen direct revenues for the three months ended June 30, 2019 increased $11.5 million from the comparable period in 2018 primarily due to growth in the Safety Kleen branch network’s core service offerings, including handling of containerized waste and vacuum services which accounted for $7.1 million of incremental revenues from the comparable period in 2018. Also contributing to the increase in direct revenue as compared to prior year was an incremental $3.6 million of blended oil sales and $1.4 million of revenue related to the collection of used motor oil. Inclusive in the change within this segment was the negative impact of foreign currency translation on our Canadian operations of $1.3 million.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Safety-Kleen direct revenues for the six months ended June 30, 2019 increased $6.1 million from the comparable period in 2018 due to growth in the business' core service offerings as well as higher blended oil sales. Revenue generated through the Safety-Kleen branch network's core service offerings accounted for $12.9 million of incremental revenues. Also contributing to the incremental revenue from the comparable period in 2018 was an increase in blended oil sales of $8.0 million due to higher volume and a $2.5 million increase in revenue from used motor oil collections. These increases were partially offset by a $12.7 million decrease due to lower volumes of our base oil sales and a reduction in base oil pricing. Inclusive in the change within this segment was the negative impact of foreign currency translation on our Canadian operations of $3.0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Six Months Ended</w:t>
            </w:r>
          </w:p>
        </w:tc>
        <w:tc>
          <w:tcPr>
            <w:tcW w:w="1080" w:type="dxa"/>
            <w:vAlign w:val="bottom"/>
          </w:tcPr>
          <w:p>
            <w:pPr>
              <w:spacing w:after="0"/>
              <w:rPr>
                <w:sz w:val="18"/>
                <w:szCs w:val="18"/>
                <w:color w:val="auto"/>
              </w:rPr>
            </w:pPr>
          </w:p>
        </w:tc>
      </w:tr>
      <w:tr>
        <w:trPr>
          <w:trHeight w:val="270"/>
        </w:trPr>
        <w:tc>
          <w:tcPr>
            <w:tcW w:w="2160" w:type="dxa"/>
            <w:vAlign w:val="bottom"/>
          </w:tcPr>
          <w:p>
            <w:pPr>
              <w:spacing w:after="0"/>
              <w:rPr>
                <w:sz w:val="23"/>
                <w:szCs w:val="23"/>
                <w:color w:val="auto"/>
              </w:rPr>
            </w:pPr>
          </w:p>
        </w:tc>
        <w:tc>
          <w:tcPr>
            <w:tcW w:w="230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420" w:type="dxa"/>
            <w:vAlign w:val="bottom"/>
            <w:gridSpan w:val="5"/>
          </w:tcPr>
          <w:p>
            <w:pPr>
              <w:ind w:left="440"/>
              <w:spacing w:after="0"/>
              <w:rPr>
                <w:sz w:val="20"/>
                <w:szCs w:val="20"/>
                <w:color w:val="auto"/>
              </w:rPr>
            </w:pPr>
            <w:r>
              <w:rPr>
                <w:rFonts w:ascii="Arial" w:cs="Arial" w:eastAsia="Arial" w:hAnsi="Arial"/>
                <w:sz w:val="16"/>
                <w:szCs w:val="16"/>
                <w:b w:val="1"/>
                <w:bCs w:val="1"/>
                <w:color w:val="auto"/>
              </w:rPr>
              <w:t>2019 over 2018</w:t>
            </w:r>
          </w:p>
        </w:tc>
        <w:tc>
          <w:tcPr>
            <w:tcW w:w="2080" w:type="dxa"/>
            <w:vAlign w:val="bottom"/>
            <w:gridSpan w:val="4"/>
          </w:tcPr>
          <w:p>
            <w:pPr>
              <w:ind w:lef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0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0"/>
        </w:trPr>
        <w:tc>
          <w:tcPr>
            <w:tcW w:w="216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4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Change</w:t>
            </w: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   400,306</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   401,840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(1,534)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(0.4)%  $</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785,413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   772,400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13,013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As a % of Direct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6"/>
                <w:szCs w:val="16"/>
                <w:color w:val="auto"/>
                <w:w w:val="97"/>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8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Environmental Services cost of revenues for the three months ended June 30, 2019 decreased $1.5 million from the comparable period in 2018 primarily due to reduced labor and benefit related costs of $3.2 million and transportation and outside disposal costs of $0.9 million resulting from cost saving initiatives. These reductions were partially offset by increased equipment and supply costs of $3.2 million. As a percentage of direct revenues, these costs decreased as a result of greater leverage of our fixed costs and higher revenue levels during the three months ended June 30, 2019.</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Environmental Services cost of revenues for the six months ended June 30, 2019 increased $13.0 million from the comparable period in 2018 primarily due to increased labor and benefit related costs of $5.6 million, transportation and outside disposal costs of $2.5 million and equipment and supply cost of $1.8 million. As a percentage of direct revenues, these costs decreased 2.5% as a result of incremental revenues which outpaced the increase in costs during the six months ended June 30, 2019.</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Six Months Ended</w:t>
            </w:r>
          </w:p>
        </w:tc>
        <w:tc>
          <w:tcPr>
            <w:tcW w:w="1060" w:type="dxa"/>
            <w:vAlign w:val="bottom"/>
          </w:tcPr>
          <w:p>
            <w:pPr>
              <w:spacing w:after="0"/>
              <w:rPr>
                <w:sz w:val="18"/>
                <w:szCs w:val="18"/>
                <w:color w:val="auto"/>
              </w:rPr>
            </w:pPr>
          </w:p>
        </w:tc>
      </w:tr>
      <w:tr>
        <w:trPr>
          <w:trHeight w:val="270"/>
        </w:trPr>
        <w:tc>
          <w:tcPr>
            <w:tcW w:w="2240" w:type="dxa"/>
            <w:vAlign w:val="bottom"/>
          </w:tcPr>
          <w:p>
            <w:pPr>
              <w:spacing w:after="0"/>
              <w:rPr>
                <w:sz w:val="23"/>
                <w:szCs w:val="23"/>
                <w:color w:val="auto"/>
              </w:rPr>
            </w:pPr>
          </w:p>
        </w:tc>
        <w:tc>
          <w:tcPr>
            <w:tcW w:w="232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360" w:type="dxa"/>
            <w:vAlign w:val="bottom"/>
            <w:gridSpan w:val="5"/>
          </w:tcPr>
          <w:p>
            <w:pPr>
              <w:ind w:left="400"/>
              <w:spacing w:after="0"/>
              <w:rPr>
                <w:sz w:val="20"/>
                <w:szCs w:val="20"/>
                <w:color w:val="auto"/>
              </w:rPr>
            </w:pPr>
            <w:r>
              <w:rPr>
                <w:rFonts w:ascii="Arial" w:cs="Arial" w:eastAsia="Arial" w:hAnsi="Arial"/>
                <w:sz w:val="16"/>
                <w:szCs w:val="16"/>
                <w:b w:val="1"/>
                <w:bCs w:val="1"/>
                <w:color w:val="auto"/>
              </w:rPr>
              <w:t>2019 over 2018</w:t>
            </w:r>
          </w:p>
        </w:tc>
        <w:tc>
          <w:tcPr>
            <w:tcW w:w="208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0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0"/>
        </w:trPr>
        <w:tc>
          <w:tcPr>
            <w:tcW w:w="224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   189,053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   181,494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7,559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4.2%  $</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369,419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359,231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10,188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2240" w:type="dxa"/>
            <w:vAlign w:val="bottom"/>
          </w:tcPr>
          <w:p>
            <w:pPr>
              <w:ind w:left="20"/>
              <w:spacing w:after="0"/>
              <w:rPr>
                <w:sz w:val="20"/>
                <w:szCs w:val="20"/>
                <w:color w:val="auto"/>
              </w:rPr>
            </w:pPr>
            <w:r>
              <w:rPr>
                <w:rFonts w:ascii="Arial" w:cs="Arial" w:eastAsia="Arial" w:hAnsi="Arial"/>
                <w:sz w:val="16"/>
                <w:szCs w:val="16"/>
                <w:color w:val="auto"/>
              </w:rPr>
              <w:t>As a % of Direct Revenue</w:t>
            </w:r>
          </w:p>
        </w:tc>
        <w:tc>
          <w:tcPr>
            <w:tcW w:w="106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40" w:type="dxa"/>
            <w:vAlign w:val="bottom"/>
          </w:tcPr>
          <w:p>
            <w:pPr>
              <w:ind w:left="660"/>
              <w:spacing w:after="0"/>
              <w:rPr>
                <w:sz w:val="20"/>
                <w:szCs w:val="20"/>
                <w:color w:val="auto"/>
              </w:rPr>
            </w:pPr>
            <w:r>
              <w:rPr>
                <w:rFonts w:ascii="Arial" w:cs="Arial" w:eastAsia="Arial" w:hAnsi="Arial"/>
                <w:sz w:val="16"/>
                <w:szCs w:val="16"/>
                <w:color w:val="auto"/>
                <w:w w:val="98"/>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8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Safety-Kleen cost of revenues for the three months ended June 30, 2019 increased $7.6 million from the comparable period in 2018 primarily due to increased raw material costs of $3.5 million, labor related costs of $2.9 million and transportation costs of $1.7 million. These increases were partially offset by decreased equipment and supply costs of $1.0 million. The increase in cost of revenues from the comparable period in prior year was consistent with the growth of our core service offerings and blended oil sales. Cost as a percentage of direct revenue remained consistent with the comparable period of 2018.</w:t>
      </w:r>
    </w:p>
    <w:p>
      <w:pPr>
        <w:spacing w:after="0" w:line="20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Safety-Kleen cost of revenues for the six months ended June 30, 2019 increased $10.2 million from the comparable period in 2018 primarily due to increased raw material costs of $6.1 million and labor related cost of $3.3 million. These increases in cost of revenues were consistent with the growth of our core service offerings and blended oil sales. Cost as a percentage of direct revenue increased over the comparable period of 2018 due to these increased costs, which outpaced the increase in revenue.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strive to manage our selling, general and administrative expenses ("SG&amp;A")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6"/>
                <w:szCs w:val="16"/>
                <w:b w:val="1"/>
                <w:bCs w:val="1"/>
                <w:color w:val="auto"/>
              </w:rPr>
              <w:t>For the Six Months Ended</w:t>
            </w:r>
          </w:p>
        </w:tc>
        <w:tc>
          <w:tcPr>
            <w:tcW w:w="1100" w:type="dxa"/>
            <w:vAlign w:val="bottom"/>
          </w:tcPr>
          <w:p>
            <w:pPr>
              <w:spacing w:after="0"/>
              <w:rPr>
                <w:sz w:val="18"/>
                <w:szCs w:val="18"/>
                <w:color w:val="auto"/>
              </w:rPr>
            </w:pPr>
          </w:p>
        </w:tc>
      </w:tr>
      <w:tr>
        <w:trPr>
          <w:trHeight w:val="270"/>
        </w:trPr>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2019 over 2018</w:t>
            </w: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10"/>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3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44,902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43,775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2.6%  $</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79,307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84,245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2220" w:type="dxa"/>
            <w:vAlign w:val="bottom"/>
          </w:tcPr>
          <w:p>
            <w:pPr>
              <w:ind w:left="20"/>
              <w:spacing w:after="0"/>
              <w:rPr>
                <w:sz w:val="20"/>
                <w:szCs w:val="20"/>
                <w:color w:val="auto"/>
              </w:rPr>
            </w:pPr>
            <w:r>
              <w:rPr>
                <w:rFonts w:ascii="Arial" w:cs="Arial" w:eastAsia="Arial" w:hAnsi="Arial"/>
                <w:sz w:val="16"/>
                <w:szCs w:val="16"/>
                <w:color w:val="auto"/>
              </w:rPr>
              <w:t>As a % of Direct Revenue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040" w:type="dxa"/>
            <w:vAlign w:val="bottom"/>
          </w:tcPr>
          <w:p>
            <w:pPr>
              <w:ind w:left="660"/>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r>
    </w:tbl>
    <w:p>
      <w:pPr>
        <w:spacing w:after="0" w:line="28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Environmental Services selling, general and administrative expenses for the three months ended June 30, 2019 increased $1.1 million from the comparable period in 2018 due to increases in salary, benefits and variable compensation related costs, which are consistent with the growth of the business for the three months ended June 30, 2019 as compared to June 30, 2018. As a percentage of direct revenue, SG&amp;A costs remained consistent with the comparable period in 2018. We expect this trend to continue through the remainder of the year as revenues continue to exceed prior year levels.</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Environmental Services selling, general and administrative expenses for the six months ended June 30, 2019 decreased $4.9 million from the comparable period in 2018 due to a $5.5 million favorable resolution of litigation and a $5.4 million reduction in bad debt expense resulting from the recovery of certain trade receivables, which were fully reserved in 2018. These decreases were partially offset by increases in salary, benefits and variable compensation related costs of $4.8 million, which are consistent with the growth of the business, for the six months ended June 30, 2019 as compared to June 30, 2018.</w:t>
      </w: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Six Months Ended</w:t>
            </w:r>
          </w:p>
        </w:tc>
        <w:tc>
          <w:tcPr>
            <w:tcW w:w="110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420" w:type="dxa"/>
            <w:vAlign w:val="bottom"/>
            <w:gridSpan w:val="5"/>
          </w:tcPr>
          <w:p>
            <w:pPr>
              <w:ind w:left="440"/>
              <w:spacing w:after="0"/>
              <w:rPr>
                <w:sz w:val="20"/>
                <w:szCs w:val="20"/>
                <w:color w:val="auto"/>
              </w:rPr>
            </w:pPr>
            <w:r>
              <w:rPr>
                <w:rFonts w:ascii="Arial" w:cs="Arial" w:eastAsia="Arial" w:hAnsi="Arial"/>
                <w:sz w:val="16"/>
                <w:szCs w:val="16"/>
                <w:b w:val="1"/>
                <w:bCs w:val="1"/>
                <w:color w:val="auto"/>
              </w:rPr>
              <w:t>2019 over 2018</w:t>
            </w:r>
          </w:p>
        </w:tc>
        <w:tc>
          <w:tcPr>
            <w:tcW w:w="208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1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37,472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39,872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(6.0)%  $</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2180" w:type="dxa"/>
            <w:vAlign w:val="bottom"/>
          </w:tcPr>
          <w:p>
            <w:pPr>
              <w:ind w:left="20"/>
              <w:spacing w:after="0"/>
              <w:rPr>
                <w:sz w:val="20"/>
                <w:szCs w:val="20"/>
                <w:color w:val="auto"/>
              </w:rPr>
            </w:pPr>
            <w:r>
              <w:rPr>
                <w:rFonts w:ascii="Arial" w:cs="Arial" w:eastAsia="Arial" w:hAnsi="Arial"/>
                <w:sz w:val="16"/>
                <w:szCs w:val="16"/>
                <w:color w:val="auto"/>
              </w:rPr>
              <w:t>As a % of Direct Revenue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6"/>
                <w:szCs w:val="16"/>
                <w:color w:val="auto"/>
                <w:w w:val="97"/>
              </w:rPr>
              <w:t>(9.6)%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2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Safety-Kleen selling, general and administrative expenses for the three and six months ended June 30, 2019 decreased $2.4 million and $3.4 million, respectively, from the comparable periods in 2018 primarily due to lower headcount and related costs resulting from cost saving initiatives. As a percentage of direct revenue, selling, general and administrative expenses decreased with the comparable periods in 2018 as a result of lower costs and increased revenues generated by the business.</w:t>
      </w:r>
    </w:p>
    <w:p>
      <w:pPr>
        <w:spacing w:after="0" w:line="24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Three Months Ended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3"/>
              </w:rPr>
              <w:t>For the Six Months Ended</w:t>
            </w:r>
          </w:p>
        </w:tc>
        <w:tc>
          <w:tcPr>
            <w:tcW w:w="1060" w:type="dxa"/>
            <w:vAlign w:val="bottom"/>
          </w:tcPr>
          <w:p>
            <w:pPr>
              <w:spacing w:after="0"/>
              <w:rPr>
                <w:sz w:val="18"/>
                <w:szCs w:val="18"/>
                <w:color w:val="auto"/>
              </w:rPr>
            </w:pPr>
          </w:p>
        </w:tc>
      </w:tr>
      <w:tr>
        <w:trPr>
          <w:trHeight w:val="270"/>
        </w:trPr>
        <w:tc>
          <w:tcPr>
            <w:tcW w:w="2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3"/>
                <w:szCs w:val="23"/>
                <w:color w:val="auto"/>
              </w:rPr>
            </w:pPr>
          </w:p>
        </w:tc>
        <w:tc>
          <w:tcPr>
            <w:tcW w:w="2400" w:type="dxa"/>
            <w:vAlign w:val="bottom"/>
            <w:gridSpan w:val="5"/>
          </w:tcPr>
          <w:p>
            <w:pPr>
              <w:ind w:left="460"/>
              <w:spacing w:after="0"/>
              <w:rPr>
                <w:sz w:val="20"/>
                <w:szCs w:val="20"/>
                <w:color w:val="auto"/>
              </w:rPr>
            </w:pPr>
            <w:r>
              <w:rPr>
                <w:rFonts w:ascii="Arial" w:cs="Arial" w:eastAsia="Arial" w:hAnsi="Arial"/>
                <w:sz w:val="16"/>
                <w:szCs w:val="16"/>
                <w:b w:val="1"/>
                <w:bCs w:val="1"/>
                <w:color w:val="auto"/>
              </w:rPr>
              <w:t>2019 over 2018</w:t>
            </w:r>
          </w:p>
        </w:tc>
        <w:tc>
          <w:tcPr>
            <w:tcW w:w="204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3"/>
                <w:szCs w:val="23"/>
                <w:color w:val="auto"/>
              </w:rPr>
            </w:pPr>
          </w:p>
        </w:tc>
        <w:tc>
          <w:tcPr>
            <w:tcW w:w="20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  $</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2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Corporate Items selling, general and administrative expenses for the three months ended June 30, 2019 decreased $0.8 million from the comparable period in 2018 primarily due to a reduction in professional fees.</w:t>
      </w:r>
    </w:p>
    <w:p>
      <w:pPr>
        <w:spacing w:after="0" w:line="22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Corporate Items selling, general and administrative expenses for the six months ended June 30, 2019 increased $6.0 million from the comparable period in 2018 primarily due to our increased investment in our employees. During the six months ended June 30, 2019, salary and benefit-related costs increased by $4.8 million and stock-based compensation increased by $3.0 million from the comparable period in 2018. These increases were partially offset by a $2.3 million reduction in professional fees. For the full year, we expect Corporate Items SG&amp;A expenses to be slightly higher than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For the Three Months Ended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4"/>
          </w:tcPr>
          <w:p>
            <w:pPr>
              <w:jc w:val="right"/>
              <w:ind w:right="34"/>
              <w:spacing w:after="0"/>
              <w:rPr>
                <w:sz w:val="20"/>
                <w:szCs w:val="20"/>
                <w:color w:val="auto"/>
              </w:rPr>
            </w:pPr>
            <w:r>
              <w:rPr>
                <w:rFonts w:ascii="Arial" w:cs="Arial" w:eastAsia="Arial" w:hAnsi="Arial"/>
                <w:sz w:val="16"/>
                <w:szCs w:val="16"/>
                <w:b w:val="1"/>
                <w:bCs w:val="1"/>
                <w:color w:val="auto"/>
                <w:w w:val="94"/>
              </w:rPr>
              <w:t>For the Six Months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2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3"/>
                <w:szCs w:val="23"/>
                <w:color w:val="auto"/>
              </w:rPr>
            </w:pPr>
          </w:p>
        </w:tc>
        <w:tc>
          <w:tcPr>
            <w:tcW w:w="2160" w:type="dxa"/>
            <w:vAlign w:val="bottom"/>
            <w:gridSpan w:val="4"/>
          </w:tcPr>
          <w:p>
            <w:pPr>
              <w:ind w:left="440"/>
              <w:spacing w:after="0"/>
              <w:rPr>
                <w:sz w:val="20"/>
                <w:szCs w:val="20"/>
                <w:color w:val="auto"/>
              </w:rPr>
            </w:pPr>
            <w:r>
              <w:rPr>
                <w:rFonts w:ascii="Arial" w:cs="Arial" w:eastAsia="Arial" w:hAnsi="Arial"/>
                <w:sz w:val="16"/>
                <w:szCs w:val="16"/>
                <w:b w:val="1"/>
                <w:bCs w:val="1"/>
                <w:color w:val="auto"/>
              </w:rPr>
              <w:t>2019 over 2018</w:t>
            </w:r>
          </w:p>
        </w:tc>
        <w:tc>
          <w:tcPr>
            <w:tcW w:w="220" w:type="dxa"/>
            <w:vAlign w:val="bottom"/>
          </w:tcPr>
          <w:p>
            <w:pPr>
              <w:spacing w:after="0"/>
              <w:rPr>
                <w:sz w:val="23"/>
                <w:szCs w:val="23"/>
                <w:color w:val="auto"/>
              </w:rPr>
            </w:pPr>
          </w:p>
        </w:tc>
        <w:tc>
          <w:tcPr>
            <w:tcW w:w="206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0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09"/>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10"/>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33"/>
        </w:trPr>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320" w:type="dxa"/>
            <w:vAlign w:val="bottom"/>
          </w:tcPr>
          <w:p>
            <w:pPr>
              <w:ind w:left="160"/>
              <w:spacing w:after="0"/>
              <w:rPr>
                <w:sz w:val="20"/>
                <w:szCs w:val="20"/>
                <w:color w:val="auto"/>
              </w:rPr>
            </w:pPr>
            <w:r>
              <w:rPr>
                <w:rFonts w:ascii="Arial" w:cs="Arial" w:eastAsia="Arial" w:hAnsi="Arial"/>
                <w:sz w:val="18"/>
                <w:szCs w:val="18"/>
                <w:color w:val="auto"/>
              </w:rPr>
              <w:t>Environmental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117,868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109,199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8,669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207,378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170,616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36,762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21.5 %</w:t>
            </w:r>
          </w:p>
        </w:tc>
      </w:tr>
      <w:tr>
        <w:trPr>
          <w:trHeight w:val="27"/>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6,390</w:t>
            </w: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(0.5)</w:t>
            </w:r>
          </w:p>
        </w:tc>
      </w:tr>
      <w:tr>
        <w:trPr>
          <w:trHeight w:val="243"/>
        </w:trPr>
        <w:tc>
          <w:tcPr>
            <w:tcW w:w="2320" w:type="dxa"/>
            <w:vAlign w:val="bottom"/>
          </w:tcPr>
          <w:p>
            <w:pPr>
              <w:ind w:left="160"/>
              <w:spacing w:after="0"/>
              <w:rPr>
                <w:sz w:val="20"/>
                <w:szCs w:val="20"/>
                <w:color w:val="auto"/>
              </w:rPr>
            </w:pPr>
            <w:r>
              <w:rPr>
                <w:rFonts w:ascii="Arial" w:cs="Arial" w:eastAsia="Arial" w:hAnsi="Arial"/>
                <w:sz w:val="18"/>
                <w:szCs w:val="18"/>
                <w:color w:val="auto"/>
              </w:rPr>
              <w:t>Corporate Items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(4,795)</w:t>
            </w:r>
          </w:p>
        </w:tc>
        <w:tc>
          <w:tcPr>
            <w:tcW w:w="1220" w:type="dxa"/>
            <w:vAlign w:val="bottom"/>
            <w:gridSpan w:val="2"/>
          </w:tcPr>
          <w:p>
            <w:pPr>
              <w:jc w:val="right"/>
              <w:ind w:right="99"/>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(12,399)</w:t>
            </w:r>
          </w:p>
        </w:tc>
        <w:tc>
          <w:tcPr>
            <w:tcW w:w="1220" w:type="dxa"/>
            <w:vAlign w:val="bottom"/>
            <w:gridSpan w:val="2"/>
          </w:tcPr>
          <w:p>
            <w:pPr>
              <w:jc w:val="right"/>
              <w:ind w:right="99"/>
              <w:spacing w:after="0"/>
              <w:rPr>
                <w:sz w:val="20"/>
                <w:szCs w:val="20"/>
                <w:color w:val="auto"/>
              </w:rPr>
            </w:pPr>
            <w:r>
              <w:rPr>
                <w:rFonts w:ascii="Arial" w:cs="Arial" w:eastAsia="Arial" w:hAnsi="Arial"/>
                <w:sz w:val="18"/>
                <w:szCs w:val="18"/>
                <w:color w:val="auto"/>
              </w:rPr>
              <w:t>(15.9)</w:t>
            </w:r>
          </w:p>
        </w:tc>
      </w:tr>
      <w:tr>
        <w:trPr>
          <w:trHeight w:val="27"/>
        </w:trPr>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149,825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10,264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251,488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23,662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24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c>
          <w:tcPr>
            <w:tcW w:w="284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For the Six Months Ended</w:t>
            </w:r>
          </w:p>
        </w:tc>
      </w:tr>
      <w:tr>
        <w:trPr>
          <w:trHeight w:val="270"/>
        </w:trPr>
        <w:tc>
          <w:tcPr>
            <w:tcW w:w="4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23"/>
                <w:szCs w:val="23"/>
                <w:color w:val="auto"/>
              </w:rPr>
            </w:pPr>
          </w:p>
        </w:tc>
      </w:tr>
      <w:tr>
        <w:trPr>
          <w:trHeight w:val="33"/>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3"/>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30,747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18,116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34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4,878</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149,572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147,604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(547)</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20,769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41,039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16,025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13,683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16,736</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149,825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139,561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251,488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227,826</w:t>
            </w: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As a % of Direct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756"/>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4"/>
              </w:rPr>
              <w:t>For the Three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2"/>
              </w:rPr>
              <w:t>For the Six Months Ended</w:t>
            </w:r>
          </w:p>
        </w:tc>
        <w:tc>
          <w:tcPr>
            <w:tcW w:w="980" w:type="dxa"/>
            <w:vAlign w:val="bottom"/>
          </w:tcPr>
          <w:p>
            <w:pPr>
              <w:spacing w:after="0"/>
              <w:rPr>
                <w:sz w:val="18"/>
                <w:szCs w:val="18"/>
                <w:color w:val="auto"/>
              </w:rPr>
            </w:pPr>
          </w:p>
        </w:tc>
      </w:tr>
      <w:tr>
        <w:trPr>
          <w:trHeight w:val="270"/>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4"/>
          </w:tcPr>
          <w:p>
            <w:pPr>
              <w:ind w:left="380"/>
              <w:spacing w:after="0"/>
              <w:rPr>
                <w:sz w:val="20"/>
                <w:szCs w:val="20"/>
                <w:color w:val="auto"/>
              </w:rPr>
            </w:pPr>
            <w:r>
              <w:rPr>
                <w:rFonts w:ascii="Arial" w:cs="Arial" w:eastAsia="Arial" w:hAnsi="Arial"/>
                <w:sz w:val="16"/>
                <w:szCs w:val="16"/>
                <w:b w:val="1"/>
                <w:bCs w:val="1"/>
                <w:color w:val="auto"/>
              </w:rPr>
              <w:t>2019 over 2018</w:t>
            </w:r>
          </w:p>
        </w:tc>
        <w:tc>
          <w:tcPr>
            <w:tcW w:w="160" w:type="dxa"/>
            <w:vAlign w:val="bottom"/>
          </w:tcPr>
          <w:p>
            <w:pPr>
              <w:spacing w:after="0"/>
              <w:rPr>
                <w:sz w:val="23"/>
                <w:szCs w:val="23"/>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1940" w:type="dxa"/>
            <w:vAlign w:val="bottom"/>
            <w:gridSpan w:val="3"/>
          </w:tcPr>
          <w:p>
            <w:pPr>
              <w:ind w:left="360"/>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21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fixed assets and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landfills and finance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64,191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131,394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129,791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1.2%</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Permits and other intangibles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18,178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17,813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2.0</w:t>
            </w:r>
          </w:p>
        </w:tc>
      </w:tr>
      <w:tr>
        <w:trPr>
          <w:trHeight w:val="27"/>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74,217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72,760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7"/>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149,572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147,604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7"/>
              </w:rPr>
              <w:t>1.3%</w:t>
            </w: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for the three months ended June 30, 2019 increased by $1.5 million from the comparable period in 2018 primarily due to an increase in capital spending.</w:t>
      </w:r>
    </w:p>
    <w:p>
      <w:pPr>
        <w:spacing w:after="0" w:line="2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Depreciation and amortization for the six months ended June 30, 2019 increased by $2.0 million from the comparable period in 2018 due to incremental depreciation from acquisitions and increased capital spending, partially offset by lower volumes at our landfills in 2019, which reduced landfill amortization.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spacing w:after="0"/>
              <w:rPr>
                <w:sz w:val="20"/>
                <w:szCs w:val="20"/>
                <w:color w:val="auto"/>
              </w:rPr>
            </w:pPr>
            <w:r>
              <w:rPr>
                <w:rFonts w:ascii="Arial" w:cs="Arial" w:eastAsia="Arial" w:hAnsi="Arial"/>
                <w:sz w:val="16"/>
                <w:szCs w:val="16"/>
                <w:b w:val="1"/>
                <w:bCs w:val="1"/>
                <w:color w:val="auto"/>
                <w:w w:val="98"/>
              </w:rPr>
              <w:t>For the Three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Six Months Ended</w:t>
            </w:r>
          </w:p>
        </w:tc>
        <w:tc>
          <w:tcPr>
            <w:tcW w:w="1100" w:type="dxa"/>
            <w:vAlign w:val="bottom"/>
          </w:tcPr>
          <w:p>
            <w:pPr>
              <w:spacing w:after="0"/>
              <w:rPr>
                <w:sz w:val="18"/>
                <w:szCs w:val="18"/>
                <w:color w:val="auto"/>
              </w:rPr>
            </w:pPr>
          </w:p>
        </w:tc>
      </w:tr>
      <w:tr>
        <w:trPr>
          <w:trHeight w:val="270"/>
        </w:trPr>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3"/>
                <w:szCs w:val="23"/>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2019 over 2018</w:t>
            </w:r>
          </w:p>
        </w:tc>
        <w:tc>
          <w:tcPr>
            <w:tcW w:w="2040" w:type="dxa"/>
            <w:vAlign w:val="bottom"/>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3"/>
                <w:szCs w:val="23"/>
                <w:color w:val="auto"/>
              </w:rPr>
            </w:pPr>
          </w:p>
        </w:tc>
        <w:tc>
          <w:tcPr>
            <w:tcW w:w="2060" w:type="dxa"/>
            <w:vAlign w:val="bottom"/>
            <w:gridSpan w:val="3"/>
          </w:tcPr>
          <w:p>
            <w:pPr>
              <w:jc w:val="right"/>
              <w:ind w:right="496"/>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41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10"/>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7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4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Pr>
          <w:p>
            <w:pPr>
              <w:jc w:val="right"/>
              <w:ind w:right="25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16,025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  $</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22,002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16,736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2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The provision for income taxes for the three and six months ended June 30, 2019 increased $2.3 million and $5.3 million, respectively, from the comparable periods in 2018. The increase in the three and six months ended June 30, 2019 was primarily due to increased taxable income in the United States. Our effective tax rate for the three and six months ended June 30, 2019 was 30.7% and 37.2%, respectively, compared to 30.8% and 48.0%, respectively, for the same periods in 2018.</w:t>
      </w:r>
    </w:p>
    <w:p>
      <w:pPr>
        <w:spacing w:after="0" w:line="24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For the six months ended June 30, 2019, we did not record $4.8 million of income tax benefits generated from losses at certain of our Canadian entities. This compares to $6.1 million of income tax benefits generated in the comparable period of 2018 which also were not recorded in that period's income tax provision.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jc w:val="center"/>
              <w:ind w:left="654"/>
              <w:spacing w:after="0"/>
              <w:rPr>
                <w:sz w:val="20"/>
                <w:szCs w:val="20"/>
                <w:color w:val="auto"/>
              </w:rPr>
            </w:pPr>
            <w:r>
              <w:rPr>
                <w:rFonts w:ascii="Arial" w:cs="Arial" w:eastAsia="Arial" w:hAnsi="Arial"/>
                <w:sz w:val="16"/>
                <w:szCs w:val="16"/>
                <w:b w:val="1"/>
                <w:bCs w:val="1"/>
                <w:color w:val="auto"/>
                <w:w w:val="92"/>
              </w:rPr>
              <w:t>Six Months Ended</w:t>
            </w:r>
          </w:p>
        </w:tc>
        <w:tc>
          <w:tcPr>
            <w:tcW w:w="1140" w:type="dxa"/>
            <w:vAlign w:val="bottom"/>
          </w:tcPr>
          <w:p>
            <w:pPr>
              <w:spacing w:after="0"/>
              <w:rPr>
                <w:sz w:val="18"/>
                <w:szCs w:val="18"/>
                <w:color w:val="auto"/>
              </w:rPr>
            </w:pPr>
          </w:p>
        </w:tc>
      </w:tr>
      <w:tr>
        <w:trPr>
          <w:trHeight w:val="270"/>
        </w:trPr>
        <w:tc>
          <w:tcPr>
            <w:tcW w:w="7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8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23"/>
                <w:szCs w:val="23"/>
                <w:color w:val="auto"/>
              </w:rPr>
            </w:pPr>
          </w:p>
        </w:tc>
      </w:tr>
      <w:tr>
        <w:trPr>
          <w:trHeight w:val="33"/>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20"/>
                <w:szCs w:val="20"/>
                <w:color w:val="auto"/>
              </w:rPr>
            </w:pPr>
          </w:p>
        </w:tc>
        <w:tc>
          <w:tcPr>
            <w:tcW w:w="1400" w:type="dxa"/>
            <w:vAlign w:val="bottom"/>
          </w:tcPr>
          <w:p>
            <w:pPr>
              <w:jc w:val="right"/>
              <w:ind w:right="6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33"/>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138,470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129,670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(139,868)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(216,141)</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r>
      <w:tr>
        <w:trPr>
          <w:trHeight w:val="27"/>
        </w:trPr>
        <w:tc>
          <w:tcPr>
            <w:tcW w:w="7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Net cash from operating activities for the six months ended June 30, 2019 was $138.5 million, an increase of $8.8 million from the comparable period in 2018. The increase in operating cash flows as compared to the comparable period of 2018 was mostly attributable to greater levels of operating income. We believe that net cash from operating activities for 2019 will continue to improve year-over-year as we continue to generate higher earnings.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2019 was $139.9 million, a decrease of $76.3 million from the comparable period in 2018. The change was primarily driven by a decrease in cash paid for acquisitions, which was greater during the six months ended June 30, 2018 due to the acquisition of the Veolia Business on February 23, 2018. This decrease was</w:t>
      </w:r>
    </w:p>
    <w:p>
      <w:pPr>
        <w:sectPr>
          <w:pgSz w:w="11900" w:h="16838" w:orient="portrait"/>
          <w:cols w:equalWidth="0" w:num="1">
            <w:col w:w="11420"/>
          </w:cols>
          <w:pgMar w:left="240" w:top="125" w:right="239" w:bottom="1068"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068"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increased capital expenditure levels, net of disposals, which we expect to be approximately $200.0 million by the end of 2019.</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2019 was $23.8 million, a decrease of $10.1 million from the comparable period in 2018. The change was primarily due to a decrease in repurchases of common stock, which was partially offset by an increase in tax payments related to withholdings on vested restricted stock and quarterly principal payments on debt as a result of the expansion of our Term Loan Agreement in the third quarter of 2018.</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cash from operating activities to adjusted free cash flow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(94,139)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27,487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June 30, 2019, cash and cash equivalents and marketable securities totaled $259.7 million, compared to $279.4 million at December 31, 2018. At June 30, 2019, cash and cash equivalents held by our foreign subsidiaries totaled $72.8 million and were readily convertible into other currencies including U.S. dollars. At June 30, 2019, the cash and cash equivalents and marketable securities balance for our U.S. operations was $186.9 million, and our U.S. operations had net operating cash flows of $131.0 million for the six months ended June 30, 2019. Additionally, we have a $400.0 million revolving credit facility of which approximately $217.0 million was available to borrow at June 30, 2019. Based on the above and on our current plans, we believe that our U.S. operations have and will continue to have adequate financial resources to satisfy their current liquidity needs.</w:t>
      </w:r>
    </w:p>
    <w:p>
      <w:pPr>
        <w:spacing w:after="0" w:line="23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Financing arrangements are discussed in Note 11, “Financing Arrangements,” to our consolidated financial statements included in this report. We continue to monitor our debt instruments and evaluate opportunities where it may be beneficial to refinance or reallocate the portfolio.</w:t>
      </w:r>
    </w:p>
    <w:p>
      <w:pPr>
        <w:spacing w:after="0" w:line="6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June 30, 2019, we were in compliance with the covenants of all our debt agreements, and we believe it is reasonably likely that we will continue to meet such covenants.</w:t>
      </w:r>
    </w:p>
    <w:p>
      <w:pPr>
        <w:spacing w:after="0" w:line="8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discussed in Note 11, “Financing Arrangements,” to our consolidated financial statements, we refinanced a portion of our debt portfolio in July 2019 whereby the $845.0 million of previously outstanding 5.125% senior unsecured notes due 2021 were replaced by $545.0 million of 4.875% unsecured senior notes due 2027 and $300.0 million 5.125% unsecured senior notes due 2029.</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8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Remedial liabilities</w:t>
            </w:r>
          </w:p>
        </w:tc>
        <w:tc>
          <w:tcPr>
            <w:tcW w:w="2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118,275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121,017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(2.3)</w:t>
            </w: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environmental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194,105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Total environmental liabilities as of June 30, 2019 were $194.1 million, an increase of $3.2 million compared to December 31, 2018 primarily due to accretion of $5.1 million, changes in environmental liability estimates recorded to the balance sheet of $2.8 million and new asset retirement obligations and liabilities assumed in acquisitions of $1.3 million, partially offset by expenditures of $6.1 million.</w:t>
      </w:r>
    </w:p>
    <w:p>
      <w:pPr>
        <w:spacing w:after="0" w:line="23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anticipate that 2019 capital spending, net of disposals, will be in the range of $190.0 million to $210.0 million. However, unanticipated changes in environmental regulations could require us to make significant capital expenditures for our facilities and adversely affect our results of operations and cash flow.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There were no material changes in the first six months of 2019 to the information provided under the heading “Critical Accounting Policies and Estimates” included in our Annual Report on Form 10-K for the year ended December 31, 2018. New accounting policies adopted during the quarter are described in Note 2, "Significant Accounting Policies," to our unaudited consolidated financial statements included in this report.</w:t>
      </w:r>
    </w:p>
    <w:p>
      <w:pPr>
        <w:spacing w:after="0" w:line="1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material changes in the first six months of 2019 to the information provided under Item 7A. “Quantitative and Qualitative Disclosures about Market Risk” in the Company's Annual Report on Form 10-K for the year ended December 31, 2018.</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621"/>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June 30, 2019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2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ended June 30, 2019 that have materially affected, or are reasonably likely to materially affect, the Company’s internal control over financial reporting.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16, “Commitments and Contingencies,” to the financial statements included in Item 1 of this report, which description is incorporated herein by reference.</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2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six months ended June 30, 2019, there were no material changes from the risk factors as previously disclosed in Item 1A in the Company's Annual Report on Form 10-K for the year ended December 31, 2018.</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Share (2)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April 1, 2019 through April 30, 2019</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17,702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72.01</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299,748,915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 1, 2019 through May 31, 2019</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18,059</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298,609,241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June 1, 2019 through June 30, 2019</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78,192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56,500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294,800,437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113,953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294,800,437</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Arial" w:cs="Arial" w:eastAsia="Arial" w:hAnsi="Arial"/>
                <w:sz w:val="18"/>
                <w:szCs w:val="18"/>
                <w:color w:val="auto"/>
                <w:w w:val="8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39,953 shares withheld by us from employees to satisfy employee tax obligations upon vesting of restricted stock units granted to our employees under the Company's equity incentive plans.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hanging="328"/>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2"/>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6"/>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8"/>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4"/>
              </w:rPr>
              <w:t>Form 10-Q of Clean Harbors, Inc. for the quarter ended June 30, 2019, formatted in XBRL: (i) Consolidated Balance</w:t>
            </w:r>
          </w:p>
        </w:tc>
        <w:tc>
          <w:tcPr>
            <w:tcW w:w="14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rPr>
              <w:t>Sheets, (ii) Unaudited Consolidated Statements of Operations, (iii) Unaudited Consolidated Statements of</w:t>
            </w:r>
          </w:p>
        </w:tc>
        <w:tc>
          <w:tcPr>
            <w:tcW w:w="1480" w:type="dxa"/>
            <w:vAlign w:val="bottom"/>
          </w:tcPr>
          <w:p>
            <w:pPr>
              <w:spacing w:after="0"/>
              <w:rPr>
                <w:sz w:val="20"/>
                <w:szCs w:val="20"/>
                <w:color w:val="auto"/>
              </w:rPr>
            </w:pPr>
          </w:p>
        </w:tc>
      </w:tr>
    </w:tbl>
    <w:p>
      <w:pPr>
        <w:ind w:left="1180" w:right="1860"/>
        <w:spacing w:after="0" w:line="290" w:lineRule="auto"/>
        <w:rPr>
          <w:sz w:val="20"/>
          <w:szCs w:val="20"/>
          <w:color w:val="auto"/>
        </w:rPr>
      </w:pPr>
      <w:r>
        <w:rPr>
          <w:rFonts w:ascii="Arial" w:cs="Arial" w:eastAsia="Arial" w:hAnsi="Arial"/>
          <w:sz w:val="16"/>
          <w:szCs w:val="16"/>
          <w:color w:val="auto"/>
        </w:rPr>
        <w:t>Comprehensive Income (Loss), (iv) Unaudited Consolidated Statements of Cash Flows, (v) Unaudited Consolidated Statements of Stockholders’ Equity, and (vi) Notes to Unaudited Consolidated Financial Statements.</w:t>
      </w: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0" w:right="400" w:hanging="490"/>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8"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240" w:top="125" w:right="7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June 30, 2019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60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July 31, 2019</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July 31,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2019-12-28T09:36:14Z</dcterms:created>
  <dcterms:modified xsi:type="dcterms:W3CDTF">2019-12-28T09:36:14Z</dcterms:modified>
</cp:coreProperties>
</file>