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4" w:lineRule="exact"/>
        <w:rPr>
          <w:sz w:val="24"/>
          <w:szCs w:val="24"/>
          <w:color w:val="auto"/>
        </w:rPr>
      </w:pPr>
    </w:p>
    <w:p>
      <w:pPr>
        <w:ind w:left="1220" w:hanging="357"/>
        <w:spacing w:after="0"/>
        <w:tabs>
          <w:tab w:leader="none" w:pos="1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5" w:lineRule="exact"/>
        <w:rPr>
          <w:sz w:val="24"/>
          <w:szCs w:val="24"/>
          <w:color w:val="auto"/>
        </w:rPr>
      </w:pPr>
    </w:p>
    <w:p>
      <w:pPr>
        <w:ind w:left="1220" w:hanging="357"/>
        <w:spacing w:after="0"/>
        <w:tabs>
          <w:tab w:leader="none" w:pos="12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00"/>
          </w:cols>
          <w:pgMar w:left="320" w:top="229" w:right="379" w:bottom="1440" w:gutter="0" w:footer="0" w:header="0"/>
        </w:sectPr>
      </w:pPr>
    </w:p>
    <w:p>
      <w:pPr>
        <w:spacing w:after="0" w:line="16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6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001-34223</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40005</wp:posOffset>
            </wp:positionV>
            <wp:extent cx="213423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4235" cy="6515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719" w:lineRule="exact"/>
        <w:rPr>
          <w:sz w:val="24"/>
          <w:szCs w:val="24"/>
          <w:color w:val="auto"/>
        </w:rPr>
      </w:pPr>
    </w:p>
    <w:p>
      <w:pPr>
        <w:sectPr>
          <w:pgSz w:w="11900" w:h="16838" w:orient="portrait"/>
          <w:cols w:equalWidth="0" w:num="2">
            <w:col w:w="7020" w:space="180"/>
            <w:col w:w="4000"/>
          </w:cols>
          <w:pgMar w:left="320" w:top="229" w:right="3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CLEAN HARBORS, INC.</w:t>
      </w:r>
    </w:p>
    <w:p>
      <w:pPr>
        <w:spacing w:after="0" w:line="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7"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4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04-2997780</w:t>
            </w:r>
          </w:p>
        </w:tc>
      </w:tr>
      <w:tr>
        <w:trPr>
          <w:trHeight w:val="22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54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02061-9149</w:t>
            </w:r>
          </w:p>
        </w:tc>
      </w:tr>
      <w:tr>
        <w:trPr>
          <w:trHeight w:val="234"/>
        </w:trPr>
        <w:tc>
          <w:tcPr>
            <w:tcW w:w="5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3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3220" w:type="dxa"/>
            <w:vAlign w:val="bottom"/>
            <w:gridSpan w:val="2"/>
            <w:vMerge w:val="continue"/>
          </w:tcPr>
          <w:p>
            <w:pPr>
              <w:spacing w:after="0"/>
              <w:rPr>
                <w:sz w:val="21"/>
                <w:szCs w:val="21"/>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0" w:type="dxa"/>
            <w:vAlign w:val="bottom"/>
          </w:tcPr>
          <w:p>
            <w:pPr>
              <w:spacing w:after="0"/>
              <w:rPr>
                <w:sz w:val="1"/>
                <w:szCs w:val="1"/>
                <w:color w:val="auto"/>
              </w:rPr>
            </w:pPr>
          </w:p>
        </w:tc>
      </w:tr>
      <w:tr>
        <w:trPr>
          <w:trHeight w:val="228"/>
        </w:trPr>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CLH</w:t>
            </w:r>
          </w:p>
        </w:tc>
        <w:tc>
          <w:tcPr>
            <w:tcW w:w="12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“merging growth company” in Rule 12b-2 of the Exchange Act. (Check one):</w:t>
      </w:r>
    </w:p>
    <w:p>
      <w:pPr>
        <w:sectPr>
          <w:pgSz w:w="11900" w:h="16838" w:orient="portrait"/>
          <w:cols w:equalWidth="0" w:num="1">
            <w:col w:w="11200"/>
          </w:cols>
          <w:pgMar w:left="320" w:top="229" w:right="379" w:bottom="1440" w:gutter="0" w:footer="0" w:header="0"/>
          <w:type w:val="continuous"/>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760"/>
        <w:spacing w:after="0" w:line="190"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9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178" w:lineRule="exact"/>
        <w:rPr>
          <w:sz w:val="24"/>
          <w:szCs w:val="24"/>
          <w:color w:val="auto"/>
        </w:rPr>
      </w:pPr>
    </w:p>
    <w:p>
      <w:pPr>
        <w:sectPr>
          <w:pgSz w:w="11900" w:h="16838" w:orient="portrait"/>
          <w:cols w:equalWidth="0" w:num="3">
            <w:col w:w="3400" w:space="100"/>
            <w:col w:w="3260" w:space="720"/>
            <w:col w:w="3720"/>
          </w:cols>
          <w:pgMar w:left="320" w:top="229" w:right="379" w:bottom="1440" w:gutter="0" w:footer="0" w:header="0"/>
          <w:type w:val="continuous"/>
        </w:sectPr>
      </w:pPr>
    </w:p>
    <w:p>
      <w:pPr>
        <w:ind w:right="1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340" w:right="16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of the registrant outstanding at October 25, 2024 was 53,899,103.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1"/>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80" w:type="dxa"/>
            <w:vAlign w:val="bottom"/>
            <w:gridSpan w:val="10"/>
            <w:vMerge w:val="restart"/>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80" w:type="dxa"/>
            <w:vAlign w:val="bottom"/>
            <w:gridSpan w:val="10"/>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1: Unaudited Consolidated Financial Statements</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Consolidated Balance Sheets</w:t>
            </w:r>
          </w:p>
        </w:tc>
        <w:tc>
          <w:tcPr>
            <w:tcW w:w="2080" w:type="dxa"/>
            <w:vAlign w:val="bottom"/>
            <w:tcBorders>
              <w:top w:val="single" w:sz="8" w:color="0000FF"/>
            </w:tcBorders>
            <w:gridSpan w:val="8"/>
          </w:tcPr>
          <w:p>
            <w:pPr>
              <w:spacing w:after="0"/>
              <w:rPr>
                <w:sz w:val="18"/>
                <w:szCs w:val="18"/>
                <w:color w:val="auto"/>
              </w:rPr>
            </w:pPr>
          </w:p>
        </w:tc>
        <w:tc>
          <w:tcPr>
            <w:tcW w:w="6100" w:type="dxa"/>
            <w:vAlign w:val="bottom"/>
            <w:gridSpan w:val="8"/>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w:t>
            </w:r>
          </w:p>
        </w:tc>
        <w:tc>
          <w:tcPr>
            <w:tcW w:w="6620" w:type="dxa"/>
            <w:vAlign w:val="bottom"/>
            <w:gridSpan w:val="12"/>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Comprehensive Income</w:t>
            </w: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380" w:type="dxa"/>
            <w:vAlign w:val="bottom"/>
            <w:gridSpan w:val="3"/>
          </w:tcPr>
          <w:p>
            <w:pPr>
              <w:spacing w:after="0"/>
              <w:rPr>
                <w:sz w:val="18"/>
                <w:szCs w:val="18"/>
                <w:color w:val="auto"/>
              </w:rPr>
            </w:pPr>
          </w:p>
        </w:tc>
        <w:tc>
          <w:tcPr>
            <w:tcW w:w="5900" w:type="dxa"/>
            <w:vAlign w:val="bottom"/>
            <w:gridSpan w:val="7"/>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5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5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3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4960" w:type="dxa"/>
            <w:vAlign w:val="bottom"/>
            <w:gridSpan w:val="4"/>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360" w:type="dxa"/>
            <w:vAlign w:val="bottom"/>
            <w:gridSpan w:val="3"/>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ITEM 1: Legal Proceedings</w:t>
            </w:r>
          </w:p>
        </w:tc>
        <w:tc>
          <w:tcPr>
            <w:tcW w:w="8220" w:type="dxa"/>
            <w:vAlign w:val="bottom"/>
            <w:gridSpan w:val="17"/>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8220" w:type="dxa"/>
            <w:vAlign w:val="bottom"/>
            <w:gridSpan w:val="1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8"/>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506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600" w:type="dxa"/>
            <w:vAlign w:val="bottom"/>
            <w:gridSpan w:val="2"/>
          </w:tcPr>
          <w:p>
            <w:pPr>
              <w:spacing w:after="0"/>
              <w:rPr>
                <w:sz w:val="18"/>
                <w:szCs w:val="18"/>
                <w:color w:val="auto"/>
              </w:rPr>
            </w:pPr>
          </w:p>
        </w:tc>
        <w:tc>
          <w:tcPr>
            <w:tcW w:w="7180" w:type="dxa"/>
            <w:vAlign w:val="bottom"/>
            <w:gridSpan w:val="13"/>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7780" w:type="dxa"/>
            <w:vAlign w:val="bottom"/>
            <w:gridSpan w:val="1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180" w:type="dxa"/>
            <w:vAlign w:val="bottom"/>
            <w:gridSpan w:val="1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6: Exhibits</w:t>
            </w:r>
          </w:p>
        </w:tc>
        <w:tc>
          <w:tcPr>
            <w:tcW w:w="800" w:type="dxa"/>
            <w:vAlign w:val="bottom"/>
            <w:gridSpan w:val="3"/>
          </w:tcPr>
          <w:p>
            <w:pPr>
              <w:spacing w:after="0"/>
              <w:rPr>
                <w:sz w:val="18"/>
                <w:szCs w:val="18"/>
                <w:color w:val="auto"/>
              </w:rPr>
            </w:pPr>
          </w:p>
        </w:tc>
        <w:tc>
          <w:tcPr>
            <w:tcW w:w="8180" w:type="dxa"/>
            <w:vAlign w:val="bottom"/>
            <w:gridSpan w:val="1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980" w:type="dxa"/>
            <w:vAlign w:val="bottom"/>
            <w:gridSpan w:val="1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980" w:type="dxa"/>
            <w:vAlign w:val="bottom"/>
            <w:gridSpan w:val="19"/>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8"/>
        </w:trPr>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444,698</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106,101</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aggregating $48,570 and $42,209, respectively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983,111</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107,859</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327,511</w:t>
            </w:r>
          </w:p>
        </w:tc>
      </w:tr>
      <w:tr>
        <w:trPr>
          <w:trHeight w:val="229"/>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82,939</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2,354,478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2,052,219</w:t>
            </w:r>
          </w:p>
        </w:tc>
      </w:tr>
      <w:tr>
        <w:trPr>
          <w:trHeight w:val="22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2,452,312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2,193,318</w:t>
            </w:r>
          </w:p>
        </w:tc>
      </w:tr>
      <w:tr>
        <w:trPr>
          <w:trHeight w:val="21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187,060</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1,287,736</w:t>
            </w: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602,797</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59,739</w:t>
            </w:r>
          </w:p>
        </w:tc>
      </w:tr>
      <w:tr>
        <w:trPr>
          <w:trHeight w:val="223"/>
        </w:trPr>
        <w:tc>
          <w:tcPr>
            <w:tcW w:w="8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2,499,220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2,137,332</w:t>
            </w:r>
          </w:p>
        </w:tc>
      </w:tr>
      <w:tr>
        <w:trPr>
          <w:trHeight w:val="248"/>
        </w:trPr>
        <w:tc>
          <w:tcPr>
            <w:tcW w:w="8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6,382,869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451,806</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95,230</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397,157</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56,430</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1,037,537</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$14,203 and $13,556, respectively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105,044</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Remedial liabilities, less current portion of $16,274 and $13,358, respectively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97,885</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2,291,717</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131,743</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353,107</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118,330</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3,655,849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3,097,826</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contingent liabilities (See Note 15)</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80,000,000 shares; issued and outstanding 53,898,805 and 53,929,703 shares, respectively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459,728</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2,280,903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1,962,578</w:t>
            </w:r>
          </w:p>
        </w:tc>
      </w:tr>
      <w:tr>
        <w:trPr>
          <w:trHeight w:val="223"/>
        </w:trPr>
        <w:tc>
          <w:tcPr>
            <w:tcW w:w="8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2,247,506</w:t>
            </w:r>
          </w:p>
        </w:tc>
      </w:tr>
      <w:tr>
        <w:trPr>
          <w:trHeight w:val="223"/>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7,306,010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6,382,869</w:t>
            </w: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2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r>
      <w:tr>
        <w:trPr>
          <w:trHeight w:val="2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1,278,955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1,129,216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3,719,183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3,341,539</w:t>
            </w:r>
          </w:p>
        </w:tc>
      </w:tr>
      <w:tr>
        <w:trPr>
          <w:trHeight w:val="230"/>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729,444</w:t>
            </w:r>
          </w:p>
        </w:tc>
      </w:tr>
      <w:tr>
        <w:trPr>
          <w:trHeight w:val="223"/>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1,529,422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1,365,696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4,458,836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4,070,983</w:t>
            </w:r>
          </w:p>
        </w:tc>
      </w:tr>
      <w:tr>
        <w:trPr>
          <w:trHeight w:val="21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2,539,569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2,288,199</w:t>
            </w:r>
          </w:p>
        </w:tc>
      </w:tr>
      <w:tr>
        <w:trPr>
          <w:trHeight w:val="229"/>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534,778</w:t>
            </w:r>
          </w:p>
        </w:tc>
      </w:tr>
      <w:tr>
        <w:trPr>
          <w:trHeight w:val="223"/>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3,062,211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2,822,977</w:t>
            </w:r>
          </w:p>
        </w:tc>
      </w:tr>
      <w:tr>
        <w:trPr>
          <w:trHeight w:val="223"/>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505,154</w:t>
            </w: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w:t>
            </w:r>
          </w:p>
        </w:tc>
      </w:tr>
      <w:tr>
        <w:trPr>
          <w:trHeight w:val="229"/>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267,425</w:t>
            </w:r>
          </w:p>
        </w:tc>
      </w:tr>
      <w:tr>
        <w:trPr>
          <w:trHeight w:val="223"/>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465,146</w:t>
            </w:r>
          </w:p>
        </w:tc>
      </w:tr>
      <w:tr>
        <w:trPr>
          <w:trHeight w:val="229"/>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175"/>
        </w:trPr>
        <w:tc>
          <w:tcPr>
            <w:tcW w:w="60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Interest expense, net of interest income of $5,391, $2,877, $13,257, and $7,833,</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(80,400)</w:t>
            </w:r>
          </w:p>
        </w:tc>
      </w:tr>
      <w:tr>
        <w:trPr>
          <w:trHeight w:val="223"/>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381,551</w:t>
            </w:r>
          </w:p>
        </w:tc>
      </w:tr>
      <w:tr>
        <w:trPr>
          <w:trHeight w:val="23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102,044</w:t>
            </w:r>
          </w:p>
        </w:tc>
      </w:tr>
      <w:tr>
        <w:trPr>
          <w:trHeight w:val="223"/>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115,213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318,325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279,507</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6"/>
        </w:trPr>
        <w:tc>
          <w:tcPr>
            <w:tcW w:w="606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8"/>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53,951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54,122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53,936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54,097</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8"/>
        </w:trPr>
        <w:tc>
          <w:tcPr>
            <w:tcW w:w="6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3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r>
      <w:tr>
        <w:trPr>
          <w:trHeight w:val="23"/>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59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279,507</w:t>
            </w: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gain on fair value of interest rate hedges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w:t>
            </w:r>
          </w:p>
        </w:tc>
      </w:tr>
      <w:tr>
        <w:trPr>
          <w:trHeight w:val="175"/>
        </w:trPr>
        <w:tc>
          <w:tcPr>
            <w:tcW w:w="59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interest rate hedge amounts realized in net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r>
      <w:tr>
        <w:trPr>
          <w:trHeight w:val="229"/>
        </w:trPr>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settlement of interest rate hedges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r>
      <w:tr>
        <w:trPr>
          <w:trHeight w:val="230"/>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adjustments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23"/>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23"/>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301,628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277,549</w:t>
            </w:r>
          </w:p>
        </w:tc>
      </w:tr>
      <w:tr>
        <w:trPr>
          <w:trHeight w:val="21"/>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6"/>
                <w:szCs w:val="16"/>
                <w:color w:val="auto"/>
              </w:rPr>
            </w:pPr>
          </w:p>
        </w:tc>
      </w:tr>
      <w:tr>
        <w:trPr>
          <w:trHeight w:val="203"/>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7"/>
                <w:szCs w:val="17"/>
                <w:color w:val="auto"/>
              </w:rPr>
            </w:pPr>
          </w:p>
        </w:tc>
      </w:tr>
      <w:tr>
        <w:trPr>
          <w:trHeight w:val="23"/>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318,325</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279,507</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295,632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267,425</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10,281</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expense,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14,809</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(24,064)</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(46,445)</w:t>
            </w:r>
          </w:p>
        </w:tc>
      </w:tr>
      <w:tr>
        <w:trPr>
          <w:trHeight w:val="213"/>
        </w:trPr>
        <w:tc>
          <w:tcPr>
            <w:tcW w:w="8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Inventories and supplies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12,691</w:t>
            </w:r>
          </w:p>
        </w:tc>
      </w:tr>
      <w:tr>
        <w:trPr>
          <w:trHeight w:val="219"/>
        </w:trPr>
        <w:tc>
          <w:tcPr>
            <w:tcW w:w="8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long-term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(18,190)</w:t>
            </w:r>
          </w:p>
        </w:tc>
      </w:tr>
      <w:tr>
        <w:trPr>
          <w:trHeight w:val="213"/>
        </w:trPr>
        <w:tc>
          <w:tcPr>
            <w:tcW w:w="8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(40,013)</w:t>
            </w:r>
          </w:p>
        </w:tc>
      </w:tr>
      <w:tr>
        <w:trPr>
          <w:trHeight w:val="219"/>
        </w:trPr>
        <w:tc>
          <w:tcPr>
            <w:tcW w:w="8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(13,062)</w:t>
            </w:r>
          </w:p>
        </w:tc>
      </w:tr>
      <w:tr>
        <w:trPr>
          <w:trHeight w:val="207"/>
        </w:trPr>
        <w:tc>
          <w:tcPr>
            <w:tcW w:w="81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473,833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455,692</w:t>
            </w:r>
          </w:p>
        </w:tc>
      </w:tr>
      <w:tr>
        <w:trPr>
          <w:trHeight w:val="19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(369,826)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(311,906)</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(474,011)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(119,596)</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(104,329)</w:t>
            </w:r>
          </w:p>
        </w:tc>
      </w:tr>
      <w:tr>
        <w:trPr>
          <w:trHeight w:val="213"/>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100,021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84,390</w:t>
            </w:r>
          </w:p>
        </w:tc>
      </w:tr>
      <w:tr>
        <w:trPr>
          <w:trHeight w:val="212"/>
        </w:trPr>
        <w:tc>
          <w:tcPr>
            <w:tcW w:w="8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(812,940)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(447,069)</w:t>
            </w:r>
          </w:p>
        </w:tc>
      </w:tr>
      <w:tr>
        <w:trPr>
          <w:trHeight w:val="19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(10,886)</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(11,594)</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(621,475)</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debt, net of discount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Borrowing from revolving credit facility</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 on revolving credit facility</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(114,000)</w:t>
            </w:r>
          </w:p>
        </w:tc>
      </w:tr>
      <w:tr>
        <w:trPr>
          <w:trHeight w:val="207"/>
        </w:trPr>
        <w:tc>
          <w:tcPr>
            <w:tcW w:w="81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from (used in)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408,555</w:t>
            </w:r>
          </w:p>
        </w:tc>
        <w:tc>
          <w:tcPr>
            <w:tcW w:w="1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(165,322)</w:t>
            </w: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67,673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(156,638)</w:t>
            </w:r>
          </w:p>
        </w:tc>
      </w:tr>
      <w:tr>
        <w:trPr>
          <w:trHeight w:val="216"/>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444,698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492,603</w:t>
            </w:r>
          </w:p>
        </w:tc>
      </w:tr>
      <w:tr>
        <w:trPr>
          <w:trHeight w:val="212"/>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512,371</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335,965</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100,813</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100,752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107,328</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29,127</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ROU assets obtained in exchange for operating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61,741</w:t>
            </w:r>
          </w:p>
        </w:tc>
      </w:tr>
      <w:tr>
        <w:trPr>
          <w:trHeight w:val="210"/>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ROU assets obtained in exchange for finance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53,391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26,317</w:t>
            </w:r>
          </w:p>
        </w:tc>
      </w:tr>
    </w:tbl>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20"/>
          </w:cols>
          <w:pgMar w:left="320" w:top="121" w:right="359" w:bottom="10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024"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7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2,247,506</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69,832</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53,926</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458,014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2,311,337</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133,280</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2,441,721</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115,213</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2,528,310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9"/>
        </w:trPr>
        <w:tc>
          <w:tcPr>
            <w:tcW w:w="37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1,922,322</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54,092</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1,980,044</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115,766</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2,109,886</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2,185,794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are unaudited and include the accounts of Clean Harbors, Inc. and its subsidiaries (collectively, “Clean Harbors” or the “Company”) and have been prepared pursuant to the rules and regulations of the Securities and Exchange Commission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4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in the Company's Annual Report on Form 10-K for the year ended December 31, 2023.</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52"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w:t>
      </w:r>
      <w:r>
        <w:rPr>
          <w:rFonts w:ascii="Times New Roman" w:cs="Times New Roman" w:eastAsia="Times New Roman" w:hAnsi="Times New Roman"/>
          <w:sz w:val="18"/>
          <w:szCs w:val="18"/>
          <w:i w:val="1"/>
          <w:iCs w:val="1"/>
          <w:color w:val="auto"/>
        </w:rPr>
        <w:t>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requires an enhanced disclosure of significant segment expenses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This guidance will be effective for the Company’s annual period beginning January 1, 2024, and for interim periods beginning January 1, 2025. Early adoption is permitted. Upon adoption, the guidance should be applied retrospectively to all prior periods presented in the financial statements. The requirements of this ASU are disclosure related and will not have an impact on the Company’s financial condition, results of operations, or cash flows. The Company is currently evaluating the impact of adopting this ASU on its reportable segment disclosures.</w:t>
      </w:r>
    </w:p>
    <w:p>
      <w:pPr>
        <w:spacing w:after="0" w:line="20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income tax disclosures related to the tax rate reconciliation and income taxes paid. This guidance will be effective for the annual periods beginning the year ended December 31, 2025. Early adoption is permitted. Upon adoption, the guidance can be applied prospectively or retrospectively. The requirements of this ASU are disclosure related and will not have an impact on the Company’s financial condition, results of operations, or cash flows. The Company is currently evaluating the impact of adopting this ASU on its income tax disclosures.</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SEC adopted the final rule under SEC Release No. 33-11275, </w:t>
      </w:r>
      <w:r>
        <w:rPr>
          <w:rFonts w:ascii="Times New Roman" w:cs="Times New Roman" w:eastAsia="Times New Roman" w:hAnsi="Times New Roman"/>
          <w:sz w:val="18"/>
          <w:szCs w:val="18"/>
          <w:i w:val="1"/>
          <w:iCs w:val="1"/>
          <w:color w:val="auto"/>
        </w:rPr>
        <w:t>The Enhancement and Standardization of Climate-Related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for Investors</w:t>
      </w:r>
      <w:r>
        <w:rPr>
          <w:rFonts w:ascii="Times New Roman" w:cs="Times New Roman" w:eastAsia="Times New Roman" w:hAnsi="Times New Roman"/>
          <w:sz w:val="18"/>
          <w:szCs w:val="18"/>
          <w:color w:val="auto"/>
        </w:rPr>
        <w:t>. The rules require disclosure of, among other things: material climate-related risks; activities to mitigate or adapt to such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and management of such risks; and material Scope 1 and Scope 2 greenhouse gas emissions. Additionally, the rules require disclosure in the notes to the financial statements of the effects of severe weather events and other natural conditions, subject to certain materiality thresholds. The rules will become effective on a phased-in timeline beginning with the year ended December 31, 2025. On April 4, 2024, the SEC voluntarily stayed implementation of the final rule to facilitate the orderly judicial resolution of pending legal challenges to the rule. The Company is currently monitoring the legal challenges and evaluating the final rule to determine its potential impact on the Company’s consolidated financial statements and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generates revenues through the following operating segments: Environmental Services and Safety-Kleen Sustainability Solutions (“SKSS”). The Company’s Environmental Services operating segment generally has four sources of revenue and the SKSS operating segment has two sources of revenue. The Company disaggregates third-party revenues by geographic location and source of revenue as management believes these categories depict how revenue and cash flows are affected by economic factors. The Company’s significant sources of revenue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fees charged for waste material management and disposal services including onsite environmental management services, collection and transportation, packaging, recycling, treatment and disposal of waste and remediation projects. These services handle hazardous and/or non-hazardous waste, including per- and polyfluoroalkyl substances (“PFAS”).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incinerator,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Industrial Services</w:t>
      </w:r>
      <w:r>
        <w:rPr>
          <w:rFonts w:ascii="Times New Roman" w:cs="Times New Roman" w:eastAsia="Times New Roman" w:hAnsi="Times New Roman"/>
          <w:sz w:val="18"/>
          <w:szCs w:val="18"/>
          <w:color w:val="auto"/>
        </w:rPr>
        <w:t>—Industrial Services contribute to the revenues of the Environmental Services operating segment. These revenues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industrial and specialty services provided to refineries, 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0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contribute to the revenues of the Environmental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environmental remediation, railcar cleaning, manhole/vault clean outs, product recovery and transfer and vacuum services. Additional services include filtration, water treatment services and wetland restoration. Response services for environmental emergencies of any scale range from man-made disasters such as oil spills to natural disasters like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2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SKSS operating segment depending upon the nature of such revenues and operating responsibilities relative to executing the revenue contracts.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SKSS operating segment.</w:t>
      </w:r>
    </w:p>
    <w:p>
      <w:pPr>
        <w:spacing w:after="0" w:line="11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11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SKSS segment. These revenues are generated from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 disaggregated by source of revenue and geography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3"/>
                <w:szCs w:val="13"/>
                <w:color w:val="auto"/>
              </w:rPr>
            </w:pPr>
          </w:p>
        </w:tc>
        <w:tc>
          <w:tcPr>
            <w:tcW w:w="15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1,166,660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218,963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1,385,719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1,287,650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241,676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1,529,422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1,287,650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241,676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3"/>
                <w:szCs w:val="13"/>
                <w:color w:val="auto"/>
              </w:rPr>
            </w:pPr>
          </w:p>
        </w:tc>
        <w:tc>
          <w:tcPr>
            <w:tcW w:w="15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1,017,224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206,860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1,224,196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1,135,279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230,305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1,365,696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1,135,279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230,305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3,395,446</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645,664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4,041,407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350,781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3,746,227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712,312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4,458,836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1,288,339</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1,064,738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171,117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541,195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3,746,227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712,312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Safety-Kleen</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3,017,547</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641,625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3,659,507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71,280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3,357,743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712,905</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4,070,983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1,160,306</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171,469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541,436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3,357,743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712,905</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4,070,983</w:t>
            </w: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5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45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1,100,660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204,308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which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are generally fully recognized in the subsequent three-month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4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March 22, 2024, the Company completed its acquisition of Hepaco Blocker, Inc. and its subsidiaries (collectively, “HEPACO”) for an all-cash purchase price of $392.2 million, net of cash acquired. The Company settled working capital balances for this acquisition in the third quarter of 2024 and adjusted the purchase price accordingly. The operations of HEPACO expand the Environmental Services segment’s field services business.</w:t>
      </w:r>
    </w:p>
    <w:p>
      <w:pPr>
        <w:spacing w:after="0" w:line="10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the fair value of assets acquired and liabilities assumed as of March 22, 2024.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 Acquisition Date As</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At Acquisition Date</w:t>
            </w:r>
          </w:p>
        </w:tc>
      </w:tr>
      <w:tr>
        <w:trPr>
          <w:trHeight w:val="189"/>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Reported March 31,</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40" w:type="dxa"/>
            <w:vAlign w:val="bottom"/>
          </w:tcPr>
          <w:p>
            <w:pPr>
              <w:spacing w:after="0"/>
              <w:rPr>
                <w:sz w:val="16"/>
                <w:szCs w:val="16"/>
                <w:color w:val="auto"/>
              </w:rPr>
            </w:pPr>
          </w:p>
        </w:tc>
        <w:tc>
          <w:tcPr>
            <w:tcW w:w="156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As Reported</w:t>
            </w:r>
          </w:p>
        </w:tc>
      </w:tr>
      <w:tr>
        <w:trPr>
          <w:trHeight w:val="212"/>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56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33"/>
        </w:trPr>
        <w:tc>
          <w:tcPr>
            <w:tcW w:w="5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70,273</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46,270</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130,500</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(46,978)</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40" w:type="dxa"/>
            <w:vAlign w:val="bottom"/>
          </w:tcPr>
          <w:p>
            <w:pPr>
              <w:spacing w:after="0"/>
              <w:rPr>
                <w:sz w:val="22"/>
                <w:szCs w:val="22"/>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200,148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197,334</w:t>
            </w:r>
          </w:p>
        </w:tc>
      </w:tr>
      <w:tr>
        <w:trPr>
          <w:trHeight w:val="22"/>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195,265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194,845</w:t>
            </w:r>
          </w:p>
        </w:tc>
      </w:tr>
      <w:tr>
        <w:trPr>
          <w:trHeight w:val="25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395,413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392,179</w:t>
            </w:r>
          </w:p>
        </w:tc>
      </w:tr>
      <w:tr>
        <w:trPr>
          <w:trHeight w:val="20"/>
        </w:trPr>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acquired include customer relationships and trademarks/tradenames and are anticipated to have estimated useful lives of between seven and 20 years with a weighted average useful life of approximately 19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assembled workforce and growth potential that the Company expects to realize from the acquisition. Goodwill generated from the acquisition is not deductible for tax purposes.</w:t>
      </w:r>
    </w:p>
    <w:p>
      <w:pPr>
        <w:spacing w:after="0" w:line="11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period ended September 30, 2024, and pro forma revenue and earnings amounts on a combined basis as if this acquisition had been completed on January 1, 2023 are immaterial to the unaudited consolidated financial statements of the Company.</w:t>
      </w:r>
    </w:p>
    <w:p>
      <w:pPr>
        <w:spacing w:after="0" w:line="95"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On March 1, 2024, the Company acquired Noble Oil Services, Inc and its subsidiaries (collectively, “Noble Oil”) for an all-cash purchase price of $68.7 million, net of cash acquired. The Company settled working capital for this acquisition in the second quarter of 2024 and adjusted the purchase price accordingly. The acquisition of Noble Oil expands the SKSS segment’s oil collection operations in the southeastern region of the United States while also adding incremental production from the re-refinery owned and operated by the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the fair value of assets acquired and liabilities assumed as of March 1, 2024.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 Acquisition Date As</w:t>
            </w:r>
          </w:p>
        </w:tc>
        <w:tc>
          <w:tcPr>
            <w:tcW w:w="120" w:type="dxa"/>
            <w:vAlign w:val="bottom"/>
          </w:tcPr>
          <w:p>
            <w:pPr>
              <w:spacing w:after="0"/>
              <w:rPr>
                <w:sz w:val="17"/>
                <w:szCs w:val="17"/>
                <w:color w:val="auto"/>
              </w:rPr>
            </w:pPr>
          </w:p>
        </w:tc>
        <w:tc>
          <w:tcPr>
            <w:tcW w:w="1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40" w:type="dxa"/>
            <w:vAlign w:val="bottom"/>
          </w:tcPr>
          <w:p>
            <w:pPr>
              <w:spacing w:after="0"/>
              <w:rPr>
                <w:sz w:val="17"/>
                <w:szCs w:val="17"/>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At Acquisition Date</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Reported March 31,</w:t>
            </w:r>
          </w:p>
        </w:tc>
        <w:tc>
          <w:tcPr>
            <w:tcW w:w="1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0" w:type="dxa"/>
            <w:vAlign w:val="bottom"/>
          </w:tcPr>
          <w:p>
            <w:pPr>
              <w:spacing w:after="0"/>
              <w:rPr>
                <w:sz w:val="1"/>
                <w:szCs w:val="1"/>
                <w:color w:val="auto"/>
              </w:rPr>
            </w:pPr>
          </w:p>
        </w:tc>
      </w:tr>
      <w:tr>
        <w:trPr>
          <w:trHeight w:val="225"/>
        </w:trPr>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9"/>
                <w:szCs w:val="19"/>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22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47,696</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4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65,431</w:t>
            </w:r>
          </w:p>
        </w:tc>
        <w:tc>
          <w:tcPr>
            <w:tcW w:w="0" w:type="dxa"/>
            <w:vAlign w:val="bottom"/>
          </w:tcPr>
          <w:p>
            <w:pPr>
              <w:spacing w:after="0"/>
              <w:rPr>
                <w:sz w:val="1"/>
                <w:szCs w:val="1"/>
                <w:color w:val="auto"/>
              </w:rPr>
            </w:pPr>
          </w:p>
        </w:tc>
      </w:tr>
      <w:tr>
        <w:trPr>
          <w:trHeight w:val="22"/>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5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acquired include customer relationships and trademarks/tradenames and are anticipated to have estimated useful lives of between seven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and assembled workforce that the Company expects to realize from the acquisition. Goodwill generated from the acquisition is deductible for tax purposes.</w:t>
      </w:r>
    </w:p>
    <w:p>
      <w:pPr>
        <w:spacing w:after="0" w:line="10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period ended September 30, 2024, and pro forma revenue and earnings amounts on a combined basis as if this acquisition had been completed on January 1, 2023 are immaterial to the unaudited consolidated financial statements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March 31, 2023, the Company acquired Thompson Industrial Services, LLC (“Thompson Industrial”) for an all-cash purchase price of $110.9 million, net of cash acquired. The operations of Thompson Industrial expand the Environmental Services segment’s industrial service operations in the southeastern region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the purchase accounting for this acquisition in the first quarter of 2024. The allocation of the purchase price was based on estimates of the fair value and assets acquired and liabilities assumed as of March 31, 2023. The following table summarizes the final determination and recognition of assets acquired and liabilities assumed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At Acquisition Date As</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Final Allocation</w:t>
            </w:r>
          </w:p>
        </w:tc>
      </w:tr>
      <w:tr>
        <w:trPr>
          <w:trHeight w:val="189"/>
        </w:trPr>
        <w:tc>
          <w:tcPr>
            <w:tcW w:w="5920" w:type="dxa"/>
            <w:vAlign w:val="bottom"/>
          </w:tcPr>
          <w:p>
            <w:pPr>
              <w:spacing w:after="0"/>
              <w:rPr>
                <w:sz w:val="16"/>
                <w:szCs w:val="16"/>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Reported December 31,</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40" w:type="dxa"/>
            <w:vAlign w:val="bottom"/>
          </w:tcPr>
          <w:p>
            <w:pPr>
              <w:spacing w:after="0"/>
              <w:rPr>
                <w:sz w:val="16"/>
                <w:szCs w:val="16"/>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As Reported</w:t>
            </w:r>
          </w:p>
        </w:tc>
      </w:tr>
      <w:tr>
        <w:trPr>
          <w:trHeight w:val="212"/>
        </w:trPr>
        <w:tc>
          <w:tcPr>
            <w:tcW w:w="5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33"/>
        </w:trPr>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25,160</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71,291</w:t>
            </w:r>
          </w:p>
        </w:tc>
      </w:tr>
      <w:tr>
        <w:trPr>
          <w:trHeight w:val="22"/>
        </w:trPr>
        <w:tc>
          <w:tcPr>
            <w:tcW w:w="5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39,564</w:t>
            </w:r>
          </w:p>
        </w:tc>
      </w:tr>
      <w:tr>
        <w:trPr>
          <w:trHeight w:val="25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110,855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110,855</w:t>
            </w:r>
          </w:p>
        </w:tc>
      </w:tr>
      <w:tr>
        <w:trPr>
          <w:trHeight w:val="21"/>
        </w:trPr>
        <w:tc>
          <w:tcPr>
            <w:tcW w:w="5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Permits and other intangible assets acquired include customer relationships, trademarks/tradenames and non-compete agreements and are anticipated to have estimated useful lives of between five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assembled workforce and growth potential that the Company expects to realize from the acquisition. Goodwill generated from the acquisition is deductible for tax purposes.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AND SUPPLIES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177,217</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19,899</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Supplies inventories consist primarily of critical spare parts to support the Company’s incinerator and re-refinery operations and other general supplies used in our normal day-to-day operations. Other inventories consist primarily of parts washer components, cleaning fluids, absorbents and automotive fluids, such as windshield washer fluid and antifreeze.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174,891</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27,167</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253,180</w:t>
            </w: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630,525</w:t>
            </w:r>
          </w:p>
        </w:tc>
      </w:tr>
      <w:tr>
        <w:trPr>
          <w:trHeight w:val="229"/>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1,276,567</w:t>
            </w:r>
          </w:p>
        </w:tc>
      </w:tr>
      <w:tr>
        <w:trPr>
          <w:trHeight w:val="229"/>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2,453,616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2,388,370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316,666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213,601</w:t>
            </w:r>
          </w:p>
        </w:tc>
      </w:tr>
      <w:tr>
        <w:trPr>
          <w:trHeight w:val="223"/>
        </w:trPr>
        <w:tc>
          <w:tcPr>
            <w:tcW w:w="7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5,325,160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4,964,301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2,770,983</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2,452,312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2,193,318</w:t>
            </w:r>
          </w:p>
        </w:tc>
      </w:tr>
      <w:tr>
        <w:trPr>
          <w:trHeight w:val="21"/>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58"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right-of-use (“ROU”) assets classified as finance leases of $8.0 million in both periods.</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$208.7 million and $151.7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$9.3 million and $9.2 million, respectively.</w:t>
      </w:r>
    </w:p>
    <w:p>
      <w:pPr>
        <w:spacing w:after="0" w:line="12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$86.2 million and $254.9 million for the three and nine months ended September 30, 2024, respectively. Depreciation expense, inclusive of landfill and finance lease amortization, was $80.4 million and $229.7 million for the three and nine months ended September 30, 2023, respectively. The Company recorded $3.3 million and $8.6 million of capitalized interest during the three and nine months ended September 30, 2024, respectively. The Company recorded $1.7 million and $4.4 million of capitalized interest during the three and nine months ended September 30, 2023, respectively. Capitalized interest in the periods presented is primarily attributable to the construction of a new incinerator in Kimball, Nebraska.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by segment for the nine months ended September 30, 2024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98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1,287,736</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198,156</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1,485,065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on an annual basis as of December 31 or at an interim date when events or changes in the business environment (“triggering events”) would more likely than not reduce the fair value of a reporting unit below its carrying value. During the period ended September 30, 2024, no such triggering events were identified.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Company’s intangible assets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220" w:type="dxa"/>
            <w:vAlign w:val="bottom"/>
          </w:tcPr>
          <w:p>
            <w:pPr>
              <w:spacing w:after="0"/>
              <w:rPr>
                <w:sz w:val="13"/>
                <w:szCs w:val="13"/>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3"/>
                <w:szCs w:val="13"/>
                <w:color w:val="auto"/>
              </w:rPr>
            </w:pPr>
          </w:p>
        </w:tc>
        <w:tc>
          <w:tcPr>
            <w:tcW w:w="8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193,201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346,115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62,206</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1,004,608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482,512</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1,124,695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415,760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708,935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1,017,094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414,297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602,797</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was $13.9 million and $40.7 million in the three and nine months ended September 30, 2024, respectively. Amortization expense of permits, customer and supplier relationships and other intangible assets was $12.5 million and $37.8 million in the three and nine months ended September 30, 2023, respectively.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September 30, 2024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Amortization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(three months)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57,103</w:t>
            </w: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50,813</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48,308</w:t>
            </w: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372,180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588,848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20"/>
                <w:szCs w:val="20"/>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398,236</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CLOSURE AND POST-CLOSURE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2024 through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Landfill</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Non-Landfill</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340" w:type="dxa"/>
            <w:vAlign w:val="bottom"/>
          </w:tcPr>
          <w:p>
            <w:pPr>
              <w:spacing w:after="0"/>
              <w:rPr>
                <w:sz w:val="14"/>
                <w:szCs w:val="14"/>
                <w:color w:val="auto"/>
              </w:rPr>
            </w:pPr>
          </w:p>
        </w:tc>
        <w:tc>
          <w:tcPr>
            <w:tcW w:w="114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2024, there were no significant benefits or charges resulting from changes in estimates for closure and post-closure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REMEDIAL LIABILITIES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2024 through September 30, 2024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Superfund) for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Non-Landfill</w:t>
            </w:r>
          </w:p>
        </w:tc>
        <w:tc>
          <w:tcPr>
            <w:tcW w:w="24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Landfill Sites</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Inactive Sites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110,658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2024, changes in estimates for remedial liabilities included a $2.9 million reserve increase related to new information on the ultimate remediation of an existing Superfund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260" w:firstLine="8"/>
        <w:spacing w:after="0" w:line="417" w:lineRule="auto"/>
        <w:tabs>
          <w:tab w:leader="none" w:pos="3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 Long-Term Debt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Company’s long-term debt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14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7"/>
                <w:szCs w:val="17"/>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Long-Term Debt:</w:t>
            </w:r>
          </w:p>
        </w:tc>
        <w:tc>
          <w:tcPr>
            <w:tcW w:w="64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Secured senior term loans due October 8, 2028</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1,453,571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970,000</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29"/>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6.375%, due February 1, 2031 (“2031 Notes”)</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3"/>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2,315,000</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(23,283)</w:t>
            </w:r>
          </w:p>
        </w:tc>
      </w:tr>
      <w:tr>
        <w:trPr>
          <w:trHeight w:val="223"/>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2,773,659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2,291,717</w:t>
            </w: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6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financing arrangements are described in Note 12, “Financing Arrangements,” in the Company’s Annual Report on Form 10-K for the year ended December 31, 2023 and, other than as noted below, there have been no material changes to the arrangements described therein.</w:t>
      </w:r>
    </w:p>
    <w:p>
      <w:pPr>
        <w:spacing w:after="0" w:line="9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June 28, 2024, the Company and one of the Company’s Canadian subsidiaries (the “Canadian Borrower”) entered into a seventh amended and restated credit agreement (the “Amended Credit Agreement”) with Bank of America, N.A., as administrative agent, and the lenders party to the Amended Credit Agreement. The Amended Credit Agreement amended and restated the sixth amended and restated credit agreement dated October 28, 2020 (the “Prior Credit Agreement”).</w:t>
      </w:r>
    </w:p>
    <w:p>
      <w:pPr>
        <w:spacing w:after="0" w:line="11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Amended Credit Agreement, the Company has the right to obtain revolving loans and letters of credit for a combined maximum of up to $550.0 million (with a sub-limit of $250.0 million for letters of credit) and the Canadian Borrower has the right to obtain revolving loans and letters of credit for a combined maximum of up to $50.0 million. The maximum borrowing amount of $600.0 million under the Amended Credit Agreement is increased from $400.0 million under the Prior Credit Agreement.</w:t>
      </w:r>
    </w:p>
    <w:p>
      <w:pPr>
        <w:spacing w:after="0" w:line="11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Borrowings by the Company under the Amended Credit Agreement will bear interest at the Company’s option, at either (i) the sum of Term SOFR plus a SOFR Adjustment of 0.1% plus 1.5% per annum, or (ii) the U.S. Base Rate, plus 0.5% per annum, and borrowings by the Canadian Borrower will bear interest, at the Company’s option, at either (i) the sum of Term CORRA plus a Term CORRA adjustment of either 0.29547% or 0.32138% for the one or three month interest period respectively, plus 1.5% per annum, (ii) the Canadian Prime Rate, plus 0.5% per annum, or (iii) the Canadian Base Rate, plus 0.5% per annum, as those terms are defined in the Amended Credit Agreement. Other terms under the Amended Credit Agreement are substantially the same as under the Prior Credit Agreement. Subject to certain customary conditions, the facility will expire on June 28, 2029.</w:t>
      </w:r>
    </w:p>
    <w:p>
      <w:pPr>
        <w:spacing w:after="0" w:line="10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had no outstanding loan balance under the Amended Credit Agreement as of the date of the amendment discussed above, September 30, 2024 or December 31, 2023. As of September 30, 2024, the Company had $469.8 million available to borrow under the revolving credit facility and outstanding letters of credit were $130.2 million.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22, 2024, the Company and substantially all of the Company’s domestic subsidiaries entered into Incremental Facility Amendment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to the Company’s existing Credit Agreement, dated as of June 30, 2017 (“Term Loan Agreement”). Incremental Facility Amendment No. 5 provided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incurrence of additional term loans (the “2024 Incremental Term Loans”) under the Term Loan Agreement in the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Proceeds from the issuance of the 2024 Incremental Term Loans were $491.1 million after debt discount and debt issuance costs, and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to fund the acquisition of HEPACO, with the excess increasing the Company’s cash balances. The 2024 Incremental Term Loans are in addition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 $980.0 million of term loans (the “Existing Term Loans”) which were outstanding prior to the issuance of the 2024 Incremental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the 2024 Incremental Term Loans and the Existing Term Loans (collectively referred to as the “2028 Term Loans”) will mature on October 8, 2028,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may be prepaid at any time without premium or penalty other than customary breakage costs. The Company’s obligations under the 2028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guaranteed by substantially all of the Company’s domestic restricted subsidiaries and secured by liens on substantially all of the assets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guarantors.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2028 Term Loans bear interest, at the Company’s election, at either of the following rates: (a) the sum of the Term SOFR Rate (as defined in the Term Loan Agreement) plus 0.11448% (the one-month Term SOFR adjustment) plus a 1.75% margin per annum, or (b) the sum of the Base Rate (as defined in the Term Loan Agreement) plus 0.75% margin per annum. The Term SOFR rate is subject to a floor of 0.00% and the Base Rate is subject to a floor of 1.00%. The Company has elected one-month Term SOFR for interest payments on that debt; however, the Term Loan Agreement provides for Term SOFR adjustments for other interest periods. Interest on the 2028 Term Loans is paid monthly with interest payments on the 2024 Incremental Term Loan portion having commenced in April 2024.</w:t>
      </w:r>
    </w:p>
    <w:p>
      <w:pPr>
        <w:spacing w:after="0" w:line="1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the estimated fair value of the Company’s outstanding long-term debt, including the current portion, was $2.8 billion and $2.3 billion, respectively.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102" w:lineRule="exact"/>
        <w:rPr>
          <w:sz w:val="20"/>
          <w:szCs w:val="20"/>
          <w:color w:val="auto"/>
        </w:rPr>
      </w:pPr>
    </w:p>
    <w:p>
      <w:pPr>
        <w:ind w:right="7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after taking into account the interest rate swaps discussed under the “Cash Flow Hedges” heading below, the Company’s variable rate debt consisted of $868.7 million of the 2028 Term Loans. The Company’s interest rate on this variable rate debt as of September 30, 2024 was 7.06%.</w:t>
      </w:r>
    </w:p>
    <w:p>
      <w:pPr>
        <w:spacing w:after="0" w:line="108" w:lineRule="exact"/>
        <w:rPr>
          <w:sz w:val="20"/>
          <w:szCs w:val="20"/>
          <w:color w:val="auto"/>
        </w:rPr>
      </w:pPr>
    </w:p>
    <w:p>
      <w:pPr>
        <w:ind w:right="120" w:firstLine="648"/>
        <w:spacing w:after="0" w:line="276" w:lineRule="auto"/>
        <w:rPr>
          <w:sz w:val="20"/>
          <w:szCs w:val="20"/>
          <w:color w:val="auto"/>
        </w:rPr>
      </w:pPr>
      <w:r>
        <w:rPr>
          <w:rFonts w:ascii="Times New Roman" w:cs="Times New Roman" w:eastAsia="Times New Roman" w:hAnsi="Times New Roman"/>
          <w:sz w:val="17"/>
          <w:szCs w:val="17"/>
          <w:color w:val="auto"/>
        </w:rPr>
        <w:t>On October 8, 2024, the Company and substantially all of the Company’s domestic subsidiaries entered into Amendment No. 6 (the “Sixth Amendment”) to the Term Loan Agreement. The Sixth Amendment (i) eliminated the Term SOFR Adjustment (noted above as 0.11448% per annum) and</w:t>
      </w:r>
    </w:p>
    <w:p>
      <w:pPr>
        <w:spacing w:after="0" w:line="1" w:lineRule="exact"/>
        <w:rPr>
          <w:sz w:val="20"/>
          <w:szCs w:val="20"/>
          <w:color w:val="auto"/>
        </w:rPr>
      </w:pPr>
    </w:p>
    <w:p>
      <w:pPr>
        <w:jc w:val="both"/>
        <w:ind w:right="80" w:firstLine="8"/>
        <w:spacing w:after="0" w:line="253"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resets the six month soft call period for a repricing of the 2028 Term Loans. After giving effect to the repricing, the applicable interest rate margins for the 2028 Term Loans are 1.75% for Term SOFR borrowings and 0.75% for base rate borrowings. Under the Sixth Amendment the 2028 Term Loans may be prepaid at any time without premium or penalty other than customary breakage costs or if the Company engages in certain repricing transactions before April 8, 2025, in which event a 1% prepayment premium would be due.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w:t>
      </w:r>
    </w:p>
    <w:p>
      <w:pPr>
        <w:spacing w:after="0" w:line="15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with a notional amount of $600.0 million (“2022 Swaps”) to effectively fix the interest rate on $600.0 million principal of the outstanding existing Term Loans. The fixed rate on these instruments is 1.9645% and the variable rate is linked to the Term SOFR to mirror the variable interest payments for the Term Loans. For the nine months ended September 30, 2024, including the 1.75% interest rate margin and the 0.11448% SOFR adjustment for the Term Loans, the effective annual interest rate of this $600.0 million of principal debt was approximately 3.83%. Following the Sixth Amendment, which eliminated the 0.11448% SOFR adjustment, the effective annual rate on the $600.0 million of principal is approximately 3.71%.</w:t>
      </w:r>
    </w:p>
    <w:p>
      <w:pPr>
        <w:spacing w:after="0" w:line="12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Prior to the phase-out of LIBOR as a referenced rate on June 30, 2023, the fixed rate on the 2022 Swaps was 0.931% and the variable rate was linked to LIBOR, to mirror the LIBOR linked variable interest payments for the existing Term Loans. With the then 2.00% interest rate margin for the existing Term Loans, the effective annual interest rate of the $600.0 million of principal debt was 2.931% through June 30, 2023. The 2022 Swaps will expire on September 30, 2027.</w:t>
      </w:r>
    </w:p>
    <w:p>
      <w:pPr>
        <w:spacing w:after="0" w:line="9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At the inception of these instruments, the Company designated the 2022 Swaps as cash flow hedges. As of September 30, 2024, the Company recorded a derivative asset with a fair value of $23.3 million related to the 2022 Swaps. The balance of the derivative asset as of December 31, 2023 was $35.5 million. These assets are included in Other long-term assets on the consolidated balance sheets.</w:t>
      </w:r>
    </w:p>
    <w:p>
      <w:pPr>
        <w:spacing w:after="0" w:line="10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No ineffectiveness has been identified on the 2022 Swaps and, therefore the change in fair value is recorded in stockholders’ equity as a component of accumulated other comprehensive loss. Amounts are reclassified from accumulated other comprehensive loss into interest expense on the unaudited consolidated statement of operations in the same period or periods during which the hedged transactions affect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per share (EPS) is based on the weighted-average number of common shares outstanding. The computation of diluted EPS is based on the weighted-average number of common shares outstanding and potential dilutive common shares during the period as determined by using the treasury stock method.</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per share amounts):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0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11"/>
        </w:trPr>
        <w:tc>
          <w:tcPr>
            <w:tcW w:w="50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50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115,213</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91,340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318,325</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279,507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54,097</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impact of equity awards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3"/>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54,229</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54,411</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3"/>
        </w:trPr>
        <w:tc>
          <w:tcPr>
            <w:tcW w:w="50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5.17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Potentially dilutive shares outstanding include the dilutive effect of unvested restricted stock awards and employee stock purchase plan (“ESPP”) rights (collectively referred to as “equity awards”). Potentially dilutive shares whose effect would have been antidilutive are excluded from the computation of diluted earnings per share. The Company included all outstanding performance awards, restricted stock awards and ESPP rights in the calculation of diluted earnings per share except as shown in the table below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6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960" w:type="dxa"/>
            <w:vAlign w:val="bottom"/>
            <w:gridSpan w:val="2"/>
          </w:tcPr>
          <w:p>
            <w:pPr>
              <w:spacing w:after="0"/>
              <w:rPr>
                <w:sz w:val="2"/>
                <w:szCs w:val="2"/>
                <w:color w:val="auto"/>
              </w:rPr>
            </w:pPr>
          </w:p>
        </w:tc>
        <w:tc>
          <w:tcPr>
            <w:tcW w:w="16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10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6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restricted stock awards</w:t>
            </w:r>
          </w:p>
        </w:tc>
        <w:tc>
          <w:tcPr>
            <w:tcW w:w="10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75"/>
        </w:trPr>
        <w:tc>
          <w:tcPr>
            <w:tcW w:w="5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stock awards for which performance criteria was not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43"/>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attained at reporting date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48" w:lineRule="exact"/>
        <w:rPr>
          <w:sz w:val="20"/>
          <w:szCs w:val="20"/>
          <w:color w:val="auto"/>
        </w:rPr>
      </w:pPr>
    </w:p>
    <w:p>
      <w:pPr>
        <w:jc w:val="both"/>
        <w:ind w:right="80" w:firstLine="648"/>
        <w:spacing w:after="0" w:line="275"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nine months ended September 30, 2024 were as follows (in thousands):</w:t>
      </w: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3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 Gain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w:t>
            </w:r>
          </w:p>
        </w:tc>
        <w:tc>
          <w:tcPr>
            <w:tcW w:w="13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on Fair Value of</w:t>
            </w:r>
          </w:p>
        </w:tc>
        <w:tc>
          <w:tcPr>
            <w:tcW w:w="13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Sale Securities</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on Pension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(208,370)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(192,036)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amount realized in the unaudited consolidated statement of operations during the three and nine months ended September 30, 2024 which was reclassified out of accumulated other comprehensive loss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Component of Accumulated Other Comprehensive</w:t>
            </w:r>
          </w:p>
        </w:tc>
        <w:tc>
          <w:tcPr>
            <w:tcW w:w="140" w:type="dxa"/>
            <w:vAlign w:val="bottom"/>
          </w:tcPr>
          <w:p>
            <w:pPr>
              <w:spacing w:after="0"/>
              <w:rPr>
                <w:sz w:val="16"/>
                <w:szCs w:val="16"/>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420" w:type="dxa"/>
            <w:vAlign w:val="bottom"/>
            <w:vMerge w:val="restart"/>
          </w:tcPr>
          <w:p>
            <w:pPr>
              <w:ind w:left="14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0" w:type="dxa"/>
            <w:vAlign w:val="bottom"/>
          </w:tcPr>
          <w:p>
            <w:pPr>
              <w:spacing w:after="0"/>
              <w:rPr>
                <w:sz w:val="1"/>
                <w:szCs w:val="1"/>
                <w:color w:val="auto"/>
              </w:rPr>
            </w:pPr>
          </w:p>
        </w:tc>
      </w:tr>
      <w:tr>
        <w:trPr>
          <w:trHeight w:val="214"/>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82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Unrealized Gain on Fair Value of Interest Rate</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15,424  Interest expense, net of interest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Total stock-based compensation cost recognized for the three and nine months ended September 30, 2024 was $5.8 million and $20.7 million, respectively. Total stock-based compensation cost recognized for the three and nine months ended September 30, 2023 was $4.3 million and $14.8 million, respectively. The total income tax benefit recognized in the unaudited consolidated statements of operations from stock-based compensation expense for the three and nine months ended September 30, 2024 was $1.0 million and $3.7 million, respectively. The total income tax benefit recognized in the unaudited consolidated statements of operations from stock-based compensation expense for the three and nine months ended September 30, 2023 was $0.7 million and $2.4 million,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nine months ended September 30,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406,891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there was $43.8 million of total unrecognized compensation cost arising from restricted stock awards. This cost is expected to be recognized over a weighted average period of 2.9 years. The total fair value of restricted stock vested during the three and nine months ended September 30, 2024 was $16.3 million and $27.2 million, respectively. The total fair value of restricted stock vested during the three and nine months ended September 30, 2023 was $16.6 million and $24.6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Performance stock awards are subject to performance criteria established by the Compensation and Human Capital Committee of the Company’s Board of Directors prior to or at the date of grant. The performance stock awards are earned based on achieving certain revenue, Adjusted EBITDA Margin, Return on Invested Capital and Total Recordable Incident Rate targets set forth in the applicable award agreements. Performance stock awards include continued service conditions through vesting.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nine months ended September 30,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there was $6.8 million of total unrecognized compensation cost arising from performance stock awards achieved or deemed probable of vesting. The total fair value of performance awards vested during the three and nine months ended September 30, 2024 was $2.6 million and $6.3 million. The total fair value of performance awards vested during the three and nine months ended September 30, 2023 was $1.7 million and $9.6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May 22, 2024, the Company’s shareholders approved the Clean Harbors Employee Stock Purchase Plan (the “ESPP”). The ESPP provides a means for eligible employees of the Company to authorize after-tax payroll deductions on a voluntary basis to be used for the periodic purchase of the Company's common stock at a 10% discount to its fair market value. The purchase price paid by the employees will be 90% of the lower of the closing price of the Company's common stock on (i) the first trading day of the offering period or (ii) the last trading day of the offering period. A total of 500,000 shares of common stock are reserved for issuance under the ESPP. As of September 30, 2024, no shares have been issued under the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48"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At September 30, 2024 and December 31, 2023, the Company had recorded reserves of $32.7 million and $32.4 million, respectively, for actual or probable liabilities related to the legal and administrative proceedings in which the Company was then involved, the principal of which are described below. As of September 30, 2024 and December 31, 2023, the $32.7 million and $32.4 million, respectively, of reserves consisted of (i) $26.1 million and $25.0 million, respectively, related to pending legal or administrative proceedings, including Superfund liabilities, which were included in remedial liabilities on the consolidated balance sheets, and (ii) $6.6 million and $7.4 million, respectively, primarily related to federal, state and provincial enforcement actions, which were included in accrued expenses on the consolidated balance sheets.</w:t>
      </w:r>
    </w:p>
    <w:p>
      <w:pPr>
        <w:spacing w:after="0" w:line="1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or Administrative Proceedings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 principal legal and administrative proceedings in which the Company was involved, or which had been terminated during 2024, relate to Safety-Kleen product liability cases and Superfund proceedings.</w:t>
      </w:r>
    </w:p>
    <w:p>
      <w:pPr>
        <w:spacing w:after="0" w:line="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Safety-Kleen Product Liability Cases: </w:t>
      </w:r>
      <w:r>
        <w:rPr>
          <w:rFonts w:ascii="Times New Roman" w:cs="Times New Roman" w:eastAsia="Times New Roman" w:hAnsi="Times New Roman"/>
          <w:sz w:val="18"/>
          <w:szCs w:val="18"/>
          <w:color w:val="auto"/>
        </w:rPr>
        <w:t>Safety-Kleen, Inc. (“Safety-Kleen”), which is a legal entity acquired by the Company in 2012,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as a defendant in certain product liability cases that are currently pending in various courts and jurisdictions throughout the United States. As of September 30, 2024, there were approximately 71 proceedings (excluding cases which have been settled but not 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September 30, 2024. From January 1, 2024 to September 30, 2024, 14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12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Superfund Proceedings: </w:t>
      </w:r>
      <w:r>
        <w:rPr>
          <w:rFonts w:ascii="Times New Roman" w:cs="Times New Roman" w:eastAsia="Times New Roman" w:hAnsi="Times New Roman"/>
          <w:sz w:val="18"/>
          <w:szCs w:val="18"/>
          <w:color w:val="auto"/>
        </w:rPr>
        <w:t>The Company has been notified that either the Company or the prior owners of certain facilities the Company has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have been identified as potentially responsible parties (“PRPs”) or potential PRPs of indemnification obligations in connection with 131 sites which are subject to or are proposed to become subject to proceedings under federal or state Superfund laws. Of the 131 Superfund related sites, six involve facilities that are now owned or leased by the Company and 125 involve third-party sites which received waste potentially shipped by the Company or the prior owners of certain facilities the Company has since acquired. Of the 125 third-party sites, 30 are now settled, 13 are currently requiring expenditures on remediation and 82 are not currently requiring expenditures on remediation.</w:t>
      </w:r>
    </w:p>
    <w:p>
      <w:pPr>
        <w:spacing w:after="0" w:line="1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131 Superfund related sites.</w:t>
      </w:r>
    </w:p>
    <w:p>
      <w:pPr>
        <w:spacing w:after="0" w:line="12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Of the 125 third-party sites at which the Company has been notified it is a PRP or potential PRP or may have indemnification obligations, the Company has indemnification agreements at a total of 17 sites. These agreements indemnify the Company with respect to any liability at the 17 sites for waste disposed prior to the Company’s acquisition of the former subsidiaries of Waste Management, Inc. and McKesson Corporation which had shipped waste to those sites.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125 third-party sites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As of September 30, 2024, there was one proceeding for which the Company believed it was possible that the sanctions could equal or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As of December 31, 2023, there were no proceedings for which the Company believed it was possible that the sanctions could equal or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As of the date of these financial statements, the Company believes that the fines or other penalties in this or any of the other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will, individually or in the aggregate, not have a material effect on its financial condition, results of operations or cash flows.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operating decision maker (“CODM”), which is a committee comprised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third-party revenues to direct revenues for the three and nine months ended September 30, 2024 and 2023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26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Third-Party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11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Third-Party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Pr>
          <w:p>
            <w:pPr>
              <w:spacing w:after="0"/>
              <w:rPr>
                <w:sz w:val="14"/>
                <w:szCs w:val="14"/>
                <w:color w:val="auto"/>
              </w:rPr>
            </w:pP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225"/>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1,297,187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1,146,363</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219,221</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1,529,422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1,529,422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1,365,696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1,365,696</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5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28" w:lineRule="exact"/>
        <w:rPr>
          <w:sz w:val="20"/>
          <w:szCs w:val="20"/>
          <w:color w:val="auto"/>
        </w:rPr>
      </w:pPr>
    </w:p>
    <w:p>
      <w:pPr>
        <w:sectPr>
          <w:pgSz w:w="11900" w:h="16838" w:orient="portrait"/>
          <w:cols w:equalWidth="0" w:num="2">
            <w:col w:w="7860" w:space="720"/>
            <w:col w:w="26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3260" w:type="dxa"/>
            <w:vAlign w:val="bottom"/>
          </w:tcPr>
          <w:p>
            <w:pPr>
              <w:spacing w:after="0"/>
              <w:rPr>
                <w:sz w:val="15"/>
                <w:szCs w:val="15"/>
                <w:color w:val="auto"/>
              </w:rPr>
            </w:pPr>
          </w:p>
        </w:tc>
        <w:tc>
          <w:tcPr>
            <w:tcW w:w="122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Third-Party</w:t>
            </w: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260"/>
              <w:spacing w:after="0" w:line="175"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120" w:type="dxa"/>
            <w:vAlign w:val="bottom"/>
            <w:vMerge w:val="restart"/>
          </w:tcPr>
          <w:p>
            <w:pPr>
              <w:spacing w:after="0"/>
              <w:rPr>
                <w:sz w:val="15"/>
                <w:szCs w:val="15"/>
                <w:color w:val="auto"/>
              </w:rPr>
            </w:pPr>
          </w:p>
        </w:tc>
        <w:tc>
          <w:tcPr>
            <w:tcW w:w="124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Third-Party</w:t>
            </w: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220"/>
              <w:spacing w:after="0" w:line="175"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3,746,227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3,779,080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3,357,743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3,389,140</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681,508</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4,458,836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4,458,836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4,070,983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4,070,983</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gains, losses and non-cash charges not deemed representative of fundamental segment results and other expense (income), net. Transactions between the segments are accounted for at the Company’s best estimate based on similar transactions with outside customers.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information used by management by reported segment (in thousands):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2460" w:type="dxa"/>
            <w:vAlign w:val="bottom"/>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11"/>
        </w:trPr>
        <w:tc>
          <w:tcPr>
            <w:tcW w:w="5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332,502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956,892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822,949</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126,024</w:t>
            </w:r>
          </w:p>
        </w:tc>
      </w:tr>
      <w:tr>
        <w:trPr>
          <w:trHeight w:val="230"/>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(219,569)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(191,312)</w:t>
            </w:r>
          </w:p>
        </w:tc>
      </w:tr>
      <w:tr>
        <w:trPr>
          <w:trHeight w:val="223"/>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757,661</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r>
      <w:tr>
        <w:trPr>
          <w:trHeight w:val="229"/>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295,632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267,425</w:t>
            </w:r>
          </w:p>
        </w:tc>
      </w:tr>
      <w:tr>
        <w:trPr>
          <w:trHeight w:val="223"/>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465,146</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80,400</w:t>
            </w:r>
          </w:p>
        </w:tc>
      </w:tr>
      <w:tr>
        <w:trPr>
          <w:trHeight w:val="223"/>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155,394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430,066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381,551</w:t>
            </w:r>
          </w:p>
        </w:tc>
      </w:tr>
      <w:tr>
        <w:trPr>
          <w:trHeight w:val="21"/>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8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forward-looking statements, which are generally identifiable by use of the words “believes,” “expects,” “intends,” “anticipates,” “plans to,” “seeks,” “should,” “estimates,” “projects,” “may,” “likely,” “potential” or similar expressions. Such statements may include, but are not limited to, statements about the Company’s future financial and operating results, plans, strategy, objectives and goals, cost management initiatives, contingent liabilities, liquidity, business and market conditions, customer demand, acquisitions, growth opportunities, expectations and other statements that are not historical facts. Such statements are based upon the beliefs and expectations of Clean Harbors’ management as of the date of this report only and are subject to certain risks and uncertainties that could cause actual results to differ materially, including, without limitation, risks and uncertainties and those items identified as “Risk Factors” in our Annual Report on Form 10-K filed with the Securities and Exchange Commission (“SEC”) on February 21, 2024, and in other documents we file from time to time with the SEC. Forward-</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looking statements are neither historical facts nor assurances of future performance. Therefore,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over 300,000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the largest re-refiner and recycler of used oil in North America, offering a unique closed-loop re-refining process that helps customers achieve their sustainability goals.</w:t>
      </w:r>
    </w:p>
    <w:p>
      <w:pPr>
        <w:spacing w:after="0" w:line="1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which is reconciled to our net income and described more fully below. The following is a discussion of how management evaluates its segments using other factors, including key performance indicators that management uses to assess the segments’ results, as well as certain macroeconomic trends and influences that impact each reportable segment:</w:t>
      </w:r>
    </w:p>
    <w:p>
      <w:pPr>
        <w:spacing w:after="0" w:line="108" w:lineRule="exact"/>
        <w:rPr>
          <w:sz w:val="20"/>
          <w:szCs w:val="20"/>
          <w:color w:val="auto"/>
        </w:rPr>
      </w:pPr>
    </w:p>
    <w:p>
      <w:pPr>
        <w:ind w:left="980" w:right="20" w:hanging="324"/>
        <w:spacing w:after="0" w:line="25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Environmental Services segment results are predicated upon the demand by our customers for our wide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waste volumes managed by delivering such services and project work for which responsible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The results and integration of the acquired operations of HEPACO Blocker, Inc. and its subsidiaries (collectively “HEPACO”) also impact the overall segment results.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North American GDP, U.S. industrial production, economic conditions in the general manufacturing, chemical and automotive markets, including efforts and economic incentives to increase domestic operations, available capacity at waste disposal outlets, weather conditions, efficiency of our operations, technology, changing regulations, competition, market pricing of our services, costs incurred to deliver our services and the management of our related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80" w:hanging="324"/>
        <w:spacing w:after="0" w:line="252" w:lineRule="auto"/>
        <w:tabs>
          <w:tab w:leader="none" w:pos="97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Safety-Kleen Sustainability Solutions (“SKSS”) offers high quality, environmentally responsible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recycled base and blended oil products and other automotive and industrial lubricants to fleet customers, distributors, manufacturers of oil products and industrial plants. Segment results are impacted by market pricing, overall market demand and mix of our oil products sales, with management’s objective being to limit exposure to commodity market pricing risk through increased production of value added blended lubricants and contracted rate supply agreements with customers. Segment results are also predicated on the demand for other SKSS product and service offerings including collection services for used oil, used oil filters and other automotive fluids. The used oil collected is used as feedstock in our oil re-refining to produce our base and blended oil products and other hydraulic oils, lubricants and recycled fuel oil or are integrated into our recycling and disposal network. The results and integration of the acquired operations of Noble Oil Services, Inc. and its subsidiaries (collectively “Noble”) also impact the overall segment results. In operating the business and evaluating performance, management tracks the volumes and relative percentages of base and blended oil sales along with various pricing metrics associated with the commodity driven margin between product pricing and the overall costs to collect used oil. Levels of activity and ultimate performance associated with this segment can be impacted by economic conditions and product demand in the manufacturing and automotive services markets, product pricing, efficiency of our operations, partnerships, technology, weather conditions, changing regulations, competition and the management of our related operating costs.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direct revenues for the three and nine months ended September 30, 2024 were $1,529.4 million and $4,458.8 million, compared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$1,365.7 million and $4,071.0 million for the three and nine months ended September 30, 2023. Our Environmental Services segment direct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$150.8 million and $389.9 million or 13.2% and 11.5% for the three and nine months ended September 30, 2024, respectively,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periods in 2023 driven by growth in Field and Emergency Response Services, including the contributions from the acquisition of HEPACO,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Technical Services and Safety-Kleen core service offerings. For the three months ended September 30, 2024, our SKSS segment direct revenues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 million or 5.9%, from the comparable period in 2023, driven by contributions from our acquisition of Noble.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SKSS segment direct revenues decreased $2.0 million or 0.3% from the comparable period in 2023, due to lower base and blended oil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revenues resulting from market-driven pricing and lower volumes of base oil sold partially offset by contributions from Noble Oil.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translation of our Canadian operations negatively impacted our consolidated direct revenues by $2.8 million and $5.3 million in the three and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2024, respectively, compared to the same periods in 2023.</w:t>
      </w:r>
    </w:p>
    <w:p>
      <w:pPr>
        <w:spacing w:after="0" w:line="13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Income from operations for the three and nine months ended September 30, 2024 was $192.3 million and $533.3 million, compared with $154.4 million and $465.1 million in the three and nine months ended September 30, 2023, representing an increase of 24.6% and 14.6%, respectively. Net income for the three and nine months ended September 30, 2024 was $115.2 million and $318.3 million, compared with net income of $91.3 million and $279.5 million in the three and nine months ended September 30, 2023, representing an increase of 26.1% and 13.9%, respectively.</w:t>
      </w:r>
    </w:p>
    <w:p>
      <w:pPr>
        <w:spacing w:after="0" w:line="112"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Adjusted EBITDA, which is the primary financial measure by which we evaluate our segments, increased $46.8 million or 18.4% from $255.0 million in the three months ended September 30, 2023 to $301.8 million in the three months ended September 30, 2024. Adjusted EBITDA increased $102.1 million or 13.5% from $757.7 million in the nine months ended September 30, 2023 to $859.7 million in the nine months ended September 30, 2024. This Adjusted EBITDA growth is primarily driven by contributions from the Environmental Services Segment. Additional information regarding Adjusted EBITDA, which is a non-GAAP measure, including a reconciliation of net income to Adjusted EBITDA, appears below under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w:t>
      </w:r>
    </w:p>
    <w:p>
      <w:pPr>
        <w:spacing w:after="0" w:line="10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Net cash from operating activities for the nine months ended September 30, 2024 increased $18.1 million from $455.7 million in 2023 to $473.8 million in 2024. Adjusted free cash flow, which management uses to measure our financial strength and ability to generate cash, decreased $38.6 million in the nine months ended September 30, 2024 as compared to 2023. The decrease in adjusted free cash flow was driven by higher planned spend on property, plant and equipment including incremental investments in vehicles, machinery and equipment and notable project spend at our Baltimore, Maryland facility and Kimball, Nebraska incinerator and increased working capital balances, partially offset by higher cash flow from operations. Additional information regarding adjusted free cash flow, which is a non-GAAP measure, including a reconciliation of net cash from operating activities to adjusted free cash flow, appears below under </w:t>
      </w:r>
      <w:r>
        <w:rPr>
          <w:rFonts w:ascii="Times New Roman" w:cs="Times New Roman" w:eastAsia="Times New Roman" w:hAnsi="Times New Roman"/>
          <w:sz w:val="18"/>
          <w:szCs w:val="18"/>
          <w:i w:val="1"/>
          <w:iCs w:val="1"/>
          <w:color w:val="auto"/>
        </w:rPr>
        <w:t>“Adjusted Free Cash Flow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primary financial measure by which we evaluate the performance of our segments is Adjusted EBITDA. The following table sets forth certain financial information associated with our results of operations for the three and nine months ended September 30, 2024 and September 30, 2023 (in thousands, except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gridSpan w:val="2"/>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6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b w:val="1"/>
                <w:bCs w:val="1"/>
                <w:color w:val="auto"/>
              </w:rPr>
              <w:t xml:space="preserve">Direct Revenues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1,297,187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1,146,363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150,824</w:t>
            </w:r>
          </w:p>
        </w:tc>
        <w:tc>
          <w:tcPr>
            <w:tcW w:w="8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6"/>
              </w:rPr>
              <w:t>13.2%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3,779,080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3,389,140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389,940</w:t>
            </w:r>
          </w:p>
        </w:tc>
        <w:tc>
          <w:tcPr>
            <w:tcW w:w="8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65"/>
        </w:trPr>
        <w:tc>
          <w:tcPr>
            <w:tcW w:w="25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232,139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219,221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12,918</w:t>
            </w:r>
          </w:p>
        </w:tc>
        <w:tc>
          <w:tcPr>
            <w:tcW w:w="82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679,459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681,508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(2,049)</w:t>
            </w:r>
          </w:p>
        </w:tc>
        <w:tc>
          <w:tcPr>
            <w:tcW w:w="86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7"/>
              </w:rPr>
              <w:t>(0.3)</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1,529,422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1,365,696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163,726</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12.0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4,458,836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4,070,983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387,853</w:t>
            </w:r>
          </w:p>
        </w:tc>
        <w:tc>
          <w:tcPr>
            <w:tcW w:w="8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9.5</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Cost of Revenues </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874,414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766,242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108,172</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2,541,017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2,300,853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240,164</w:t>
            </w:r>
          </w:p>
        </w:tc>
        <w:tc>
          <w:tcPr>
            <w:tcW w:w="8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62"/>
        </w:trPr>
        <w:tc>
          <w:tcPr>
            <w:tcW w:w="25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tcPr>
          <w:p>
            <w:pPr>
              <w:spacing w:after="0"/>
              <w:rPr>
                <w:sz w:val="14"/>
                <w:szCs w:val="14"/>
                <w:color w:val="auto"/>
              </w:rPr>
            </w:pPr>
          </w:p>
        </w:tc>
        <w:tc>
          <w:tcPr>
            <w:tcW w:w="8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171,120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169,207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1,913</w:t>
            </w:r>
          </w:p>
        </w:tc>
        <w:tc>
          <w:tcPr>
            <w:tcW w:w="8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496,441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498,965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(2,524)</w:t>
            </w:r>
          </w:p>
        </w:tc>
        <w:tc>
          <w:tcPr>
            <w:tcW w:w="86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7"/>
              </w:rPr>
              <w:t>(0.5)</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10,065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8,502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24,753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23,159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208"/>
        </w:trPr>
        <w:tc>
          <w:tcPr>
            <w:tcW w:w="2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1,055,599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943,951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111,648</w:t>
            </w:r>
          </w:p>
        </w:tc>
        <w:tc>
          <w:tcPr>
            <w:tcW w:w="8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11.8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3,062,211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2,822,977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239,234</w:t>
            </w:r>
          </w:p>
        </w:tc>
        <w:tc>
          <w:tcPr>
            <w:tcW w:w="86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8.5</w:t>
            </w:r>
          </w:p>
        </w:tc>
        <w:tc>
          <w:tcPr>
            <w:tcW w:w="0" w:type="dxa"/>
            <w:vAlign w:val="bottom"/>
          </w:tcPr>
          <w:p>
            <w:pPr>
              <w:spacing w:after="0"/>
              <w:rPr>
                <w:sz w:val="1"/>
                <w:szCs w:val="1"/>
                <w:color w:val="auto"/>
              </w:rPr>
            </w:pPr>
          </w:p>
        </w:tc>
      </w:tr>
      <w:tr>
        <w:trPr>
          <w:trHeight w:val="144"/>
        </w:trPr>
        <w:tc>
          <w:tcPr>
            <w:tcW w:w="25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Selling, General &amp; Administrative</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90,271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91,139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(868)</w:t>
            </w:r>
          </w:p>
        </w:tc>
        <w:tc>
          <w:tcPr>
            <w:tcW w:w="8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281,171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265,338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15,833</w:t>
            </w:r>
          </w:p>
        </w:tc>
        <w:tc>
          <w:tcPr>
            <w:tcW w:w="8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65"/>
        </w:trPr>
        <w:tc>
          <w:tcPr>
            <w:tcW w:w="25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19,793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18,868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925</w:t>
            </w:r>
          </w:p>
        </w:tc>
        <w:tc>
          <w:tcPr>
            <w:tcW w:w="82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60,616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56,519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4,097</w:t>
            </w:r>
          </w:p>
        </w:tc>
        <w:tc>
          <w:tcPr>
            <w:tcW w:w="86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67,782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61,012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6,770</w:t>
            </w:r>
          </w:p>
        </w:tc>
        <w:tc>
          <w:tcPr>
            <w:tcW w:w="8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11.1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215,803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183,297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32,506</w:t>
            </w:r>
          </w:p>
        </w:tc>
        <w:tc>
          <w:tcPr>
            <w:tcW w:w="86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177,846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171,019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6,827</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557,590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505,154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52,436</w:t>
            </w:r>
          </w:p>
        </w:tc>
        <w:tc>
          <w:tcPr>
            <w:tcW w:w="8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10.4</w:t>
            </w:r>
          </w:p>
        </w:tc>
        <w:tc>
          <w:tcPr>
            <w:tcW w:w="0" w:type="dxa"/>
            <w:vAlign w:val="bottom"/>
          </w:tcPr>
          <w:p>
            <w:pPr>
              <w:spacing w:after="0"/>
              <w:rPr>
                <w:sz w:val="1"/>
                <w:szCs w:val="1"/>
                <w:color w:val="auto"/>
              </w:rPr>
            </w:pPr>
          </w:p>
        </w:tc>
      </w:tr>
      <w:tr>
        <w:trPr>
          <w:trHeight w:val="206"/>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332,502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288,982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43,520</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956,892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822,949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133,943</w:t>
            </w:r>
          </w:p>
        </w:tc>
        <w:tc>
          <w:tcPr>
            <w:tcW w:w="8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62"/>
        </w:trPr>
        <w:tc>
          <w:tcPr>
            <w:tcW w:w="25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tcPr>
          <w:p>
            <w:pPr>
              <w:spacing w:after="0"/>
              <w:rPr>
                <w:sz w:val="14"/>
                <w:szCs w:val="14"/>
                <w:color w:val="auto"/>
              </w:rPr>
            </w:pPr>
          </w:p>
        </w:tc>
        <w:tc>
          <w:tcPr>
            <w:tcW w:w="8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41,226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31,146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10,080</w:t>
            </w:r>
          </w:p>
        </w:tc>
        <w:tc>
          <w:tcPr>
            <w:tcW w:w="8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32.4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122,402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126,024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(3,622)</w:t>
            </w:r>
          </w:p>
        </w:tc>
        <w:tc>
          <w:tcPr>
            <w:tcW w:w="86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7"/>
              </w:rPr>
              <w:t>(2.9)</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(71,914)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(65,111)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(6,803)</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(219,569)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(191,312)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(28,257)</w:t>
            </w:r>
          </w:p>
        </w:tc>
        <w:tc>
          <w:tcPr>
            <w:tcW w:w="8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8"/>
              </w:rPr>
              <w:t>(14.8)</w:t>
            </w:r>
          </w:p>
        </w:tc>
        <w:tc>
          <w:tcPr>
            <w:tcW w:w="0" w:type="dxa"/>
            <w:vAlign w:val="bottom"/>
          </w:tcPr>
          <w:p>
            <w:pPr>
              <w:spacing w:after="0"/>
              <w:rPr>
                <w:sz w:val="1"/>
                <w:szCs w:val="1"/>
                <w:color w:val="auto"/>
              </w:rPr>
            </w:pPr>
          </w:p>
        </w:tc>
      </w:tr>
      <w:tr>
        <w:trPr>
          <w:trHeight w:val="208"/>
        </w:trPr>
        <w:tc>
          <w:tcPr>
            <w:tcW w:w="2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301,814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255,017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46,797</w:t>
            </w:r>
          </w:p>
        </w:tc>
        <w:tc>
          <w:tcPr>
            <w:tcW w:w="8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18.4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859,725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757,661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102,064</w:t>
            </w:r>
          </w:p>
        </w:tc>
        <w:tc>
          <w:tcPr>
            <w:tcW w:w="86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13.5%</w:t>
            </w:r>
          </w:p>
        </w:tc>
        <w:tc>
          <w:tcPr>
            <w:tcW w:w="0" w:type="dxa"/>
            <w:vAlign w:val="bottom"/>
          </w:tcPr>
          <w:p>
            <w:pPr>
              <w:spacing w:after="0"/>
              <w:rPr>
                <w:sz w:val="1"/>
                <w:szCs w:val="1"/>
                <w:color w:val="auto"/>
              </w:rPr>
            </w:pPr>
          </w:p>
        </w:tc>
      </w:tr>
      <w:tr>
        <w:trPr>
          <w:trHeight w:val="144"/>
        </w:trPr>
        <w:tc>
          <w:tcPr>
            <w:tcW w:w="25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Adjusted EBITDA as a % of Direct</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Environmental Services </w:t>
            </w:r>
            <w:r>
              <w:rPr>
                <w:rFonts w:ascii="Times New Roman" w:cs="Times New Roman" w:eastAsia="Times New Roman" w:hAnsi="Times New Roman"/>
                <w:sz w:val="21"/>
                <w:szCs w:val="21"/>
                <w:color w:val="auto"/>
                <w:vertAlign w:val="superscript"/>
              </w:rPr>
              <w:t>(3)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Solutions</w:t>
            </w:r>
            <w:r>
              <w:rPr>
                <w:rFonts w:ascii="Times New Roman" w:cs="Times New Roman" w:eastAsia="Times New Roman" w:hAnsi="Times New Roman"/>
                <w:sz w:val="21"/>
                <w:szCs w:val="21"/>
                <w:color w:val="auto"/>
                <w:vertAlign w:val="superscript"/>
              </w:rPr>
              <w:t>(3)</w:t>
            </w: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Corporate Items </w:t>
            </w:r>
            <w:r>
              <w:rPr>
                <w:rFonts w:ascii="Times New Roman" w:cs="Times New Roman" w:eastAsia="Times New Roman" w:hAnsi="Times New Roman"/>
                <w:sz w:val="21"/>
                <w:szCs w:val="21"/>
                <w:color w:val="auto"/>
                <w:vertAlign w:val="superscript"/>
              </w:rPr>
              <w:t>(4)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w:t>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7"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revenues are revenues allocated to the segment performing the provided service.</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are shown exclusive of items presented separately on the consolidated statements of operations which consist of (i) accretion of environmental liabilities and (ii) depreciation and amortization.</w:t>
      </w: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individual segment direct revenue.</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total Company direct revenue.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4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There are many factors which can impact our revenues including, but not limited to: overall levels of industrial activity and economic growth in North America, competitive industry pricing, overall market incineration capacity including captive incineration closures, changes in the regulatory environment including those related to per- and polyfluoroalkyl substances (“PFAS”), impacts of acquisitions and divestitures, the level of emergency response services, government infrastructure investment, reshoring of domestic manufacturing, existence or non-existence of large scale environmental waste and remediation projects, weather related events, the number of parts washers placed at customer sites, miles driven and related lubricant demand, base and blended oil pricing, market supply for base oil products, market changes relative to the collection of used oil and foreign currency translation. In addition, customer efforts to minimize hazardous waste and changes in regulation can impact our revenues.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2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26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900" w:type="dxa"/>
            <w:vAlign w:val="bottom"/>
            <w:gridSpan w:val="3"/>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9"/>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2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ind w:left="34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02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74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1,297,187</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1,146,363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150,824</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13.2 %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3,779,080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3,389,140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389,940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three months ended September 30, 2024 increased $150.8 million from the comparable period in 2023 due to growth across most of our service lines driven by acquisitive growth and incremental revenues from legacy operations. Field and emergency response service revenues increased $105.2 million from the comparable period in 2023 driven by incremental revenue of approximately $75 million from the acquisition of HEPACO as well as contributions from our legacy field services operations. Technical services revenue increased $33.3 million largely due to contributions across our portfolio of waste disposal facilities, including higher incineration pricing and volumes. For the three months ended September 30, 2024, utilization at our incinerators increased from 86% to 89%. Revenues for Safety-Kleen core service offerings grew by $18.6 million from the comparable period in 2023 driven by improved pricing and greater demand for our containerized waste, vacuum and parts washer services. These increases were partially offset by decreased revenues from our industrial services operations for the three months ended September 30, 2024, which declined $4.7 million due to lower turnaround activity late in the quarter, as compared to the same period in 2023. Direct revenues for Canadian operations of the Environmental Services segment decreased by $2.2 million due to foreign currency translation.</w:t>
      </w:r>
    </w:p>
    <w:p>
      <w:pPr>
        <w:spacing w:after="0" w:line="1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nine months ended September 30, 2024 increased $389.9 million from the comparable period in 2023 due to growth across most of our service lines driven by incremental revenues from legacy operations and acquisitive growth. Field and emergency response service revenues for the nine months ended September 30, 2024 increased $219.1 million from the comparable period in 2023 driven by incremental revenue of approximately $160 million from the acquisition of HEPACO as well as overall growth in core field and emergency response service offerings. Technical services revenue increased $128.0 million largely due to higher incineration pricing and volume coupled with improved pricing at our landfill facilities. Utilization at our incinerators increased from 83% to 85% for the nine months ended September 30, 2024 as compared to the same period in 2023. Revenues for Safety-Kleen core service offerings for the nine months ended September 30, 2024 grew by $63.1 million from the comparable period in 2023 due to improved pricing and greater demand for our containerized waste, vacuum and parts washer services. Revenue from our industrial services operations declined $21.7 million due to lower turnaround activity and related high-value services for the nine months ended September 30, 2024 compared to the same period in 2023, partially offset by incremental revenue from the acquisition of Thompson Industrial Services which occurred in March 2023. Direct revenues for Canadian operations of the Environmental Services segment decreased by $4.3 million due to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40" w:type="dxa"/>
            <w:vAlign w:val="bottom"/>
            <w:gridSpan w:val="5"/>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0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9"/>
                <w:szCs w:val="19"/>
                <w:color w:val="auto"/>
              </w:rPr>
            </w:pPr>
          </w:p>
        </w:tc>
        <w:tc>
          <w:tcPr>
            <w:tcW w:w="1760" w:type="dxa"/>
            <w:vAlign w:val="bottom"/>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0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10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jc w:val="right"/>
              <w:ind w:right="2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82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20" w:type="dxa"/>
            <w:vAlign w:val="bottom"/>
            <w:gridSpan w:val="3"/>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232,139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219,221</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12,918</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679,459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681,508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the three months ended September 30, 2024, SKSS direct revenues increased $12.9 million from the comparable period in 2023 due to a $16.8 million increase in revenues from the sale of vacuum gas oil and specialty refinery products largely resulting from the acquisition of Noble which took place on March 1, 2024. This increase was partially offset by a $1.8 million decrease in revenues from the collection of used oil despite an increase in the volume collected in the three months ended September 30, 2024 when compared to the used oil collections in the same period of 2023. Revenues from the sale of base and blended oil products were relatively flat due to unfavorable market conditions.</w:t>
      </w:r>
    </w:p>
    <w:p>
      <w:pPr>
        <w:spacing w:after="0" w:line="11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the nine months ended September 30, 2024, SKSS direct revenues decreased $2.0 million from the comparable period in 2023 largely due to a $12.8 million reduction in revenues from base oil sales driven primarily by lower pricing and, to a lesser extent, lower volumes sold. Revenue from contract packaging decreased $8.9 million and revenues generated from the sales of other products decreased $5.2 million for the nine months ended September 30, 2024 as compared to the same period in 2023. Revenue from the sales of blended oil products decreased by $2.3 million in the nine months ended September 30, 2024 when compared with the same period in the prior year, primarily due to lower pricing despite increased volume sold. These decreases were partially offset by a $27.2 million increase in revenues from the sale of vacuum gas oil and specialty refinery products primarily driven by the acquisition of Noble as well as a $2.3 million increase in revenues from the collection of used oil driven by higher volume collected in the nine months ended September 30, 2024 when compared to the used oil collections in the same period of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that management of operating costs is vital to our ability to remain price competitive. We continue to experience inflationary pressures across several cost categories, but most notably related to internal and external labor, transportation, maintenance costs, and energy related costs. We aim to manage these increases through constant cost monitoring and a focus on cost saving areas, including lowering employee turnover, as well as our overall customer pricing strategies designed to offset the inflationary impacts on our margins.</w:t>
      </w:r>
    </w:p>
    <w:p>
      <w:pPr>
        <w:spacing w:after="0" w:line="11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continue to upgrade the quality and efficiency of our services through the development of new technology and continued modifications and expansion at our facilities while also leveraging certain fixed costs of our operating infrastructure. We invest in new business opportunities and aggressively implement strategic sourcing and logistics solutions, while also continuing to optimize our management and operating structure in an effort to manage our operating margins.</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320" w:type="dxa"/>
            <w:vAlign w:val="bottom"/>
            <w:gridSpan w:val="5"/>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34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61"/>
        </w:trPr>
        <w:tc>
          <w:tcPr>
            <w:tcW w:w="21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116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top w:val="single" w:sz="8" w:color="auto"/>
            </w:tcBorders>
          </w:tcPr>
          <w:p>
            <w:pPr>
              <w:ind w:left="3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116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874,414</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766,242</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108,172</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14.1 %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2,541,017</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2,300,853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240,164</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4"/>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cost of revenues for the three months ended September 30, 2024 increased $108.2 million from the comparable period in 2023 while remaining relatively consistent as a percentage of revenues. Commensurate with the revenue growth in the business and recent acquisition of HEPACO, labor and benefit related costs increased $54.3 million, equipment and supply costs increased $41.6 million and external transportation, vehicle and fuel related costs increased $13.3 million for the three months ended September 30, 2024 when compared to the three months ended September 30, 2023.</w:t>
      </w:r>
    </w:p>
    <w:p>
      <w:pPr>
        <w:spacing w:after="0" w:line="10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cost of revenues for the nine months ended September 30, 2024 increased $240.2 million from the comparable period in 2023, however as a percentage of revenues decreased 0.7%. Commensurate with the revenue growth in the business and recent acquisitions, labor and benefit related costs increased $130.3 million, equipment and supply costs increased $77.2 million and external transportation, vehicle and fuel related costs increased $24.6 million for the nine months ended September 30, 2024 when compared to the nine months ended September 30, 2023. Overall, the growth of revenue outpaced cost increases resulting in the improved margin of the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2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61"/>
        </w:trPr>
        <w:tc>
          <w:tcPr>
            <w:tcW w:w="22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top w:val="single" w:sz="8" w:color="auto"/>
            </w:tcBorders>
          </w:tcPr>
          <w:p>
            <w:pPr>
              <w:jc w:val="right"/>
              <w:ind w:right="25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0" w:type="dxa"/>
            <w:vAlign w:val="bottom"/>
            <w:gridSpan w:val="3"/>
          </w:tcPr>
          <w:p>
            <w:pPr>
              <w:jc w:val="center"/>
              <w:ind w:right="29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171,120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169,207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496,441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498,965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SKSS cost of revenues for the three months ended September 30, 2024 increased $1.9 million from the comparable period in 2023, driven by the revenue increase discussed above. As a percentage of revenues these costs decreased by 3.5% due to lower re-refinery operating costs incurred during the period.</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SKSS cost of revenues for the nine months ended September 30, 2024 decreased $2.5 million from the comparable period in 2023 and remained relatively consistent as a percentage of revenues driven by market related pricing decreases discussed in the revenue section above, partially offset by lower re-refinery operating costs incurred specifically in the three months ended September 30, 2024 as compared to the same period in the prior year.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strive to manage our selling, general and administrative (“SG&amp;A”) expenses commensurate with the overall performance of our segments and corresponding revenue levels. We believe our ability to properly align these costs with business performance is reflective of our strong management of the businesses and further promotes our ability to remain competitive in the marketplace.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24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61"/>
        </w:trPr>
        <w:tc>
          <w:tcPr>
            <w:tcW w:w="23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tcPr>
          <w:p>
            <w:pPr>
              <w:ind w:left="32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90,271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91,139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281,171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265,338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15,833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40" w:type="dxa"/>
            <w:vAlign w:val="bottom"/>
          </w:tcPr>
          <w:p>
            <w:pPr>
              <w:spacing w:after="0"/>
              <w:rPr>
                <w:sz w:val="20"/>
                <w:szCs w:val="20"/>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7.0 %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7.4 %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Environmental Services SG&amp;A expenses for the three months ended September 30, 2024 remained relatively consistent with the comparable periods in 2023, and decreased 1.0% as a percentage of segment revenues, primarily driven by lower labor and benefit related costs, continuing our trend of leveraging our SG&amp;A base in the midst of the revenue growth discussed above.</w:t>
      </w:r>
    </w:p>
    <w:p>
      <w:pPr>
        <w:spacing w:after="0" w:line="9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SG&amp;A expenses for the nine months ended September 30, 2024 increased $15.8 million, from the comparable periods in 2023, however, remained relatively consistent as a percentage of segment revenues, continuing our trend of leveraging our SG&amp;A base in the midst of revenue growth discussed above. SG&amp;A expenses for the nine months ended September 30, 2024 increased approximately $10 million due to additional costs from the HEPACO operations. The remaining increases were spread across various cost categories and were driven by overall growth in the segment results.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9"/>
                <w:szCs w:val="19"/>
                <w:color w:val="auto"/>
              </w:rPr>
            </w:pPr>
          </w:p>
        </w:tc>
        <w:tc>
          <w:tcPr>
            <w:tcW w:w="21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1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9"/>
                <w:szCs w:val="19"/>
                <w:color w:val="auto"/>
              </w:rPr>
            </w:pPr>
          </w:p>
        </w:tc>
        <w:tc>
          <w:tcPr>
            <w:tcW w:w="180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9"/>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tcPr>
          <w:p>
            <w:pPr>
              <w:jc w:val="right"/>
              <w:ind w:right="27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20" w:type="dxa"/>
            <w:vAlign w:val="bottom"/>
            <w:gridSpan w:val="3"/>
          </w:tcPr>
          <w:p>
            <w:pPr>
              <w:jc w:val="center"/>
              <w:ind w:right="27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19,793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18,868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60,616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56,519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8.9 %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SKSS SG&amp;A expenses for the three months ended September 30, 2024 increased $0.9 million and remained relatively consistent, as a percentage of revenues, when compared to the same period in 2023. Overall, labor and benefit related costs increased $1.4 million, mainly driven by increased costs from Noble operations. This increase was partially offset by a $1.1 million increase to a remedial liability reserve in 2023 which did not recur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SKSS SG&amp;A expenses increased $4.1 million, and as a percentage of revenues, remained relatively consistent with the prior year. Overall, labor and benefit related costs increased $5.0 million in the nine months ended September 30, 2024 when compared to the same period in 2023, mainly driven by increased costs from Noble operations. This cost increase was partially offset by a $1.1 million increase to remedial liability reserves in 2023 which did not recur in 2024.</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21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24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62"/>
        </w:trPr>
        <w:tc>
          <w:tcPr>
            <w:tcW w:w="23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tcPr>
          <w:p>
            <w:pPr>
              <w:ind w:left="32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67,782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61,012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6,770</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11.1 %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215,803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183,297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32,506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184"/>
        </w:trPr>
        <w:tc>
          <w:tcPr>
            <w:tcW w:w="23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As a % of Total Company</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40" w:type="dxa"/>
            <w:vAlign w:val="bottom"/>
          </w:tcPr>
          <w:p>
            <w:pPr>
              <w:spacing w:after="0"/>
              <w:rPr>
                <w:sz w:val="20"/>
                <w:szCs w:val="20"/>
                <w:color w:val="auto"/>
              </w:rPr>
            </w:pPr>
          </w:p>
        </w:tc>
        <w:tc>
          <w:tcPr>
            <w:tcW w:w="8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4.4 %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4.8 %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Corporate SG&amp;A expenses for the three months ended September 30, 2024 increased $6.8 million from the same period in the prior year yet remained relatively consistent as a percentage of our total direct revenues. The increase in Corporate SG&amp;A expenses for the three months ended September 30, 2024 was driven by a $5.3 million increase in labor and benefits related costs, including stock-based compensation, primarily resulting from incremental headcount from the acquired operations and a $1.2 million increase in information technology related costs.</w:t>
      </w:r>
    </w:p>
    <w:p>
      <w:pPr>
        <w:spacing w:after="0" w:line="9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Corporate SG&amp;A expenses for the nine months ended September 30, 2024 increased $32.5 million yet remained relatively consistent as a percentage of our total direct revenues when compared to the same period in the prior year. The increase in Corporate SG&amp;A expenses for the nine months ended September 30, 2024 was driven by a $21.7 million increase in labor and benefits related costs, including stock-based compensation, a $3.6 million change in legal reserve costs and a $2.4 million increase in information technology related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We define Adjusted EBITDA as net income plus accretion of environmental liabilities, stock-based compensation, depreciation and amortization, net interest expense, loss on early extinguishment of debt and provision for income taxes and excludes other gains, losses and non-cash charges not deemed representative of fundamental segment results and other expense (income), net. Adjusted EBITDA is not calculated identically by all companies and therefore our measurements of Adjusted EBITDA, while defined consistently with our existing credit agreement, may not be comparable to similarly titled measures reported by other companies.</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11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Adjusted EBITDA as well as Adjusted EBITDA as a percentage of Direct Revenues by segment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4"/>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9"/>
                <w:szCs w:val="19"/>
                <w:color w:val="auto"/>
              </w:rPr>
            </w:pPr>
          </w:p>
        </w:tc>
        <w:tc>
          <w:tcPr>
            <w:tcW w:w="184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60" w:type="dxa"/>
            <w:vAlign w:val="bottom"/>
          </w:tcPr>
          <w:p>
            <w:pPr>
              <w:spacing w:after="0"/>
              <w:rPr>
                <w:sz w:val="19"/>
                <w:szCs w:val="19"/>
                <w:color w:val="auto"/>
              </w:rPr>
            </w:pPr>
          </w:p>
        </w:tc>
        <w:tc>
          <w:tcPr>
            <w:tcW w:w="21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9"/>
                <w:szCs w:val="19"/>
                <w:color w:val="auto"/>
              </w:rPr>
            </w:pPr>
          </w:p>
        </w:tc>
        <w:tc>
          <w:tcPr>
            <w:tcW w:w="178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6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332,502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288,982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43,520</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956,892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822,949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133,943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Safety-Kleen Sustainability</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Solutions</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41,226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31,146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10,080</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122,402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126,024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(3,622)</w:t>
            </w:r>
          </w:p>
        </w:tc>
        <w:tc>
          <w:tcPr>
            <w:tcW w:w="9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(71,914)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(65,111)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(6,803)</w:t>
            </w:r>
          </w:p>
        </w:tc>
        <w:tc>
          <w:tcPr>
            <w:tcW w:w="90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(219,569)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(191,312)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(28,257)</w:t>
            </w:r>
          </w:p>
        </w:tc>
        <w:tc>
          <w:tcPr>
            <w:tcW w:w="90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301,814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255,017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46,797</w:t>
            </w:r>
          </w:p>
        </w:tc>
        <w:tc>
          <w:tcPr>
            <w:tcW w:w="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859,725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757,661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102,064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as a % of Direct</w:t>
            </w:r>
          </w:p>
        </w:tc>
        <w:tc>
          <w:tcPr>
            <w:tcW w:w="1040" w:type="dxa"/>
            <w:vAlign w:val="bottom"/>
            <w:tcBorders>
              <w:top w:val="single" w:sz="8" w:color="auto"/>
            </w:tcBorders>
          </w:tcPr>
          <w:p>
            <w:pPr>
              <w:jc w:val="right"/>
              <w:ind w:right="192"/>
              <w:spacing w:after="0" w:line="196" w:lineRule="exact"/>
              <w:rPr>
                <w:sz w:val="20"/>
                <w:szCs w:val="20"/>
                <w:color w:val="auto"/>
              </w:rPr>
            </w:pPr>
            <w:r>
              <w:rPr>
                <w:rFonts w:ascii="Times New Roman" w:cs="Times New Roman" w:eastAsia="Times New Roman" w:hAnsi="Times New Roman"/>
                <w:sz w:val="16"/>
                <w:szCs w:val="16"/>
                <w:b w:val="1"/>
                <w:bCs w:val="1"/>
                <w:color w:val="auto"/>
                <w:w w:val="81"/>
              </w:rPr>
              <w:t xml:space="preserve">Revenues </w:t>
            </w:r>
            <w:r>
              <w:rPr>
                <w:rFonts w:ascii="Times New Roman" w:cs="Times New Roman" w:eastAsia="Times New Roman" w:hAnsi="Times New Roman"/>
                <w:sz w:val="21"/>
                <w:szCs w:val="21"/>
                <w:b w:val="1"/>
                <w:bCs w:val="1"/>
                <w:color w:val="auto"/>
                <w:w w:val="81"/>
                <w:vertAlign w:val="superscript"/>
              </w:rPr>
              <w:t>(1)</w:t>
            </w:r>
            <w:r>
              <w:rPr>
                <w:rFonts w:ascii="Times New Roman" w:cs="Times New Roman" w:eastAsia="Times New Roman" w:hAnsi="Times New Roman"/>
                <w:sz w:val="16"/>
                <w:szCs w:val="16"/>
                <w:b w:val="1"/>
                <w:bCs w:val="1"/>
                <w:color w:val="auto"/>
                <w:w w:val="81"/>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900" w:type="dxa"/>
            <w:vAlign w:val="bottom"/>
            <w:shd w:val="clear" w:color="auto" w:fill="CCEEFF"/>
          </w:tcPr>
          <w:p>
            <w:pPr>
              <w:spacing w:after="0"/>
              <w:rPr>
                <w:sz w:val="19"/>
                <w:szCs w:val="19"/>
                <w:color w:val="auto"/>
              </w:rPr>
            </w:pPr>
          </w:p>
        </w:tc>
      </w:tr>
      <w:tr>
        <w:trPr>
          <w:trHeight w:val="176"/>
        </w:trPr>
        <w:tc>
          <w:tcPr>
            <w:tcW w:w="26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Safety-Kleen Sustainability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Solutions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tcPr>
          <w:p>
            <w:pPr>
              <w:spacing w:after="0"/>
              <w:rPr>
                <w:sz w:val="21"/>
                <w:szCs w:val="21"/>
                <w:color w:val="auto"/>
              </w:rPr>
            </w:pPr>
          </w:p>
        </w:tc>
      </w:tr>
      <w:tr>
        <w:trPr>
          <w:trHeight w:val="230"/>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shd w:val="clear" w:color="auto" w:fill="CCEEFF"/>
          </w:tcPr>
          <w:p>
            <w:pPr>
              <w:spacing w:after="0"/>
              <w:rPr>
                <w:sz w:val="19"/>
                <w:szCs w:val="19"/>
                <w:color w:val="auto"/>
              </w:rPr>
            </w:pPr>
          </w:p>
        </w:tc>
      </w:tr>
      <w:tr>
        <w:trPr>
          <w:trHeight w:val="234"/>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900" w:type="dxa"/>
            <w:vAlign w:val="bottom"/>
          </w:tcPr>
          <w:p>
            <w:pPr>
              <w:spacing w:after="0"/>
              <w:rPr>
                <w:sz w:val="20"/>
                <w:szCs w:val="20"/>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w:t>
      </w:r>
    </w:p>
    <w:p>
      <w:pPr>
        <w:spacing w:after="0" w:line="10" w:lineRule="exact"/>
        <w:rPr>
          <w:sz w:val="20"/>
          <w:szCs w:val="20"/>
          <w:color w:val="auto"/>
        </w:rPr>
      </w:pPr>
    </w:p>
    <w:p>
      <w:pPr>
        <w:ind w:left="580" w:right="60" w:hanging="329"/>
        <w:spacing w:after="0" w:line="258" w:lineRule="auto"/>
        <w:tabs>
          <w:tab w:leader="none" w:pos="6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Services and SKSS calculated as a percentage of individual segment direct revenues. Corporate Items calculated as a percentage of total Company direct revenues.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periods (in thousands, except percentages):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9"/>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7"/>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5"/>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2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115,213</w:t>
            </w:r>
          </w:p>
        </w:tc>
        <w:tc>
          <w:tcPr>
            <w:tcW w:w="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6"/>
              </w:rPr>
              <w:t>91,340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318,325</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279,507</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10,139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10,281</w:t>
            </w: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14,809</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92,970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295,632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267,425</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30"/>
        </w:trPr>
        <w:tc>
          <w:tcPr>
            <w:tcW w:w="3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35,779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6"/>
              </w:rPr>
              <w:t>29,696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100,767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80,400</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40,181</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6"/>
              </w:rPr>
              <w:t>33,666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111,741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102,044</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301,814</w:t>
            </w: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255,017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859,725</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757,661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441"/>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7"/>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7"/>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9"/>
                <w:szCs w:val="19"/>
                <w:color w:val="auto"/>
              </w:rPr>
            </w:pPr>
          </w:p>
        </w:tc>
        <w:tc>
          <w:tcPr>
            <w:tcW w:w="186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20" w:type="dxa"/>
            <w:vAlign w:val="bottom"/>
          </w:tcPr>
          <w:p>
            <w:pPr>
              <w:spacing w:after="0"/>
              <w:rPr>
                <w:sz w:val="19"/>
                <w:szCs w:val="19"/>
                <w:color w:val="auto"/>
              </w:rPr>
            </w:pPr>
          </w:p>
        </w:tc>
        <w:tc>
          <w:tcPr>
            <w:tcW w:w="2000" w:type="dxa"/>
            <w:vAlign w:val="bottom"/>
            <w:gridSpan w:val="6"/>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60" w:type="dxa"/>
            <w:vAlign w:val="bottom"/>
            <w:tcBorders>
              <w:top w:val="single" w:sz="8" w:color="auto"/>
            </w:tcBorders>
            <w:gridSpan w:val="2"/>
          </w:tcPr>
          <w:p>
            <w:pPr>
              <w:jc w:val="right"/>
              <w:ind w:right="31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66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Depreciation of fixed assets and</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amortization of landfills and finance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5,769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229,658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Permits and other intangibles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40,744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20" w:type="dxa"/>
            <w:vAlign w:val="bottom"/>
            <w:tcBorders>
              <w:bottom w:val="single" w:sz="8" w:color="CCEEFF"/>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267,425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three and nine months ended September 30, 2024 increased by $7.1 million and $28.2 million from the comparable periods in 2023 due to the depreciation of fixed assets and amortization of intangible assets placed in service in the last quarter of 2023 and throughout 2024 including the incremental assets acquired from the March 2024 HEPACO and Noble acquisitions.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5"/>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9"/>
                <w:szCs w:val="19"/>
                <w:color w:val="auto"/>
              </w:rPr>
            </w:pPr>
          </w:p>
        </w:tc>
        <w:tc>
          <w:tcPr>
            <w:tcW w:w="1760" w:type="dxa"/>
            <w:vAlign w:val="bottom"/>
            <w:gridSpan w:val="3"/>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jc w:val="right"/>
              <w:ind w:right="2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we recorded a $2.4 million loss on early extinguishment of debt in connection with the repayment of outstanding debt due in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of Interest Income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9"/>
                <w:szCs w:val="19"/>
                <w:color w:val="auto"/>
              </w:rPr>
            </w:pPr>
          </w:p>
        </w:tc>
        <w:tc>
          <w:tcPr>
            <w:tcW w:w="208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0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9"/>
                <w:szCs w:val="19"/>
                <w:color w:val="auto"/>
              </w:rPr>
            </w:pPr>
          </w:p>
        </w:tc>
        <w:tc>
          <w:tcPr>
            <w:tcW w:w="1760" w:type="dxa"/>
            <w:vAlign w:val="bottom"/>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9"/>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ind w:left="34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74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Interest expense, net of interest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6,083</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20.5 %  $</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100,767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of interest income for the three months ended September 30, 2024 increased $6.1 million from the comparable period in 2023 due to higher levels of outstanding debt as a result of the 2024 Incremental Term Loans entered into on March 22, 2024. Interest expense was partially offset by a $2.5 million increase in interest income in the three months ended September 30, 2024 compared to the comparable period in 2023.</w:t>
      </w:r>
    </w:p>
    <w:p>
      <w:pPr>
        <w:spacing w:after="0" w:line="9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of interest income for the nine months ended September 30, 2024 increased $20.4 million from the comparable period in 2023. During the nine months ended September 30, 2023, interest expense, net of interest income included an $8.3 million benefit recognized from settling interest rate swaps in that prior year period.</w:t>
      </w:r>
    </w:p>
    <w:p>
      <w:pPr>
        <w:spacing w:after="0" w:line="10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Absent this benefit, interest expense, net of interest income, for the nine months ended September 30, 2024 increased $12.1 million from the comparable period in 2023 due to the 2024 Incremental Term Loans discussed above. Interest expense was partially offset by a $5.4 million increase in interest income in the nine months ended September 30, 2024 compared to the comparable period in 2023.</w:t>
      </w:r>
    </w:p>
    <w:p>
      <w:pPr>
        <w:spacing w:after="0" w:line="10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the effective interest rate on our debt was 5.6%. For the remainder of 2024, we expect interest expense to continue to trend higher than the prior year due to higher levels of outstanding debt and a slightly higher weighted average effective interest rate. For additional information regarding the financing events during 2024 and our current portfolio of long-term debt, see Note 11, “Financing Arrangements,” to the accompanying unaudited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2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4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tcPr>
          <w:p>
            <w:pPr>
              <w:ind w:left="36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40,181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33,666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19.4 %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111,741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102,044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9,697</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3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the provision for income taxes increase was consistent with the increase in pre-tax income compared to the prior period. Our effective tax rates for the three and nine months ended September 30, 2024 remained relatively consistent compared to the prior periods.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as of the date of this report.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2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80" w:type="dxa"/>
            <w:vAlign w:val="bottom"/>
          </w:tcPr>
          <w:p>
            <w:pPr>
              <w:spacing w:after="0"/>
              <w:rPr>
                <w:sz w:val="18"/>
                <w:szCs w:val="18"/>
                <w:color w:val="auto"/>
              </w:rPr>
            </w:pPr>
          </w:p>
        </w:tc>
      </w:tr>
      <w:tr>
        <w:trPr>
          <w:trHeight w:val="216"/>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Borders>
              <w:bottom w:val="single" w:sz="8" w:color="auto"/>
            </w:tcBorders>
          </w:tcPr>
          <w:p>
            <w:pPr>
              <w:spacing w:after="0"/>
              <w:rPr>
                <w:sz w:val="18"/>
                <w:szCs w:val="18"/>
                <w:color w:val="auto"/>
              </w:rPr>
            </w:pPr>
          </w:p>
        </w:tc>
      </w:tr>
      <w:tr>
        <w:trPr>
          <w:trHeight w:val="21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473,833</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455,692</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(812,940)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rPr>
              <w:t>(447,069)</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(used in)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408,555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(165,322)</w:t>
            </w: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4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from operating activities for the nine months ended September 30, 2024 was $473.8 million as compared to $455.7 million in the same period in 2023. This $18.1 million increase in operating cash flows was attributable to an increase in operating income of $68.1 million, lower cash paid for taxes of $6.6 million, and a $4.4 million reduction in environmental expenditures for the nine months ended September 30, 2024 as compared to the same period in 2023. These were partially offset by increased working capital balances and an increase in cash paid for interest of $33.4 million.</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6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$812.9 million, an increase of $365.9 million from the comparable period in 2023. Cash used for acquisitions increased $354.4 million as we paid more for the acquisitions of HEPACO and Noble in 2024 than we did for the acquisition of Thompson Industrial in 2023. Additions to property, plant and equipment increased $57.9 million, largely driven by increased investments in vehicles, machinery and equipment for our operations and notable project spend including $15.8 million spent on the Baltimore, Maryland facility. The remaining change in net cash used in investing activities was due to the timing of transactions within our wholly owned captive insurance company which resulted in a $26.3 million cash inflow in the nine months ended September 30, 2024 as compared to a $19.9 million cash outflow in the nine months ended 2023.</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(used in) financing activities</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from financing activities for the nine months ended September 30, 2024 was $408.6 million, as compared to net cash used in financing activities of $165.3 million for the nine months ended September 30, 2023. The primary drivers of this change were the incurrence of additional term loans net of discount of $499.4 million in 2024 as compared to a net $121.5 million repayment of debt in 2023. Partially offsetting this activity was an increase in finance lease payments of $12.0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4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believe that adjusted free cash flow should be viewed only as a supplement to the GAAP financial information. We define adjusted free cash flow as net cash from operating activities excluding cash impacts of items derived from non-operating activities,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cash from operating activities to adjusted free cash flow for the following periods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455,692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(311,906)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148,915</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4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At September 30, 2024, cash and cash equivalents and marketable securities totaled $594.7 million, compared to $550.8 million at December 31, 2023. At September 30, 2024, cash and cash equivalents held by our Canadian subsidiaries totaled $46.8 million. The cash and cash equivalents and marketable securities balance for our U.S. operations was $547.9 million at September 30, 2024. Our U.S. operations had net operating cash inflows of $478.3 million for the nine months ended September 30, 2024.</w:t>
      </w:r>
    </w:p>
    <w:p>
      <w:pPr>
        <w:spacing w:after="0" w:line="11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maintain a $600.0 million revolving credit facility of which, as of September 30, 2024, approximately $469.8 million was available to borrow under the facility, with letters of credit of $130.2 million outstanding.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6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Capital expenditures during the first nine months of 2024 were $369.8 million as compared to $311.9 million during the first nine months of 2023. The increase was driven by incremental investments in our fleet and equipment and Baltimore, Maryland facility as well as incremental spend on the Kimball incinerator. We anticipate that 2024 capital spending, net of disposals, will be in the range of $400.0 million to $430.0 million.</w:t>
      </w:r>
    </w:p>
    <w:p>
      <w:pPr>
        <w:spacing w:after="0" w:line="10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are nearing the completion of the construction of our new incinerator in Kimball, Nebraska and intend to commence operations in the fourth quarter of 2024. Total spending on the project as of September 30, 2024 was $198.0 million. Capital spending on the strategic project in Baltimore, Maryland for the first nine months of 2024 was $15.8 million for the purchase of the facility and site improvements.</w:t>
      </w:r>
    </w:p>
    <w:p>
      <w:pPr>
        <w:spacing w:after="0" w:line="9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anticipate that the capital spending will be funded by cash from our operations. Unanticipated changes in environmental regulations could require us to make significant capital expenditures for our facilities and adversely affect our results of operations and cash flow.</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4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As of September 30, 2024, our financing arrangements include (i) $545.0 million of 4.875% senior unsecured notes due 2027, (ii) $1,468.7 million of senior secured term loans due 2028, (iii) $300.0 million of 5.125% senior unsecured notes due 2029 and (iv) $500.0 million of 6.375% senior unsecured notes due 2031. As noted above, we also maintain our $600.0 million revolving credit facility with no amounts owed as of September 30, 2024.</w:t>
      </w:r>
    </w:p>
    <w:p>
      <w:pPr>
        <w:spacing w:after="0" w:line="130"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The material terms of these arrangements are discussed further in Note 11, “Financing Arrangements,” to the accompanying unaudited consolidated financial statements.</w:t>
      </w:r>
    </w:p>
    <w:p>
      <w:pPr>
        <w:spacing w:after="0" w:line="9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we were in compliance with the covenants of all of our debt agreements, and we believe we will continue to meet such covenants.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Common Stock Repurchases Pursuant to Publicly Announced Plan</w:t>
      </w:r>
    </w:p>
    <w:p>
      <w:pPr>
        <w:spacing w:after="0" w:line="16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common stock repurchases are made pursuant to the previously authorized board approved plan to repurchase up to $1.1 billion of the Company’s common stock. During the three and nine months ended September 30, 2024, the Company repurchased and retired 84,910 and 135,572 shares, respectively, of the Company’s common stock for total expenditures of $20.0 million and $30.0 million, respectively. During the three and nine months ended September 30, 2023, the Company repurchased and retired a total of 58,341 and 117,064 shares, respectively, of the Company’s common stock for total expenditures of $10.0 million and $18.0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Through September 30, 2024, the Company has repurchased and retired a total of approximately 8.7 million shares of its common stock for $575.9 million under the board approved plan, and as of September 30, 2024, an additional $524.1 million remained available for repurchase of shares.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40" w:type="dxa"/>
            <w:vAlign w:val="bottom"/>
          </w:tcPr>
          <w:p>
            <w:pPr>
              <w:spacing w:after="0"/>
              <w:rPr>
                <w:sz w:val="18"/>
                <w:szCs w:val="18"/>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82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0"/>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812"/>
              <w:spacing w:after="0"/>
              <w:rPr>
                <w:sz w:val="20"/>
                <w:szCs w:val="20"/>
                <w:color w:val="auto"/>
              </w:rPr>
            </w:pPr>
            <w:r>
              <w:rPr>
                <w:rFonts w:ascii="Times New Roman" w:cs="Times New Roman" w:eastAsia="Times New Roman" w:hAnsi="Times New Roman"/>
                <w:sz w:val="18"/>
                <w:szCs w:val="18"/>
                <w:color w:val="auto"/>
                <w:w w:val="97"/>
              </w:rPr>
              <w:t>(585)</w:t>
            </w:r>
          </w:p>
        </w:tc>
        <w:tc>
          <w:tcPr>
            <w:tcW w:w="194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393</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Total environmental liabilities as of September 30, 2024 were $230.2 million, relatively consistent with the balance as of December 31, 2023. During the nine months ended September 30, 2024, the environmental liability balance increased due to accretion of $10.1 million, new environmental liabilities, including those assumed through acquisition, of $5.9 million and changes in environmental liability estimates of $4.4 million. These increases were partially offset by expenditures of $19.7 million. The liability estimate increase was primarily driven by a $2.9 million increase to the remedial liability reserve for a Superfund site.</w:t>
      </w:r>
    </w:p>
    <w:p>
      <w:pPr>
        <w:spacing w:after="0" w:line="11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w:t>
      </w:r>
    </w:p>
    <w:p>
      <w:pPr>
        <w:spacing w:after="0" w:line="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September 30, 2024, there were $130.2 million outstanding letters of credit. See Note 11, “Financing Arrangements,” to the accompanying unaudited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the first nine months of 2024, there were no material changes to the information provided under the heading “Critical Accounting Estimates” included in our Annual Report on Form 10-K for the year ended December 31, 2023. For more information regarding our accounting policies, please refer to Note 2, “Significant Accounting Policies” to the accompanying unaudited consolidated financial statements.</w:t>
      </w:r>
    </w:p>
    <w:p>
      <w:pPr>
        <w:spacing w:after="0" w:line="3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In the first nine months of 2024, there were no material changes to the information provided under Item 7A. “Quantitative and Qualitative Disclosures about Market Risk” in the Company’s Annual Report on Form 10-K for the year ended December 31, 2023.</w:t>
      </w:r>
    </w:p>
    <w:p>
      <w:pPr>
        <w:spacing w:after="0" w:line="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Co-Chief Executive Officers and Chief Financial Officer, as of the end of the period covered by this Quarterly Report on Form 10-Q, our Co-Chief Executive Officers and Chief Financial Officer have concluded that our disclosure controls and procedures (as defined under Rule 13a-15(e) and 15d-15(e) under the Securities Exchange Act of 1934, as amended (the “Exchange Act”)) were effective as of September 30, 2024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 (d) of Exchange Act Rules 13a-15 or 15d-15 that was conducted during the quarter ended September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Note 15, “Commitments and Contingencies,” to the unaudited consolidated financial statements included in Item 1 of this report, which description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from the information provided in Item 1A. in the Company's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4100" w:type="dxa"/>
            <w:vAlign w:val="bottom"/>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ind w:right="194"/>
              <w:spacing w:after="0" w:line="162" w:lineRule="exact"/>
              <w:rPr>
                <w:sz w:val="20"/>
                <w:szCs w:val="20"/>
                <w:color w:val="auto"/>
              </w:rPr>
            </w:pPr>
            <w:r>
              <w:rPr>
                <w:rFonts w:ascii="Times New Roman" w:cs="Times New Roman" w:eastAsia="Times New Roman" w:hAnsi="Times New Roman"/>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4100" w:type="dxa"/>
            <w:vAlign w:val="bottom"/>
            <w:vMerge w:val="continue"/>
          </w:tcPr>
          <w:p>
            <w:pPr>
              <w:spacing w:after="0"/>
              <w:rPr>
                <w:sz w:val="18"/>
                <w:szCs w:val="18"/>
                <w:color w:val="auto"/>
              </w:rPr>
            </w:pPr>
          </w:p>
        </w:tc>
        <w:tc>
          <w:tcPr>
            <w:tcW w:w="152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color w:val="auto"/>
                <w:vertAlign w:val="superscript"/>
              </w:rPr>
              <w:t>(2)</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94"/>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 thousands) </w:t>
            </w:r>
            <w:r>
              <w:rPr>
                <w:rFonts w:ascii="Times New Roman" w:cs="Times New Roman" w:eastAsia="Times New Roman" w:hAnsi="Times New Roman"/>
                <w:sz w:val="21"/>
                <w:szCs w:val="21"/>
                <w:color w:val="auto"/>
                <w:w w:val="98"/>
                <w:vertAlign w:val="superscript"/>
              </w:rPr>
              <w:t>(3)</w:t>
            </w: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through July 31,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544,101</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2024 through August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232.87</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534,101</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through September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239.23</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524,101</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115,668</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________________</w:t>
      </w:r>
    </w:p>
    <w:p>
      <w:pPr>
        <w:spacing w:after="0" w:line="58" w:lineRule="exact"/>
        <w:rPr>
          <w:sz w:val="20"/>
          <w:szCs w:val="20"/>
          <w:color w:val="auto"/>
        </w:rPr>
      </w:pPr>
    </w:p>
    <w:p>
      <w:pPr>
        <w:ind w:left="660" w:right="620" w:hanging="328"/>
        <w:spacing w:after="0" w:line="261" w:lineRule="auto"/>
        <w:tabs>
          <w:tab w:leader="none" w:pos="7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30,758 shares withheld by us from employees to satisfy employee tax obligations upon vesting of restricted stock granted to our employees under the Company’s equity incentive plans.</w:t>
      </w:r>
    </w:p>
    <w:p>
      <w:pPr>
        <w:ind w:left="660" w:right="20" w:hanging="328"/>
        <w:spacing w:after="0" w:line="250" w:lineRule="auto"/>
        <w:tabs>
          <w:tab w:leader="none" w:pos="7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the Company’s stock repurchase program includes the commissions paid to brokers.</w:t>
      </w:r>
    </w:p>
    <w:p>
      <w:pPr>
        <w:ind w:left="660" w:hanging="328"/>
        <w:spacing w:after="0" w:line="251" w:lineRule="auto"/>
        <w:tabs>
          <w:tab w:leader="none" w:pos="7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common stock repurchases are made pursuant to the stock repurchase plan, which was most recently authorized by the board of directors on December 5, 2024, to repurchase up to $1.1 billion of the Company’s common stock. The stock repurchase plan will expire when all of the available allotted funds under the stock repurchase plan are depleted. As of September 30, 2024, the amount available for repurchase under the board approved plan is $524.1 million.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As part of our share repurchase program, we maintain a repurchase plan in accordance with Rule 10b5-1 promulgated under the Securities Exchange Act of 1934, as amended. During the three months ended September 30, 2024, no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right="240" w:firstLine="648"/>
        <w:spacing w:after="0" w:line="296" w:lineRule="auto"/>
        <w:rPr>
          <w:sz w:val="20"/>
          <w:szCs w:val="20"/>
          <w:color w:val="auto"/>
        </w:rPr>
      </w:pPr>
      <w:r>
        <w:rPr>
          <w:rFonts w:ascii="Times New Roman" w:cs="Times New Roman" w:eastAsia="Times New Roman" w:hAnsi="Times New Roman"/>
          <w:sz w:val="17"/>
          <w:szCs w:val="17"/>
          <w:color w:val="auto"/>
        </w:rPr>
        <w:t>During the quarter ended September 30, 2024, no director or “officer” (as defined in Rule 16a-1(f)) of Clean Harbors, Inc. adopted, modified or terminated a “Rule 10b5-1 trading arrangement” or “non-Rule 10b5-1 trading arrangement,” as each term is defined in Item 408(a) of Regulation S-K.</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540" w:type="dxa"/>
            <w:vAlign w:val="bottom"/>
            <w:gridSpan w:val="1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880" w:type="dxa"/>
            <w:vAlign w:val="bottom"/>
          </w:tcPr>
          <w:p>
            <w:pPr>
              <w:spacing w:after="0"/>
              <w:rPr>
                <w:sz w:val="20"/>
                <w:szCs w:val="20"/>
                <w:color w:val="auto"/>
              </w:rPr>
            </w:pPr>
          </w:p>
        </w:tc>
      </w:tr>
      <w:tr>
        <w:trPr>
          <w:trHeight w:val="354"/>
        </w:trPr>
        <w:tc>
          <w:tcPr>
            <w:tcW w:w="82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200" w:type="dxa"/>
            <w:vAlign w:val="bottom"/>
            <w:gridSpan w:val="8"/>
          </w:tcPr>
          <w:p>
            <w:pPr>
              <w:ind w:left="1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3"/>
        </w:trPr>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83"/>
        </w:trPr>
        <w:tc>
          <w:tcPr>
            <w:tcW w:w="820" w:type="dxa"/>
            <w:vAlign w:val="bottom"/>
          </w:tcPr>
          <w:p>
            <w:pPr>
              <w:jc w:val="center"/>
              <w:ind w:left="31"/>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80" w:type="dxa"/>
            <w:vAlign w:val="bottom"/>
            <w:gridSpan w:val="8"/>
          </w:tcPr>
          <w:p>
            <w:pPr>
              <w:spacing w:after="0" w:line="18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Amendment No. 6 to Credit Agreement dated as of October 8, 2024, among the Financial Institutions party</w:t>
              </w:r>
            </w:hyperlink>
          </w:p>
        </w:tc>
        <w:tc>
          <w:tcPr>
            <w:tcW w:w="100" w:type="dxa"/>
            <w:vAlign w:val="bottom"/>
          </w:tcPr>
          <w:p>
            <w:pPr>
              <w:spacing w:after="0"/>
              <w:rPr>
                <w:sz w:val="15"/>
                <w:szCs w:val="15"/>
                <w:color w:val="auto"/>
              </w:rPr>
            </w:pPr>
          </w:p>
        </w:tc>
        <w:tc>
          <w:tcPr>
            <w:tcW w:w="18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5"/>
              </w:rPr>
              <w:t>(1)</w:t>
            </w:r>
          </w:p>
        </w:tc>
      </w:tr>
      <w:tr>
        <w:trPr>
          <w:trHeight w:val="156"/>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thereto, as Lenders, Goldman Sachs Lending Partners LLC, as Administrative Agent and Collateral Agent,</w:t>
              </w:r>
            </w:hyperlink>
          </w:p>
        </w:tc>
        <w:tc>
          <w:tcPr>
            <w:tcW w:w="460" w:type="dxa"/>
            <w:vAlign w:val="bottom"/>
            <w:gridSpan w:val="2"/>
          </w:tcPr>
          <w:p>
            <w:pPr>
              <w:spacing w:after="0"/>
              <w:rPr>
                <w:sz w:val="13"/>
                <w:szCs w:val="13"/>
                <w:color w:val="auto"/>
              </w:rPr>
            </w:pPr>
          </w:p>
        </w:tc>
        <w:tc>
          <w:tcPr>
            <w:tcW w:w="1880" w:type="dxa"/>
            <w:vAlign w:val="bottom"/>
          </w:tcPr>
          <w:p>
            <w:pPr>
              <w:spacing w:after="0"/>
              <w:rPr>
                <w:sz w:val="13"/>
                <w:szCs w:val="13"/>
                <w:color w:val="auto"/>
              </w:rPr>
            </w:pPr>
          </w:p>
        </w:tc>
      </w:tr>
      <w:tr>
        <w:trPr>
          <w:trHeight w:val="155"/>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Clean Harbors, Inc., as Borrower, and the Loan Guarantors from time to time party thereto</w:t>
              </w:r>
            </w:hyperlink>
          </w:p>
        </w:tc>
        <w:tc>
          <w:tcPr>
            <w:tcW w:w="480" w:type="dxa"/>
            <w:vAlign w:val="bottom"/>
            <w:gridSpan w:val="3"/>
          </w:tcPr>
          <w:p>
            <w:pPr>
              <w:spacing w:after="0"/>
              <w:rPr>
                <w:sz w:val="13"/>
                <w:szCs w:val="13"/>
                <w:color w:val="auto"/>
              </w:rPr>
            </w:pPr>
          </w:p>
        </w:tc>
        <w:tc>
          <w:tcPr>
            <w:tcW w:w="1880" w:type="dxa"/>
            <w:vAlign w:val="bottom"/>
          </w:tcPr>
          <w:p>
            <w:pPr>
              <w:spacing w:after="0"/>
              <w:rPr>
                <w:sz w:val="13"/>
                <w:szCs w:val="13"/>
                <w:color w:val="auto"/>
              </w:rPr>
            </w:pPr>
          </w:p>
        </w:tc>
      </w:tr>
      <w:tr>
        <w:trPr>
          <w:trHeight w:val="277"/>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Co-CEO Michael L. Battles</w:t>
            </w:r>
          </w:p>
        </w:tc>
        <w:tc>
          <w:tcPr>
            <w:tcW w:w="1320" w:type="dxa"/>
            <w:vAlign w:val="bottom"/>
            <w:tcBorders>
              <w:top w:val="single" w:sz="8" w:color="0000FF"/>
            </w:tcBorders>
            <w:gridSpan w:val="2"/>
          </w:tcPr>
          <w:p>
            <w:pPr>
              <w:spacing w:after="0"/>
              <w:rPr>
                <w:sz w:val="24"/>
                <w:szCs w:val="24"/>
                <w:color w:val="auto"/>
              </w:rPr>
            </w:pPr>
          </w:p>
        </w:tc>
        <w:tc>
          <w:tcPr>
            <w:tcW w:w="1660" w:type="dxa"/>
            <w:vAlign w:val="bottom"/>
            <w:gridSpan w:val="4"/>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63"/>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Co-CEO Eric W. Gerstenberg</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64"/>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CFO Eric J. Dugas</w:t>
            </w:r>
          </w:p>
        </w:tc>
        <w:tc>
          <w:tcPr>
            <w:tcW w:w="2860" w:type="dxa"/>
            <w:vAlign w:val="bottom"/>
            <w:gridSpan w:val="5"/>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63"/>
        </w:trPr>
        <w:tc>
          <w:tcPr>
            <w:tcW w:w="8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Certifications</w:t>
            </w:r>
          </w:p>
        </w:tc>
        <w:tc>
          <w:tcPr>
            <w:tcW w:w="2560" w:type="dxa"/>
            <w:vAlign w:val="bottom"/>
            <w:tcBorders>
              <w:top w:val="single" w:sz="8" w:color="0000FF"/>
            </w:tcBorders>
          </w:tcPr>
          <w:p>
            <w:pPr>
              <w:spacing w:after="0"/>
              <w:rPr>
                <w:sz w:val="22"/>
                <w:szCs w:val="22"/>
                <w:color w:val="auto"/>
              </w:rPr>
            </w:pPr>
          </w:p>
        </w:tc>
        <w:tc>
          <w:tcPr>
            <w:tcW w:w="3640" w:type="dxa"/>
            <w:vAlign w:val="bottom"/>
            <w:gridSpan w:val="7"/>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304"/>
        </w:trPr>
        <w:tc>
          <w:tcPr>
            <w:tcW w:w="8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3"/>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4"/>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3"/>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3"/>
        </w:trPr>
        <w:tc>
          <w:tcPr>
            <w:tcW w:w="8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29"/>
        </w:trPr>
        <w:tc>
          <w:tcPr>
            <w:tcW w:w="8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contained in Exhibits 101*)</w:t>
            </w:r>
          </w:p>
        </w:tc>
        <w:tc>
          <w:tcPr>
            <w:tcW w:w="1880" w:type="dxa"/>
            <w:vAlign w:val="bottom"/>
          </w:tcPr>
          <w:p>
            <w:pPr>
              <w:spacing w:after="0"/>
              <w:rPr>
                <w:sz w:val="20"/>
                <w:szCs w:val="20"/>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Incorporated by reference to Exhibit 4.43H to the Company’s Current Report on Form 8-K filed on October 11, 2024.</w:t>
      </w:r>
    </w:p>
    <w:p>
      <w:pPr>
        <w:spacing w:after="0" w:line="158" w:lineRule="exact"/>
        <w:rPr>
          <w:sz w:val="20"/>
          <w:szCs w:val="20"/>
          <w:color w:val="auto"/>
        </w:rPr>
      </w:pPr>
    </w:p>
    <w:p>
      <w:pPr>
        <w:ind w:left="320" w:hanging="150"/>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have been omitted. The Company agrees to furnish a supplemental copy to the SEC upon request.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8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77" w:lineRule="exact"/>
        <w:rPr>
          <w:sz w:val="20"/>
          <w:szCs w:val="20"/>
          <w:color w:val="auto"/>
        </w:rPr>
      </w:pPr>
    </w:p>
    <w:p>
      <w:pPr>
        <w:ind w:left="5500"/>
        <w:spacing w:after="0"/>
        <w:tabs>
          <w:tab w:leader="none" w:pos="7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30, 2024</w:t>
      </w:r>
    </w:p>
    <w:p>
      <w:pPr>
        <w:spacing w:after="0" w:line="77" w:lineRule="exact"/>
        <w:rPr>
          <w:sz w:val="20"/>
          <w:szCs w:val="20"/>
          <w:color w:val="auto"/>
        </w:rPr>
      </w:pPr>
    </w:p>
    <w:p>
      <w:pPr>
        <w:ind w:left="5500"/>
        <w:spacing w:after="0"/>
        <w:tabs>
          <w:tab w:leader="none" w:pos="7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30, 2024</w:t>
      </w:r>
    </w:p>
    <w:p>
      <w:pPr>
        <w:spacing w:after="0" w:line="77" w:lineRule="exact"/>
        <w:rPr>
          <w:sz w:val="20"/>
          <w:szCs w:val="20"/>
          <w:color w:val="auto"/>
        </w:rPr>
      </w:pPr>
    </w:p>
    <w:p>
      <w:pPr>
        <w:ind w:left="5500"/>
        <w:spacing w:after="0"/>
        <w:tabs>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83"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40"/>
          </w:cols>
          <w:pgMar w:left="320" w:top="121" w:right="10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Gerstenberg, certify that:</w:t>
      </w:r>
    </w:p>
    <w:p>
      <w:pPr>
        <w:spacing w:after="0" w:line="252"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Dugas, certify that:</w:t>
      </w:r>
    </w:p>
    <w:p>
      <w:pPr>
        <w:spacing w:after="0" w:line="252"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Quarterly Report on Form 10-Q for the period ended September 30, 2024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11" w:lineRule="exact"/>
        <w:rPr>
          <w:sz w:val="20"/>
          <w:szCs w:val="20"/>
          <w:color w:val="auto"/>
        </w:rPr>
      </w:pPr>
    </w:p>
    <w:p>
      <w:pPr>
        <w:ind w:left="5380"/>
        <w:spacing w:after="0"/>
        <w:tabs>
          <w:tab w:leader="none" w:pos="7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05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52" w:lineRule="exact"/>
        <w:rPr>
          <w:sz w:val="20"/>
          <w:szCs w:val="20"/>
          <w:color w:val="auto"/>
        </w:rPr>
      </w:pPr>
    </w:p>
    <w:p>
      <w:pPr>
        <w:ind w:left="538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05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77" w:lineRule="exact"/>
        <w:rPr>
          <w:sz w:val="20"/>
          <w:szCs w:val="20"/>
          <w:color w:val="auto"/>
        </w:rPr>
      </w:pPr>
    </w:p>
    <w:p>
      <w:pPr>
        <w:ind w:left="5380"/>
        <w:spacing w:after="0"/>
        <w:tabs>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05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October 30,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1"/>
    </w:lvl>
  </w:abstractNum>
  <w:abstractNum w:abstractNumId="4">
    <w:nsid w:val="DED7263"/>
    <w:multiLevelType w:val="hybridMultilevel"/>
    <w:lvl w:ilvl="0">
      <w:lvlJc w:val="left"/>
      <w:lvlText w:val="(%1)"/>
      <w:numFmt w:val="lowerRoman"/>
      <w:start w:val="2"/>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5"/>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5"/>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5"/>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49" Type="http://schemas.openxmlformats.org/officeDocument/2006/relationships/hyperlink" Target="https://www.sec.gov/Archives/edgar/data/822818/000082281824000040/clh-202410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2024-10-30T09:44:41Z</dcterms:created>
  <dcterms:modified xsi:type="dcterms:W3CDTF">2024-10-30T09:44:41Z</dcterms:modified>
</cp:coreProperties>
</file>