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1"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w:t>
      </w:r>
    </w:p>
    <w:p>
      <w:pPr>
        <w:spacing w:after="0" w:line="30" w:lineRule="exact"/>
        <w:rPr>
          <w:sz w:val="24"/>
          <w:szCs w:val="24"/>
          <w:color w:val="auto"/>
        </w:rPr>
      </w:pPr>
    </w:p>
    <w:p>
      <w:pPr>
        <w:ind w:left="960" w:hanging="628"/>
        <w:spacing w:after="0"/>
        <w:tabs>
          <w:tab w:leader="none" w:pos="9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OF 1934</w:t>
      </w:r>
    </w:p>
    <w:p>
      <w:pPr>
        <w:spacing w:after="0" w:line="14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6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6"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w:t>
      </w:r>
    </w:p>
    <w:p>
      <w:pPr>
        <w:spacing w:after="0" w:line="30" w:lineRule="exact"/>
        <w:rPr>
          <w:sz w:val="24"/>
          <w:szCs w:val="24"/>
          <w:color w:val="auto"/>
        </w:rPr>
      </w:pPr>
    </w:p>
    <w:p>
      <w:pPr>
        <w:ind w:left="960" w:hanging="628"/>
        <w:spacing w:after="0"/>
        <w:tabs>
          <w:tab w:leader="none" w:pos="9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OF 1934</w:t>
      </w:r>
    </w:p>
    <w:p>
      <w:pPr>
        <w:sectPr>
          <w:pgSz w:w="11900" w:h="16838" w:orient="portrait"/>
          <w:cols w:equalWidth="0" w:num="1">
            <w:col w:w="11400"/>
          </w:cols>
          <w:pgMar w:left="240" w:top="229" w:right="259" w:bottom="1440" w:gutter="0" w:footer="0" w:header="0"/>
        </w:sectPr>
      </w:pPr>
    </w:p>
    <w:p>
      <w:pPr>
        <w:spacing w:after="0" w:line="214"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211" w:lineRule="exact"/>
        <w:rPr>
          <w:sz w:val="24"/>
          <w:szCs w:val="24"/>
          <w:color w:val="auto"/>
        </w:rPr>
      </w:pPr>
    </w:p>
    <w:p>
      <w:pPr>
        <w:sectPr>
          <w:pgSz w:w="11900" w:h="16838" w:orient="portrait"/>
          <w:cols w:equalWidth="0" w:num="2">
            <w:col w:w="6880" w:space="420"/>
            <w:col w:w="4100"/>
          </w:cols>
          <w:pgMar w:left="240" w:top="229" w:right="259" w:bottom="1440" w:gutter="0" w:footer="0" w:header="0"/>
          <w:type w:val="continuous"/>
        </w:sectPr>
      </w:pP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001-34223</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_______________________</w:t>
      </w:r>
    </w:p>
    <w:p>
      <w:pPr>
        <w:sectPr>
          <w:pgSz w:w="11900" w:h="16838" w:orient="portrait"/>
          <w:cols w:equalWidth="0" w:num="1">
            <w:col w:w="11400"/>
          </w:cols>
          <w:pgMar w:left="240" w:top="229" w:right="259" w:bottom="1440" w:gutter="0" w:footer="0" w:header="0"/>
          <w:type w:val="continuous"/>
        </w:sectPr>
      </w:pP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CLEAN HARBORS, INC.</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620" w:type="dxa"/>
        <w:tblCellMar>
          <w:top w:w="0" w:type="dxa"/>
          <w:left w:w="0" w:type="dxa"/>
          <w:bottom w:w="0" w:type="dxa"/>
          <w:right w:w="0" w:type="dxa"/>
        </w:tblCellMar>
      </w:tblPr>
      <w:tr>
        <w:trPr>
          <w:trHeight w:val="238"/>
        </w:trPr>
        <w:tc>
          <w:tcPr>
            <w:tcW w:w="558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66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04-2997780</w:t>
            </w:r>
          </w:p>
        </w:tc>
      </w:tr>
      <w:tr>
        <w:trPr>
          <w:trHeight w:val="270"/>
        </w:trPr>
        <w:tc>
          <w:tcPr>
            <w:tcW w:w="558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6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70"/>
        </w:trPr>
        <w:tc>
          <w:tcPr>
            <w:tcW w:w="558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rPr>
              <w:t>42 Longwater Drive, Norwell, MA</w:t>
            </w:r>
          </w:p>
        </w:tc>
        <w:tc>
          <w:tcPr>
            <w:tcW w:w="366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02061-9149</w:t>
            </w:r>
          </w:p>
        </w:tc>
      </w:tr>
      <w:tr>
        <w:trPr>
          <w:trHeight w:val="270"/>
        </w:trPr>
        <w:tc>
          <w:tcPr>
            <w:tcW w:w="558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(781) 792-5000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9" w:lineRule="exact"/>
        <w:rPr>
          <w:sz w:val="24"/>
          <w:szCs w:val="24"/>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6" w:lineRule="exact"/>
        <w:rPr>
          <w:sz w:val="24"/>
          <w:szCs w:val="24"/>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o</w:t>
      </w:r>
    </w:p>
    <w:p>
      <w:pPr>
        <w:spacing w:after="0" w:line="162" w:lineRule="exact"/>
        <w:rPr>
          <w:sz w:val="24"/>
          <w:szCs w:val="24"/>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00"/>
          </w:cols>
          <w:pgMar w:left="240" w:top="229" w:right="259" w:bottom="1440" w:gutter="0" w:footer="0" w:header="0"/>
          <w:type w:val="continuous"/>
        </w:sectPr>
      </w:pPr>
    </w:p>
    <w:p>
      <w:pPr>
        <w:spacing w:after="0" w:line="122"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8"/>
          <w:szCs w:val="18"/>
          <w:color w:val="auto"/>
        </w:rPr>
        <w:t>Large accelerated filer x</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o</w:t>
      </w:r>
    </w:p>
    <w:p>
      <w:pPr>
        <w:spacing w:after="0" w:line="63" w:lineRule="exact"/>
        <w:rPr>
          <w:sz w:val="24"/>
          <w:szCs w:val="24"/>
          <w:color w:val="auto"/>
        </w:rPr>
      </w:pPr>
    </w:p>
    <w:p>
      <w:pPr>
        <w:sectPr>
          <w:pgSz w:w="11900" w:h="16838" w:orient="portrait"/>
          <w:cols w:equalWidth="0" w:num="2">
            <w:col w:w="7220" w:space="720"/>
            <w:col w:w="3460"/>
          </w:cols>
          <w:pgMar w:left="240" w:top="229" w:right="25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74" w:lineRule="exact"/>
        <w:rPr>
          <w:sz w:val="24"/>
          <w:szCs w:val="24"/>
          <w:color w:val="auto"/>
        </w:rPr>
      </w:pPr>
    </w:p>
    <w:p>
      <w:pPr>
        <w:sectPr>
          <w:pgSz w:w="11900" w:h="16838" w:orient="portrait"/>
          <w:cols w:equalWidth="0" w:num="2">
            <w:col w:w="6840" w:space="720"/>
            <w:col w:w="3840"/>
          </w:cols>
          <w:pgMar w:left="240" w:top="229" w:right="259" w:bottom="1440" w:gutter="0" w:footer="0" w:header="0"/>
          <w:type w:val="continuous"/>
        </w:sectPr>
      </w:pPr>
    </w:p>
    <w:p>
      <w:pPr>
        <w:ind w:left="7560"/>
        <w:spacing w:after="0"/>
        <w:rPr>
          <w:sz w:val="20"/>
          <w:szCs w:val="20"/>
          <w:color w:val="auto"/>
        </w:rPr>
      </w:pPr>
      <w:r>
        <w:rPr>
          <w:rFonts w:ascii="Times New Roman" w:cs="Times New Roman" w:eastAsia="Times New Roman" w:hAnsi="Times New Roman"/>
          <w:sz w:val="17"/>
          <w:szCs w:val="17"/>
          <w:color w:val="auto"/>
        </w:rPr>
        <w:t>Emerging growth company o</w:t>
      </w:r>
    </w:p>
    <w:p>
      <w:pPr>
        <w:sectPr>
          <w:pgSz w:w="11900" w:h="16838" w:orient="portrait"/>
          <w:cols w:equalWidth="0" w:num="1">
            <w:col w:w="11400"/>
          </w:cols>
          <w:pgMar w:left="240" w:top="229" w:right="259" w:bottom="1440" w:gutter="0" w:footer="0" w:header="0"/>
          <w:type w:val="continuous"/>
        </w:sectPr>
      </w:pPr>
    </w:p>
    <w:p>
      <w:pPr>
        <w:spacing w:after="0" w:line="264"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by Rule 12b-2 of the Exchange Act). Yes o No x</w:t>
      </w:r>
    </w:p>
    <w:p>
      <w:pPr>
        <w:spacing w:after="0" w:line="2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ectPr>
          <w:pgSz w:w="11900" w:h="16838" w:orient="portrait"/>
          <w:cols w:equalWidth="0" w:num="1">
            <w:col w:w="11400"/>
          </w:cols>
          <w:pgMar w:left="240" w:top="229" w:right="259" w:bottom="1440" w:gutter="0" w:footer="0" w:header="0"/>
          <w:type w:val="continuous"/>
        </w:sectPr>
      </w:pPr>
    </w:p>
    <w:p>
      <w:pPr>
        <w:spacing w:after="0" w:line="167"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7"/>
          <w:szCs w:val="17"/>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55,870,615</w:t>
      </w:r>
    </w:p>
    <w:p>
      <w:pPr>
        <w:spacing w:after="0" w:line="67" w:lineRule="exact"/>
        <w:rPr>
          <w:sz w:val="24"/>
          <w:szCs w:val="24"/>
          <w:color w:val="auto"/>
        </w:rPr>
      </w:pPr>
    </w:p>
    <w:p>
      <w:pPr>
        <w:sectPr>
          <w:pgSz w:w="11900" w:h="16838" w:orient="portrait"/>
          <w:cols w:equalWidth="0" w:num="2">
            <w:col w:w="7580" w:space="720"/>
            <w:col w:w="3100"/>
          </w:cols>
          <w:pgMar w:left="240" w:top="229" w:right="259" w:bottom="1440" w:gutter="0" w:footer="0" w:header="0"/>
          <w:type w:val="continuous"/>
        </w:sectPr>
      </w:pPr>
    </w:p>
    <w:p>
      <w:pPr>
        <w:ind w:left="2580"/>
        <w:spacing w:after="0"/>
        <w:rPr>
          <w:sz w:val="20"/>
          <w:szCs w:val="20"/>
          <w:color w:val="auto"/>
        </w:rPr>
      </w:pPr>
      <w:r>
        <w:rPr>
          <w:rFonts w:ascii="Times New Roman" w:cs="Times New Roman" w:eastAsia="Times New Roman" w:hAnsi="Times New Roman"/>
          <w:sz w:val="18"/>
          <w:szCs w:val="18"/>
          <w:color w:val="auto"/>
        </w:rPr>
        <w:t>(Class)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(Outstanding as of April 26, 2019)</w:t>
      </w:r>
    </w:p>
    <w:p>
      <w:pPr>
        <w:sectPr>
          <w:pgSz w:w="11900" w:h="16838" w:orient="portrait"/>
          <w:cols w:equalWidth="0" w:num="2">
            <w:col w:w="6740" w:space="720"/>
            <w:col w:w="3940"/>
          </w:cols>
          <w:pgMar w:left="240" w:top="229"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40" w:type="dxa"/>
            <w:vAlign w:val="bottom"/>
            <w:gridSpan w:val="7"/>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CLEAN HARBORS, INC.</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40" w:type="dxa"/>
            <w:vAlign w:val="bottom"/>
            <w:gridSpan w:val="8"/>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40" w:type="dxa"/>
            <w:vAlign w:val="bottom"/>
            <w:gridSpan w:val="7"/>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15"/>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324"/>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20" w:type="dxa"/>
            <w:vAlign w:val="bottom"/>
            <w:gridSpan w:val="11"/>
          </w:tcPr>
          <w:p>
            <w:pPr>
              <w:jc w:val="center"/>
              <w:ind w:right="3680"/>
              <w:spacing w:after="0"/>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PART I: FINANCIAL INFORMATION</w:t>
              </w:r>
            </w:hyperlink>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3740" w:type="dxa"/>
            <w:vAlign w:val="bottom"/>
            <w:gridSpan w:val="12"/>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ITEM 1: Unaudited Financial Statements</w:t>
              </w:r>
            </w:hyperlink>
          </w:p>
        </w:tc>
        <w:tc>
          <w:tcPr>
            <w:tcW w:w="3080" w:type="dxa"/>
            <w:vAlign w:val="bottom"/>
            <w:tcBorders>
              <w:top w:val="single" w:sz="8" w:color="0000EE"/>
            </w:tcBorders>
            <w:gridSpan w:val="8"/>
          </w:tcPr>
          <w:p>
            <w:pPr>
              <w:spacing w:after="0"/>
              <w:rPr>
                <w:sz w:val="24"/>
                <w:szCs w:val="24"/>
                <w:color w:val="auto"/>
              </w:rPr>
            </w:pPr>
          </w:p>
        </w:tc>
        <w:tc>
          <w:tcPr>
            <w:tcW w:w="376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318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Balance Sheets</w:t>
              </w:r>
            </w:hyperlink>
          </w:p>
        </w:tc>
        <w:tc>
          <w:tcPr>
            <w:tcW w:w="740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1</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gridSpan w:val="2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Consolidated Statements of Operations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2</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Unaudited Consolidated Statements of Comprehensive Income (Loss)</w:t>
              </w:r>
            </w:hyperlink>
          </w:p>
        </w:tc>
        <w:tc>
          <w:tcPr>
            <w:tcW w:w="5540" w:type="dxa"/>
            <w:vAlign w:val="bottom"/>
            <w:gridSpan w:val="6"/>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3</w:t>
              </w:r>
            </w:hyperlink>
          </w:p>
        </w:tc>
        <w:tc>
          <w:tcPr>
            <w:tcW w:w="20" w:type="dxa"/>
            <w:vAlign w:val="bottom"/>
          </w:tcPr>
          <w:p>
            <w:pPr>
              <w:spacing w:after="0"/>
              <w:rPr>
                <w:sz w:val="21"/>
                <w:szCs w:val="21"/>
                <w:color w:val="auto"/>
              </w:rPr>
            </w:pPr>
          </w:p>
        </w:tc>
      </w:tr>
      <w:tr>
        <w:trPr>
          <w:trHeight w:val="250"/>
        </w:trPr>
        <w:tc>
          <w:tcPr>
            <w:tcW w:w="36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Unaudited Consolidated Statements of Cash Flows</w:t>
              </w:r>
            </w:hyperlink>
          </w:p>
        </w:tc>
        <w:tc>
          <w:tcPr>
            <w:tcW w:w="6920" w:type="dxa"/>
            <w:vAlign w:val="bottom"/>
            <w:gridSpan w:val="11"/>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6">
              <w:r>
                <w:rPr>
                  <w:rFonts w:ascii="Times New Roman" w:cs="Times New Roman" w:eastAsia="Times New Roman" w:hAnsi="Times New Roman"/>
                  <w:sz w:val="18"/>
                  <w:szCs w:val="18"/>
                  <w:color w:val="0000FF"/>
                  <w:w w:val="88"/>
                </w:rPr>
                <w:t>4</w:t>
              </w:r>
            </w:hyperlink>
          </w:p>
        </w:tc>
        <w:tc>
          <w:tcPr>
            <w:tcW w:w="20" w:type="dxa"/>
            <w:vAlign w:val="bottom"/>
          </w:tcPr>
          <w:p>
            <w:pPr>
              <w:spacing w:after="0"/>
              <w:rPr>
                <w:sz w:val="21"/>
                <w:szCs w:val="21"/>
                <w:color w:val="auto"/>
              </w:rPr>
            </w:pPr>
          </w:p>
        </w:tc>
      </w:tr>
      <w:tr>
        <w:trPr>
          <w:trHeight w:val="250"/>
        </w:trPr>
        <w:tc>
          <w:tcPr>
            <w:tcW w:w="43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Unaudited Consolidated Statements of Stockholders’ Equity</w:t>
              </w:r>
            </w:hyperlink>
          </w:p>
        </w:tc>
        <w:tc>
          <w:tcPr>
            <w:tcW w:w="6240" w:type="dxa"/>
            <w:vAlign w:val="bottom"/>
            <w:gridSpan w:val="7"/>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5</w:t>
              </w:r>
            </w:hyperlink>
          </w:p>
        </w:tc>
        <w:tc>
          <w:tcPr>
            <w:tcW w:w="20" w:type="dxa"/>
            <w:vAlign w:val="bottom"/>
          </w:tcPr>
          <w:p>
            <w:pPr>
              <w:spacing w:after="0"/>
              <w:rPr>
                <w:sz w:val="21"/>
                <w:szCs w:val="21"/>
                <w:color w:val="auto"/>
              </w:rPr>
            </w:pPr>
          </w:p>
        </w:tc>
      </w:tr>
      <w:tr>
        <w:trPr>
          <w:trHeight w:val="250"/>
        </w:trPr>
        <w:tc>
          <w:tcPr>
            <w:tcW w:w="39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w:anchor="page9">
              <w:r>
                <w:rPr>
                  <w:rFonts w:ascii="Times New Roman" w:cs="Times New Roman" w:eastAsia="Times New Roman" w:hAnsi="Times New Roman"/>
                  <w:sz w:val="18"/>
                  <w:szCs w:val="18"/>
                  <w:color w:val="0000FF"/>
                  <w:w w:val="99"/>
                </w:rPr>
                <w:t>Notes to Unaudited Consolidated Financial Statements</w:t>
              </w:r>
            </w:hyperlink>
          </w:p>
        </w:tc>
        <w:tc>
          <w:tcPr>
            <w:tcW w:w="6640" w:type="dxa"/>
            <w:vAlign w:val="bottom"/>
            <w:gridSpan w:val="8"/>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6</w:t>
              </w:r>
            </w:hyperlink>
          </w:p>
        </w:tc>
        <w:tc>
          <w:tcPr>
            <w:tcW w:w="20" w:type="dxa"/>
            <w:vAlign w:val="bottom"/>
          </w:tcPr>
          <w:p>
            <w:pPr>
              <w:spacing w:after="0"/>
              <w:rPr>
                <w:sz w:val="21"/>
                <w:szCs w:val="21"/>
                <w:color w:val="auto"/>
              </w:rPr>
            </w:pPr>
          </w:p>
        </w:tc>
      </w:tr>
      <w:tr>
        <w:trPr>
          <w:trHeight w:val="372"/>
        </w:trPr>
        <w:tc>
          <w:tcPr>
            <w:tcW w:w="10580" w:type="dxa"/>
            <w:vAlign w:val="bottom"/>
            <w:gridSpan w:val="22"/>
          </w:tcPr>
          <w:p>
            <w:pPr>
              <w:spacing w:after="0"/>
              <w:rPr>
                <w:rFonts w:ascii="Times New Roman" w:cs="Times New Roman" w:eastAsia="Times New Roman" w:hAnsi="Times New Roman"/>
                <w:sz w:val="18"/>
                <w:szCs w:val="18"/>
                <w:b w:val="1"/>
                <w:bCs w:val="1"/>
                <w:color w:val="0000FF"/>
              </w:rPr>
            </w:pPr>
            <w:hyperlink w:anchor="page33">
              <w:r>
                <w:rPr>
                  <w:rFonts w:ascii="Times New Roman" w:cs="Times New Roman" w:eastAsia="Times New Roman" w:hAnsi="Times New Roman"/>
                  <w:sz w:val="18"/>
                  <w:szCs w:val="18"/>
                  <w:b w:val="1"/>
                  <w:bCs w:val="1"/>
                  <w:color w:val="0000FF"/>
                </w:rPr>
                <w:t>ITEM 2: Management’s Discussion and Analysis of Financial Condition and Results of Operations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3">
              <w:r>
                <w:rPr>
                  <w:rFonts w:ascii="Times New Roman" w:cs="Times New Roman" w:eastAsia="Times New Roman" w:hAnsi="Times New Roman"/>
                  <w:sz w:val="18"/>
                  <w:szCs w:val="18"/>
                  <w:color w:val="0000FF"/>
                </w:rPr>
                <w:t>30</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540" w:type="dxa"/>
            <w:vAlign w:val="bottom"/>
            <w:gridSpan w:val="21"/>
          </w:tcPr>
          <w:p>
            <w:pPr>
              <w:spacing w:after="0"/>
              <w:rPr>
                <w:rFonts w:ascii="Times New Roman" w:cs="Times New Roman" w:eastAsia="Times New Roman" w:hAnsi="Times New Roman"/>
                <w:sz w:val="18"/>
                <w:szCs w:val="18"/>
                <w:b w:val="1"/>
                <w:bCs w:val="1"/>
                <w:color w:val="0000FF"/>
              </w:rPr>
            </w:pPr>
            <w:hyperlink w:anchor="page41">
              <w:r>
                <w:rPr>
                  <w:rFonts w:ascii="Times New Roman" w:cs="Times New Roman" w:eastAsia="Times New Roman" w:hAnsi="Times New Roman"/>
                  <w:sz w:val="18"/>
                  <w:szCs w:val="18"/>
                  <w:b w:val="1"/>
                  <w:bCs w:val="1"/>
                  <w:color w:val="0000FF"/>
                </w:rPr>
                <w:t>ITEM 3: Quantitative and Qualitative Disclosures About Market Risk</w:t>
              </w:r>
            </w:hyperlink>
          </w:p>
        </w:tc>
        <w:tc>
          <w:tcPr>
            <w:tcW w:w="3040" w:type="dxa"/>
            <w:vAlign w:val="bottom"/>
          </w:tcPr>
          <w:p>
            <w:pPr>
              <w:spacing w:after="0"/>
              <w:rPr>
                <w:sz w:val="24"/>
                <w:szCs w:val="24"/>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1">
              <w:r>
                <w:rPr>
                  <w:rFonts w:ascii="Times New Roman" w:cs="Times New Roman" w:eastAsia="Times New Roman" w:hAnsi="Times New Roman"/>
                  <w:sz w:val="18"/>
                  <w:szCs w:val="18"/>
                  <w:color w:val="0000FF"/>
                </w:rPr>
                <w:t>38</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380" w:type="dxa"/>
            <w:vAlign w:val="bottom"/>
            <w:gridSpan w:val="18"/>
          </w:tcPr>
          <w:p>
            <w:pPr>
              <w:spacing w:after="0"/>
              <w:rPr>
                <w:rFonts w:ascii="Times New Roman" w:cs="Times New Roman" w:eastAsia="Times New Roman" w:hAnsi="Times New Roman"/>
                <w:sz w:val="18"/>
                <w:szCs w:val="18"/>
                <w:b w:val="1"/>
                <w:bCs w:val="1"/>
                <w:color w:val="0000FF"/>
              </w:rPr>
            </w:pPr>
            <w:hyperlink w:anchor="page42">
              <w:r>
                <w:rPr>
                  <w:rFonts w:ascii="Times New Roman" w:cs="Times New Roman" w:eastAsia="Times New Roman" w:hAnsi="Times New Roman"/>
                  <w:sz w:val="18"/>
                  <w:szCs w:val="18"/>
                  <w:b w:val="1"/>
                  <w:bCs w:val="1"/>
                  <w:color w:val="0000FF"/>
                </w:rPr>
                <w:t>ITEM 4: Controls and Procedures</w:t>
              </w:r>
            </w:hyperlink>
          </w:p>
        </w:tc>
        <w:tc>
          <w:tcPr>
            <w:tcW w:w="5200" w:type="dxa"/>
            <w:vAlign w:val="bottom"/>
            <w:gridSpan w:val="4"/>
          </w:tcPr>
          <w:p>
            <w:pPr>
              <w:spacing w:after="0"/>
              <w:rPr>
                <w:sz w:val="24"/>
                <w:szCs w:val="24"/>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2">
              <w:r>
                <w:rPr>
                  <w:rFonts w:ascii="Times New Roman" w:cs="Times New Roman" w:eastAsia="Times New Roman" w:hAnsi="Times New Roman"/>
                  <w:sz w:val="18"/>
                  <w:szCs w:val="18"/>
                  <w:color w:val="0000FF"/>
                </w:rPr>
                <w:t>39</w:t>
              </w:r>
            </w:hyperlink>
          </w:p>
        </w:tc>
      </w:tr>
      <w:tr>
        <w:trPr>
          <w:trHeight w:val="372"/>
        </w:trPr>
        <w:tc>
          <w:tcPr>
            <w:tcW w:w="8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00" w:type="dxa"/>
            <w:vAlign w:val="bottom"/>
            <w:gridSpan w:val="9"/>
          </w:tcPr>
          <w:p>
            <w:pPr>
              <w:jc w:val="center"/>
              <w:ind w:right="3920"/>
              <w:spacing w:after="0"/>
              <w:rPr>
                <w:rFonts w:ascii="Times New Roman" w:cs="Times New Roman" w:eastAsia="Times New Roman" w:hAnsi="Times New Roman"/>
                <w:sz w:val="18"/>
                <w:szCs w:val="18"/>
                <w:b w:val="1"/>
                <w:bCs w:val="1"/>
                <w:color w:val="0000FF"/>
                <w:w w:val="98"/>
              </w:rPr>
            </w:pPr>
            <w:hyperlink w:anchor="page43">
              <w:r>
                <w:rPr>
                  <w:rFonts w:ascii="Times New Roman" w:cs="Times New Roman" w:eastAsia="Times New Roman" w:hAnsi="Times New Roman"/>
                  <w:sz w:val="18"/>
                  <w:szCs w:val="18"/>
                  <w:b w:val="1"/>
                  <w:bCs w:val="1"/>
                  <w:color w:val="0000FF"/>
                  <w:w w:val="98"/>
                </w:rPr>
                <w:t>PART II: OTHER INFORMATION</w:t>
              </w:r>
            </w:hyperlink>
          </w:p>
        </w:tc>
        <w:tc>
          <w:tcPr>
            <w:tcW w:w="6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2080" w:type="dxa"/>
            <w:vAlign w:val="bottom"/>
            <w:gridSpan w:val="4"/>
          </w:tcPr>
          <w:p>
            <w:pPr>
              <w:spacing w:after="0"/>
              <w:rPr>
                <w:rFonts w:ascii="Times New Roman" w:cs="Times New Roman" w:eastAsia="Times New Roman" w:hAnsi="Times New Roman"/>
                <w:sz w:val="18"/>
                <w:szCs w:val="18"/>
                <w:b w:val="1"/>
                <w:bCs w:val="1"/>
                <w:color w:val="0000FF"/>
                <w:w w:val="95"/>
              </w:rPr>
            </w:pPr>
            <w:hyperlink w:anchor="page43">
              <w:r>
                <w:rPr>
                  <w:rFonts w:ascii="Times New Roman" w:cs="Times New Roman" w:eastAsia="Times New Roman" w:hAnsi="Times New Roman"/>
                  <w:sz w:val="18"/>
                  <w:szCs w:val="18"/>
                  <w:b w:val="1"/>
                  <w:bCs w:val="1"/>
                  <w:color w:val="0000FF"/>
                  <w:w w:val="95"/>
                </w:rPr>
                <w:t>ITEM 1: Legal Proceedings</w:t>
              </w:r>
            </w:hyperlink>
          </w:p>
        </w:tc>
        <w:tc>
          <w:tcPr>
            <w:tcW w:w="1800" w:type="dxa"/>
            <w:vAlign w:val="bottom"/>
            <w:gridSpan w:val="9"/>
          </w:tcPr>
          <w:p>
            <w:pPr>
              <w:spacing w:after="0"/>
              <w:rPr>
                <w:sz w:val="24"/>
                <w:szCs w:val="24"/>
                <w:color w:val="auto"/>
              </w:rPr>
            </w:pPr>
          </w:p>
        </w:tc>
        <w:tc>
          <w:tcPr>
            <w:tcW w:w="2780" w:type="dxa"/>
            <w:vAlign w:val="bottom"/>
            <w:tcBorders>
              <w:top w:val="single" w:sz="8" w:color="0000FF"/>
            </w:tcBorders>
            <w:gridSpan w:val="6"/>
          </w:tcPr>
          <w:p>
            <w:pPr>
              <w:spacing w:after="0"/>
              <w:rPr>
                <w:sz w:val="24"/>
                <w:szCs w:val="24"/>
                <w:color w:val="auto"/>
              </w:rPr>
            </w:pPr>
          </w:p>
        </w:tc>
        <w:tc>
          <w:tcPr>
            <w:tcW w:w="3920" w:type="dxa"/>
            <w:vAlign w:val="bottom"/>
            <w:gridSpan w:val="3"/>
          </w:tcPr>
          <w:p>
            <w:pPr>
              <w:spacing w:after="0"/>
              <w:rPr>
                <w:sz w:val="24"/>
                <w:szCs w:val="24"/>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color w:val="0000FF"/>
                </w:rPr>
                <w:t>40</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20" w:type="dxa"/>
            <w:vAlign w:val="bottom"/>
            <w:gridSpan w:val="3"/>
          </w:tcPr>
          <w:p>
            <w:pPr>
              <w:spacing w:after="0"/>
              <w:rPr>
                <w:rFonts w:ascii="Times New Roman" w:cs="Times New Roman" w:eastAsia="Times New Roman" w:hAnsi="Times New Roman"/>
                <w:sz w:val="18"/>
                <w:szCs w:val="18"/>
                <w:b w:val="1"/>
                <w:bCs w:val="1"/>
                <w:color w:val="0000FF"/>
                <w:w w:val="98"/>
              </w:rPr>
            </w:pPr>
            <w:hyperlink w:anchor="page43">
              <w:r>
                <w:rPr>
                  <w:rFonts w:ascii="Times New Roman" w:cs="Times New Roman" w:eastAsia="Times New Roman" w:hAnsi="Times New Roman"/>
                  <w:sz w:val="18"/>
                  <w:szCs w:val="18"/>
                  <w:b w:val="1"/>
                  <w:bCs w:val="1"/>
                  <w:color w:val="0000FF"/>
                  <w:w w:val="98"/>
                </w:rPr>
                <w:t>ITEM 1A: Risk Factors</w:t>
              </w:r>
            </w:hyperlink>
          </w:p>
        </w:tc>
        <w:tc>
          <w:tcPr>
            <w:tcW w:w="260" w:type="dxa"/>
            <w:vAlign w:val="bottom"/>
          </w:tcPr>
          <w:p>
            <w:pPr>
              <w:spacing w:after="0"/>
              <w:rPr>
                <w:sz w:val="21"/>
                <w:szCs w:val="21"/>
                <w:color w:val="auto"/>
              </w:rPr>
            </w:pPr>
          </w:p>
        </w:tc>
        <w:tc>
          <w:tcPr>
            <w:tcW w:w="8500" w:type="dxa"/>
            <w:vAlign w:val="bottom"/>
            <w:gridSpan w:val="18"/>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color w:val="0000FF"/>
                </w:rPr>
                <w:t>40</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53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gridSpan w:val="22"/>
          </w:tcPr>
          <w:p>
            <w:pPr>
              <w:spacing w:after="0"/>
              <w:rPr>
                <w:rFonts w:ascii="Times New Roman" w:cs="Times New Roman" w:eastAsia="Times New Roman" w:hAnsi="Times New Roman"/>
                <w:sz w:val="18"/>
                <w:szCs w:val="18"/>
                <w:b w:val="1"/>
                <w:bCs w:val="1"/>
                <w:color w:val="0000EE"/>
              </w:rPr>
            </w:pPr>
            <w:hyperlink w:anchor="page43">
              <w:r>
                <w:rPr>
                  <w:rFonts w:ascii="Times New Roman" w:cs="Times New Roman" w:eastAsia="Times New Roman" w:hAnsi="Times New Roman"/>
                  <w:sz w:val="18"/>
                  <w:szCs w:val="18"/>
                  <w:b w:val="1"/>
                  <w:bCs w:val="1"/>
                  <w:color w:val="0000EE"/>
                </w:rPr>
                <w:t>ITEM 2: Unregistered Sales of Equity Securities and Use of Proceeds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40</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60" w:type="dxa"/>
            <w:vAlign w:val="bottom"/>
            <w:gridSpan w:val="8"/>
          </w:tcPr>
          <w:p>
            <w:pPr>
              <w:spacing w:after="0"/>
              <w:rPr>
                <w:rFonts w:ascii="Times New Roman" w:cs="Times New Roman" w:eastAsia="Times New Roman" w:hAnsi="Times New Roman"/>
                <w:sz w:val="18"/>
                <w:szCs w:val="18"/>
                <w:b w:val="1"/>
                <w:bCs w:val="1"/>
                <w:color w:val="0000EE"/>
                <w:w w:val="99"/>
              </w:rPr>
            </w:pPr>
            <w:hyperlink w:anchor="page43">
              <w:r>
                <w:rPr>
                  <w:rFonts w:ascii="Times New Roman" w:cs="Times New Roman" w:eastAsia="Times New Roman" w:hAnsi="Times New Roman"/>
                  <w:sz w:val="18"/>
                  <w:szCs w:val="18"/>
                  <w:b w:val="1"/>
                  <w:bCs w:val="1"/>
                  <w:color w:val="0000EE"/>
                  <w:w w:val="99"/>
                </w:rPr>
                <w:t>ITEM 3: Defaults Upon Senior Securities</w:t>
              </w:r>
            </w:hyperlink>
          </w:p>
        </w:tc>
        <w:tc>
          <w:tcPr>
            <w:tcW w:w="2120" w:type="dxa"/>
            <w:vAlign w:val="bottom"/>
            <w:gridSpan w:val="9"/>
          </w:tcPr>
          <w:p>
            <w:pPr>
              <w:spacing w:after="0"/>
              <w:rPr>
                <w:sz w:val="21"/>
                <w:szCs w:val="21"/>
                <w:color w:val="auto"/>
              </w:rPr>
            </w:pPr>
          </w:p>
        </w:tc>
        <w:tc>
          <w:tcPr>
            <w:tcW w:w="53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40</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420" w:type="dxa"/>
            <w:vAlign w:val="bottom"/>
            <w:gridSpan w:val="1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560" w:type="dxa"/>
            <w:vAlign w:val="bottom"/>
            <w:gridSpan w:val="6"/>
          </w:tcPr>
          <w:p>
            <w:pPr>
              <w:spacing w:after="0"/>
              <w:rPr>
                <w:rFonts w:ascii="Times New Roman" w:cs="Times New Roman" w:eastAsia="Times New Roman" w:hAnsi="Times New Roman"/>
                <w:sz w:val="18"/>
                <w:szCs w:val="18"/>
                <w:b w:val="1"/>
                <w:bCs w:val="1"/>
                <w:color w:val="0000EE"/>
                <w:w w:val="99"/>
              </w:rPr>
            </w:pPr>
            <w:hyperlink w:anchor="page43">
              <w:r>
                <w:rPr>
                  <w:rFonts w:ascii="Times New Roman" w:cs="Times New Roman" w:eastAsia="Times New Roman" w:hAnsi="Times New Roman"/>
                  <w:sz w:val="18"/>
                  <w:szCs w:val="18"/>
                  <w:b w:val="1"/>
                  <w:bCs w:val="1"/>
                  <w:color w:val="0000EE"/>
                  <w:w w:val="99"/>
                </w:rPr>
                <w:t>ITEM 4: Mine Safety Disclosures</w:t>
              </w:r>
            </w:hyperlink>
          </w:p>
        </w:tc>
        <w:tc>
          <w:tcPr>
            <w:tcW w:w="600" w:type="dxa"/>
            <w:vAlign w:val="bottom"/>
            <w:gridSpan w:val="2"/>
          </w:tcPr>
          <w:p>
            <w:pPr>
              <w:spacing w:after="0"/>
              <w:rPr>
                <w:sz w:val="21"/>
                <w:szCs w:val="21"/>
                <w:color w:val="auto"/>
              </w:rPr>
            </w:pPr>
          </w:p>
        </w:tc>
        <w:tc>
          <w:tcPr>
            <w:tcW w:w="7420" w:type="dxa"/>
            <w:vAlign w:val="bottom"/>
            <w:gridSpan w:val="14"/>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40</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20" w:type="dxa"/>
            <w:vAlign w:val="bottom"/>
            <w:gridSpan w:val="1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160" w:type="dxa"/>
            <w:vAlign w:val="bottom"/>
            <w:gridSpan w:val="5"/>
          </w:tcPr>
          <w:p>
            <w:pPr>
              <w:spacing w:after="0"/>
              <w:rPr>
                <w:rFonts w:ascii="Times New Roman" w:cs="Times New Roman" w:eastAsia="Times New Roman" w:hAnsi="Times New Roman"/>
                <w:sz w:val="18"/>
                <w:szCs w:val="18"/>
                <w:b w:val="1"/>
                <w:bCs w:val="1"/>
                <w:color w:val="0000EE"/>
                <w:w w:val="98"/>
              </w:rPr>
            </w:pPr>
            <w:hyperlink w:anchor="page43">
              <w:r>
                <w:rPr>
                  <w:rFonts w:ascii="Times New Roman" w:cs="Times New Roman" w:eastAsia="Times New Roman" w:hAnsi="Times New Roman"/>
                  <w:sz w:val="18"/>
                  <w:szCs w:val="18"/>
                  <w:b w:val="1"/>
                  <w:bCs w:val="1"/>
                  <w:color w:val="0000EE"/>
                  <w:w w:val="98"/>
                </w:rPr>
                <w:t>ITEM 5: Other Information</w:t>
              </w:r>
            </w:hyperlink>
          </w:p>
        </w:tc>
        <w:tc>
          <w:tcPr>
            <w:tcW w:w="400" w:type="dxa"/>
            <w:vAlign w:val="bottom"/>
          </w:tcPr>
          <w:p>
            <w:pPr>
              <w:spacing w:after="0"/>
              <w:rPr>
                <w:sz w:val="21"/>
                <w:szCs w:val="21"/>
                <w:color w:val="auto"/>
              </w:rPr>
            </w:pPr>
          </w:p>
        </w:tc>
        <w:tc>
          <w:tcPr>
            <w:tcW w:w="8020" w:type="dxa"/>
            <w:vAlign w:val="bottom"/>
            <w:gridSpan w:val="16"/>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40</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420" w:type="dxa"/>
            <w:vAlign w:val="bottom"/>
            <w:gridSpan w:val="1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60" w:type="dxa"/>
            <w:vAlign w:val="bottom"/>
            <w:gridSpan w:val="2"/>
          </w:tcPr>
          <w:p>
            <w:pPr>
              <w:spacing w:after="0"/>
              <w:rPr>
                <w:rFonts w:ascii="Times New Roman" w:cs="Times New Roman" w:eastAsia="Times New Roman" w:hAnsi="Times New Roman"/>
                <w:sz w:val="18"/>
                <w:szCs w:val="18"/>
                <w:b w:val="1"/>
                <w:bCs w:val="1"/>
                <w:color w:val="0000FF"/>
                <w:w w:val="98"/>
              </w:rPr>
            </w:pPr>
            <w:hyperlink w:anchor="page44">
              <w:r>
                <w:rPr>
                  <w:rFonts w:ascii="Times New Roman" w:cs="Times New Roman" w:eastAsia="Times New Roman" w:hAnsi="Times New Roman"/>
                  <w:sz w:val="18"/>
                  <w:szCs w:val="18"/>
                  <w:b w:val="1"/>
                  <w:bCs w:val="1"/>
                  <w:color w:val="0000FF"/>
                  <w:w w:val="98"/>
                </w:rPr>
                <w:t>ITEM 6: Exhibits</w:t>
              </w:r>
            </w:hyperlink>
          </w:p>
        </w:tc>
        <w:tc>
          <w:tcPr>
            <w:tcW w:w="800" w:type="dxa"/>
            <w:vAlign w:val="bottom"/>
            <w:gridSpan w:val="3"/>
          </w:tcPr>
          <w:p>
            <w:pPr>
              <w:spacing w:after="0"/>
              <w:rPr>
                <w:sz w:val="21"/>
                <w:szCs w:val="21"/>
                <w:color w:val="auto"/>
              </w:rPr>
            </w:pPr>
          </w:p>
        </w:tc>
        <w:tc>
          <w:tcPr>
            <w:tcW w:w="8420" w:type="dxa"/>
            <w:vAlign w:val="bottom"/>
            <w:gridSpan w:val="17"/>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41</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20" w:type="dxa"/>
            <w:vAlign w:val="bottom"/>
            <w:gridSpan w:val="2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20" w:type="dxa"/>
            <w:vAlign w:val="bottom"/>
          </w:tcPr>
          <w:p>
            <w:pPr>
              <w:spacing w:after="0"/>
              <w:rPr>
                <w:rFonts w:ascii="Times New Roman" w:cs="Times New Roman" w:eastAsia="Times New Roman" w:hAnsi="Times New Roman"/>
                <w:sz w:val="18"/>
                <w:szCs w:val="18"/>
                <w:b w:val="1"/>
                <w:bCs w:val="1"/>
                <w:color w:val="0000FF"/>
                <w:w w:val="97"/>
              </w:rPr>
            </w:pPr>
            <w:hyperlink w:anchor="page45">
              <w:r>
                <w:rPr>
                  <w:rFonts w:ascii="Times New Roman" w:cs="Times New Roman" w:eastAsia="Times New Roman" w:hAnsi="Times New Roman"/>
                  <w:sz w:val="18"/>
                  <w:szCs w:val="18"/>
                  <w:b w:val="1"/>
                  <w:bCs w:val="1"/>
                  <w:color w:val="0000FF"/>
                  <w:w w:val="97"/>
                </w:rPr>
                <w:t>Signatures</w:t>
              </w:r>
            </w:hyperlink>
          </w:p>
        </w:tc>
        <w:tc>
          <w:tcPr>
            <w:tcW w:w="540" w:type="dxa"/>
            <w:vAlign w:val="bottom"/>
          </w:tcPr>
          <w:p>
            <w:pPr>
              <w:spacing w:after="0"/>
              <w:rPr>
                <w:sz w:val="21"/>
                <w:szCs w:val="21"/>
                <w:color w:val="auto"/>
              </w:rPr>
            </w:pPr>
          </w:p>
        </w:tc>
        <w:tc>
          <w:tcPr>
            <w:tcW w:w="9220" w:type="dxa"/>
            <w:vAlign w:val="bottom"/>
            <w:gridSpan w:val="20"/>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42</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360"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3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94"/>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23"/>
                <w:szCs w:val="23"/>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167,371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226,507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57,477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52,856</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aggregating $37,409 and $44,315, respectively</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613,507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606,952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42,513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54,794</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costs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20,515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18,770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and supplies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200,814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199,479</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45,925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42,800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1,148,122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1,202,158</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1,588,613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1,561,978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170,550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517,910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514,189</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438,958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441,875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17,901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18,121</w:t>
            </w:r>
          </w:p>
        </w:tc>
        <w:tc>
          <w:tcPr>
            <w:tcW w:w="0" w:type="dxa"/>
            <w:vAlign w:val="bottom"/>
          </w:tcPr>
          <w:p>
            <w:pPr>
              <w:spacing w:after="0"/>
              <w:rPr>
                <w:sz w:val="1"/>
                <w:szCs w:val="1"/>
                <w:color w:val="auto"/>
              </w:rPr>
            </w:pPr>
          </w:p>
        </w:tc>
      </w:tr>
      <w:tr>
        <w:trPr>
          <w:trHeight w:val="237"/>
        </w:trPr>
        <w:tc>
          <w:tcPr>
            <w:tcW w:w="8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other assets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1,145,319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974,185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3,882,054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3,738,321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7,535</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242,260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276,461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67,557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61,843</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208,386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233,405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closure, post-closure and remedial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27,914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23,034</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43,858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597,510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602,278</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Closure and post-closure liabilities, less current portion of $12,337 and $9,592,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62,084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60,339</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Remedial liabilities, less current portion of $15,577 and $13,442, respectively</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103,384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107,575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obligations, less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1,564,005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1,565,021</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128,689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taxes, unrecognized tax benefits and 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254,417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233,352</w:t>
            </w:r>
          </w:p>
        </w:tc>
        <w:tc>
          <w:tcPr>
            <w:tcW w:w="0" w:type="dxa"/>
            <w:vAlign w:val="bottom"/>
          </w:tcPr>
          <w:p>
            <w:pPr>
              <w:spacing w:after="0"/>
              <w:rPr>
                <w:sz w:val="1"/>
                <w:szCs w:val="1"/>
                <w:color w:val="auto"/>
              </w:rPr>
            </w:pPr>
          </w:p>
        </w:tc>
      </w:tr>
      <w:tr>
        <w:trPr>
          <w:trHeight w:val="237"/>
        </w:trPr>
        <w:tc>
          <w:tcPr>
            <w:tcW w:w="8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other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2,112,579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1,966,287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Commitments and contingent liabilities (See Note 16)</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$.01 par value: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Authorized 80,000,000; shares issued and outstanding 55,827,714 and 55,847,261 shares, respectively</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652,624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655,415</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earnings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738,130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737,154</w:t>
            </w:r>
          </w:p>
        </w:tc>
        <w:tc>
          <w:tcPr>
            <w:tcW w:w="0" w:type="dxa"/>
            <w:vAlign w:val="bottom"/>
          </w:tcPr>
          <w:p>
            <w:pPr>
              <w:spacing w:after="0"/>
              <w:rPr>
                <w:sz w:val="1"/>
                <w:szCs w:val="1"/>
                <w:color w:val="auto"/>
              </w:rPr>
            </w:pPr>
          </w:p>
        </w:tc>
      </w:tr>
      <w:tr>
        <w:trPr>
          <w:trHeight w:val="237"/>
        </w:trPr>
        <w:tc>
          <w:tcPr>
            <w:tcW w:w="8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1,171,965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1,169,756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3,882,054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3,738,321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420"/>
          </w:cols>
          <w:pgMar w:left="240" w:top="121" w:right="239" w:bottom="887"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887"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75"/>
        </w:trPr>
        <w:tc>
          <w:tcPr>
            <w:tcW w:w="83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 revenues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656,658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619,719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124,181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130,059</w:t>
            </w:r>
          </w:p>
        </w:tc>
        <w:tc>
          <w:tcPr>
            <w:tcW w:w="0" w:type="dxa"/>
            <w:vAlign w:val="bottom"/>
          </w:tcPr>
          <w:p>
            <w:pPr>
              <w:spacing w:after="0"/>
              <w:rPr>
                <w:sz w:val="1"/>
                <w:szCs w:val="1"/>
                <w:color w:val="auto"/>
              </w:rPr>
            </w:pPr>
          </w:p>
        </w:tc>
      </w:tr>
      <w:tr>
        <w:trPr>
          <w:trHeight w:val="237"/>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780,839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749,778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Cost of revenues: (exclusive of items shown separately below)</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 revenues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463,483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447,649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100,881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98,776</w:t>
            </w:r>
          </w:p>
        </w:tc>
        <w:tc>
          <w:tcPr>
            <w:tcW w:w="0" w:type="dxa"/>
            <w:vAlign w:val="bottom"/>
          </w:tcPr>
          <w:p>
            <w:pPr>
              <w:spacing w:after="0"/>
              <w:rPr>
                <w:sz w:val="1"/>
                <w:szCs w:val="1"/>
                <w:color w:val="auto"/>
              </w:rPr>
            </w:pPr>
          </w:p>
        </w:tc>
      </w:tr>
      <w:tr>
        <w:trPr>
          <w:trHeight w:val="237"/>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564,364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546,425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114,812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115,088</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75,355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74,844</w:t>
            </w:r>
          </w:p>
        </w:tc>
        <w:tc>
          <w:tcPr>
            <w:tcW w:w="0" w:type="dxa"/>
            <w:vAlign w:val="bottom"/>
          </w:tcPr>
          <w:p>
            <w:pPr>
              <w:spacing w:after="0"/>
              <w:rPr>
                <w:sz w:val="1"/>
                <w:szCs w:val="1"/>
                <w:color w:val="auto"/>
              </w:rPr>
            </w:pPr>
          </w:p>
        </w:tc>
      </w:tr>
      <w:tr>
        <w:trPr>
          <w:trHeight w:val="237"/>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23,734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10,991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 of interest income of $926 and $764, respectively</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(20,270)</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 (loss) before 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3,053</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(12,631)</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51"/>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used to compute earnings (loss) per share - Basic</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55,848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56,457</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used to compute earnings (loss) per share - Diluted</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56,082</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56,457</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 (LOSS)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180" w:type="dxa"/>
            <w:vAlign w:val="bottom"/>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75"/>
        </w:trPr>
        <w:tc>
          <w:tcPr>
            <w:tcW w:w="8360" w:type="dxa"/>
            <w:vAlign w:val="bottom"/>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23"/>
                <w:szCs w:val="23"/>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(12,631)</w:t>
            </w: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gains (losses) on available-for-sale securities (net of tax of $31 and $80, respectively)</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43"/>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loss on interest rate hedge</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Reclassification adjustment for losses on interest rate hedge included in net income (loss) (net of taxes of $0</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8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$0, respectively)</w:t>
            </w:r>
          </w:p>
        </w:tc>
        <w:tc>
          <w:tcPr>
            <w:tcW w:w="8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8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8,540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w:t>
            </w:r>
          </w:p>
        </w:tc>
      </w:tr>
      <w:tr>
        <w:trPr>
          <w:trHeight w:val="27"/>
        </w:trPr>
        <w:tc>
          <w:tcPr>
            <w:tcW w:w="83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4,024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(16,746)</w:t>
            </w:r>
          </w:p>
        </w:tc>
      </w:tr>
      <w:tr>
        <w:trPr>
          <w:trHeight w:val="257"/>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(29,377)</w:t>
            </w:r>
          </w:p>
        </w:tc>
      </w:tr>
      <w:tr>
        <w:trPr>
          <w:trHeight w:val="20"/>
        </w:trPr>
        <w:tc>
          <w:tcPr>
            <w:tcW w:w="8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160" w:type="dxa"/>
            <w:vAlign w:val="bottom"/>
            <w:gridSpan w:val="4"/>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75"/>
        </w:trPr>
        <w:tc>
          <w:tcPr>
            <w:tcW w:w="8260" w:type="dxa"/>
            <w:vAlign w:val="bottom"/>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23"/>
                <w:szCs w:val="23"/>
                <w:color w:val="auto"/>
              </w:rPr>
            </w:pPr>
          </w:p>
        </w:tc>
      </w:tr>
      <w:tr>
        <w:trPr>
          <w:trHeight w:val="264"/>
        </w:trPr>
        <w:tc>
          <w:tcPr>
            <w:tcW w:w="82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976</w:t>
            </w:r>
          </w:p>
        </w:tc>
        <w:tc>
          <w:tcPr>
            <w:tcW w:w="10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(12,631)</w:t>
            </w:r>
          </w:p>
        </w:tc>
      </w:tr>
      <w:tr>
        <w:trPr>
          <w:trHeight w:val="275"/>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income (loss) to net cash from operating activities:</w:t>
            </w:r>
          </w:p>
        </w:tc>
        <w:tc>
          <w:tcPr>
            <w:tcW w:w="8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75,355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74,844</w:t>
            </w:r>
          </w:p>
        </w:tc>
      </w:tr>
      <w:tr>
        <w:trPr>
          <w:trHeight w:val="275"/>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8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(3,425)</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2,303</w:t>
            </w: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deferred financing costs and debt discount</w:t>
            </w:r>
          </w:p>
        </w:tc>
        <w:tc>
          <w:tcPr>
            <w:tcW w:w="8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916</w:t>
            </w:r>
          </w:p>
        </w:tc>
      </w:tr>
      <w:tr>
        <w:trPr>
          <w:trHeight w:val="275"/>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Accretion of environmental liabilities</w:t>
            </w:r>
          </w:p>
        </w:tc>
        <w:tc>
          <w:tcPr>
            <w:tcW w:w="8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2,574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2,430</w:t>
            </w: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environmental liability estimates</w:t>
            </w:r>
          </w:p>
        </w:tc>
        <w:tc>
          <w:tcPr>
            <w:tcW w:w="8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w:t>
            </w:r>
          </w:p>
        </w:tc>
      </w:tr>
      <w:tr>
        <w:trPr>
          <w:trHeight w:val="275"/>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8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(income) expense, net</w:t>
            </w:r>
          </w:p>
        </w:tc>
        <w:tc>
          <w:tcPr>
            <w:tcW w:w="8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299</w:t>
            </w:r>
          </w:p>
        </w:tc>
      </w:tr>
      <w:tr>
        <w:trPr>
          <w:trHeight w:val="275"/>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5,809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3,077</w:t>
            </w: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Environmental expenditures</w:t>
            </w:r>
          </w:p>
        </w:tc>
        <w:tc>
          <w:tcPr>
            <w:tcW w:w="8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w:t>
            </w:r>
          </w:p>
        </w:tc>
      </w:tr>
      <w:tr>
        <w:trPr>
          <w:trHeight w:val="275"/>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Changes in assets and liabilities, net of acquisitions</w:t>
            </w:r>
          </w:p>
        </w:tc>
        <w:tc>
          <w:tcPr>
            <w:tcW w:w="8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5"/>
        </w:trPr>
        <w:tc>
          <w:tcPr>
            <w:tcW w:w="82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Accounts receivable and unbilled accounts receivable</w:t>
            </w:r>
          </w:p>
        </w:tc>
        <w:tc>
          <w:tcPr>
            <w:tcW w:w="8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12,086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(14,769)</w:t>
            </w:r>
          </w:p>
        </w:tc>
      </w:tr>
      <w:tr>
        <w:trPr>
          <w:trHeight w:val="275"/>
        </w:trPr>
        <w:tc>
          <w:tcPr>
            <w:tcW w:w="8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Inventories and supplies</w:t>
            </w:r>
          </w:p>
        </w:tc>
        <w:tc>
          <w:tcPr>
            <w:tcW w:w="8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(5,625)</w:t>
            </w:r>
          </w:p>
        </w:tc>
      </w:tr>
      <w:tr>
        <w:trPr>
          <w:trHeight w:val="265"/>
        </w:trPr>
        <w:tc>
          <w:tcPr>
            <w:tcW w:w="82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8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(11,738)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(2,923)</w:t>
            </w:r>
          </w:p>
        </w:tc>
      </w:tr>
      <w:tr>
        <w:trPr>
          <w:trHeight w:val="275"/>
        </w:trPr>
        <w:tc>
          <w:tcPr>
            <w:tcW w:w="8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9,714</w:t>
            </w:r>
          </w:p>
        </w:tc>
      </w:tr>
      <w:tr>
        <w:trPr>
          <w:trHeight w:val="265"/>
        </w:trPr>
        <w:tc>
          <w:tcPr>
            <w:tcW w:w="82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Other current and long-term liabilities</w:t>
            </w:r>
          </w:p>
        </w:tc>
        <w:tc>
          <w:tcPr>
            <w:tcW w:w="8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(17,088)</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(2,740)</w:t>
            </w:r>
          </w:p>
        </w:tc>
      </w:tr>
      <w:tr>
        <w:trPr>
          <w:trHeight w:val="255"/>
        </w:trPr>
        <w:tc>
          <w:tcPr>
            <w:tcW w:w="8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Net cash from operating activities</w:t>
            </w:r>
          </w:p>
        </w:tc>
        <w:tc>
          <w:tcPr>
            <w:tcW w:w="8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29,740</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51,903</w:t>
            </w:r>
          </w:p>
        </w:tc>
      </w:tr>
      <w:tr>
        <w:trPr>
          <w:trHeight w:val="259"/>
        </w:trPr>
        <w:tc>
          <w:tcPr>
            <w:tcW w:w="8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flows used in investing activities:</w:t>
            </w:r>
          </w:p>
        </w:tc>
        <w:tc>
          <w:tcPr>
            <w:tcW w:w="8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5"/>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Additions to property, plant and equipment</w:t>
            </w:r>
          </w:p>
        </w:tc>
        <w:tc>
          <w:tcPr>
            <w:tcW w:w="8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(58,947)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(44,242)</w:t>
            </w: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sale and disposal of fixed assets</w:t>
            </w:r>
          </w:p>
        </w:tc>
        <w:tc>
          <w:tcPr>
            <w:tcW w:w="8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4,321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798</w:t>
            </w:r>
          </w:p>
        </w:tc>
      </w:tr>
      <w:tr>
        <w:trPr>
          <w:trHeight w:val="275"/>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8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w:t>
            </w: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Additions to intangible assets including costs to obtain or renew permits</w:t>
            </w:r>
          </w:p>
        </w:tc>
        <w:tc>
          <w:tcPr>
            <w:tcW w:w="8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w:t>
            </w:r>
          </w:p>
        </w:tc>
      </w:tr>
      <w:tr>
        <w:trPr>
          <w:trHeight w:val="275"/>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sale of available-for-sale securities</w:t>
            </w:r>
          </w:p>
        </w:tc>
        <w:tc>
          <w:tcPr>
            <w:tcW w:w="8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8,600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3,264</w:t>
            </w:r>
          </w:p>
        </w:tc>
      </w:tr>
      <w:tr>
        <w:trPr>
          <w:trHeight w:val="265"/>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8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(12,941)</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(3,003)</w:t>
            </w:r>
          </w:p>
        </w:tc>
      </w:tr>
      <w:tr>
        <w:trPr>
          <w:trHeight w:val="255"/>
        </w:trPr>
        <w:tc>
          <w:tcPr>
            <w:tcW w:w="8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(74,969)</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(164,428)</w:t>
            </w:r>
          </w:p>
        </w:tc>
      </w:tr>
      <w:tr>
        <w:trPr>
          <w:trHeight w:val="259"/>
        </w:trPr>
        <w:tc>
          <w:tcPr>
            <w:tcW w:w="8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flows used in financing activities:</w:t>
            </w:r>
          </w:p>
        </w:tc>
        <w:tc>
          <w:tcPr>
            <w:tcW w:w="8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5"/>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in uncashed checks</w:t>
            </w:r>
          </w:p>
        </w:tc>
        <w:tc>
          <w:tcPr>
            <w:tcW w:w="8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(3,843)</w:t>
            </w: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Tax payments related to withholdings on vested restricted stock</w:t>
            </w:r>
          </w:p>
        </w:tc>
        <w:tc>
          <w:tcPr>
            <w:tcW w:w="8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r>
      <w:tr>
        <w:trPr>
          <w:trHeight w:val="275"/>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8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(14,264)</w:t>
            </w: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Payments on finance lease</w:t>
            </w:r>
          </w:p>
        </w:tc>
        <w:tc>
          <w:tcPr>
            <w:tcW w:w="8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Principal payments on debt</w:t>
            </w:r>
          </w:p>
        </w:tc>
        <w:tc>
          <w:tcPr>
            <w:tcW w:w="8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50"/>
        </w:trPr>
        <w:tc>
          <w:tcPr>
            <w:tcW w:w="82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8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(15,368)</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(19,655)</w:t>
            </w:r>
          </w:p>
        </w:tc>
      </w:tr>
      <w:tr>
        <w:trPr>
          <w:trHeight w:val="25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Effect of exchange rate change on cash</w:t>
            </w:r>
          </w:p>
        </w:tc>
        <w:tc>
          <w:tcPr>
            <w:tcW w:w="8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1,461</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w:t>
            </w:r>
          </w:p>
        </w:tc>
      </w:tr>
      <w:tr>
        <w:trPr>
          <w:trHeight w:val="250"/>
        </w:trPr>
        <w:tc>
          <w:tcPr>
            <w:tcW w:w="8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Decrease in cash and cash equivalents</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(133,047)</w:t>
            </w:r>
          </w:p>
        </w:tc>
      </w:tr>
      <w:tr>
        <w:trPr>
          <w:trHeight w:val="27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8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226,507</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319,399</w:t>
            </w:r>
          </w:p>
        </w:tc>
      </w:tr>
      <w:tr>
        <w:trPr>
          <w:trHeight w:val="282"/>
        </w:trPr>
        <w:tc>
          <w:tcPr>
            <w:tcW w:w="8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88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167,371</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186,352</w:t>
            </w:r>
          </w:p>
        </w:tc>
      </w:tr>
      <w:tr>
        <w:trPr>
          <w:trHeight w:val="251"/>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Supplemental information:</w:t>
            </w:r>
          </w:p>
        </w:tc>
        <w:tc>
          <w:tcPr>
            <w:tcW w:w="8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65"/>
        </w:trPr>
        <w:tc>
          <w:tcPr>
            <w:tcW w:w="8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payments for interest and income taxes:</w:t>
            </w:r>
          </w:p>
        </w:tc>
        <w:tc>
          <w:tcPr>
            <w:tcW w:w="8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5"/>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 paid</w:t>
            </w:r>
          </w:p>
        </w:tc>
        <w:tc>
          <w:tcPr>
            <w:tcW w:w="88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8,712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14,676</w:t>
            </w: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taxes paid</w:t>
            </w:r>
          </w:p>
        </w:tc>
        <w:tc>
          <w:tcPr>
            <w:tcW w:w="8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967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1,999</w:t>
            </w:r>
          </w:p>
        </w:tc>
      </w:tr>
      <w:tr>
        <w:trPr>
          <w:trHeight w:val="275"/>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8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5"/>
        </w:trPr>
        <w:tc>
          <w:tcPr>
            <w:tcW w:w="82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8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13,554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8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Operating cash flows from finance lease</w:t>
            </w:r>
          </w:p>
        </w:tc>
        <w:tc>
          <w:tcPr>
            <w:tcW w:w="8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82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Financing cash flows from finance lease</w:t>
            </w:r>
          </w:p>
        </w:tc>
        <w:tc>
          <w:tcPr>
            <w:tcW w:w="8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investing activities:</w:t>
            </w:r>
          </w:p>
        </w:tc>
        <w:tc>
          <w:tcPr>
            <w:tcW w:w="8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Property, plant and equipment accrued</w:t>
            </w:r>
          </w:p>
        </w:tc>
        <w:tc>
          <w:tcPr>
            <w:tcW w:w="8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13,002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17,911</w:t>
            </w:r>
          </w:p>
        </w:tc>
      </w:tr>
      <w:tr>
        <w:trPr>
          <w:trHeight w:val="275"/>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ROU assets obtained in exchange for new operating lease liabilities</w:t>
            </w:r>
          </w:p>
        </w:tc>
        <w:tc>
          <w:tcPr>
            <w:tcW w:w="8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0"/>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ROU asset obtained in exchange for new finance lease liability</w:t>
            </w:r>
          </w:p>
        </w:tc>
        <w:tc>
          <w:tcPr>
            <w:tcW w:w="8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23,027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bl>
    <w:p>
      <w:pPr>
        <w:spacing w:after="0" w:line="46" w:lineRule="exact"/>
        <w:rPr>
          <w:sz w:val="20"/>
          <w:szCs w:val="20"/>
          <w:color w:val="auto"/>
        </w:rPr>
      </w:pPr>
    </w:p>
    <w:p>
      <w:pPr>
        <w:sectPr>
          <w:pgSz w:w="11900" w:h="16838" w:orient="portrait"/>
          <w:cols w:equalWidth="0" w:num="1">
            <w:col w:w="11360"/>
          </w:cols>
          <w:pgMar w:left="240" w:top="121" w:right="299" w:bottom="0" w:gutter="0" w:footer="0" w:header="0"/>
        </w:sectPr>
      </w:pPr>
    </w:p>
    <w:p>
      <w:pPr>
        <w:jc w:val="center"/>
        <w:ind w:right="-7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consolidated financial statements.</w:t>
      </w:r>
    </w:p>
    <w:p>
      <w:pPr>
        <w:sectPr>
          <w:pgSz w:w="11900" w:h="16838" w:orient="portrait"/>
          <w:cols w:equalWidth="0" w:num="1">
            <w:col w:w="11360"/>
          </w:cols>
          <w:pgMar w:left="240" w:top="121" w:right="299" w:bottom="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019"/>
          </w:cols>
          <w:pgMar w:left="1440" w:top="121"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10"/>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 Period Ended March 31, 2019</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5260" w:type="dxa"/>
            <w:vAlign w:val="bottom"/>
          </w:tcPr>
          <w:p>
            <w:pPr>
              <w:spacing w:after="0"/>
              <w:rPr>
                <w:sz w:val="22"/>
                <w:szCs w:val="22"/>
                <w:color w:val="auto"/>
              </w:rPr>
            </w:pPr>
          </w:p>
        </w:tc>
        <w:tc>
          <w:tcPr>
            <w:tcW w:w="20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5260" w:type="dxa"/>
            <w:vAlign w:val="bottom"/>
          </w:tcPr>
          <w:p>
            <w:pPr>
              <w:spacing w:after="0"/>
              <w:rPr>
                <w:sz w:val="13"/>
                <w:szCs w:val="13"/>
                <w:color w:val="auto"/>
              </w:rPr>
            </w:pPr>
          </w:p>
        </w:tc>
        <w:tc>
          <w:tcPr>
            <w:tcW w:w="1040" w:type="dxa"/>
            <w:vAlign w:val="bottom"/>
            <w:tcBorders>
              <w:top w:val="single" w:sz="8" w:color="auto"/>
            </w:tcBorders>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center"/>
              <w:ind w:right="116"/>
              <w:spacing w:after="0" w:line="151" w:lineRule="exact"/>
              <w:rPr>
                <w:sz w:val="20"/>
                <w:szCs w:val="20"/>
                <w:color w:val="auto"/>
              </w:rPr>
            </w:pPr>
            <w:r>
              <w:rPr>
                <w:rFonts w:ascii="Times New Roman" w:cs="Times New Roman" w:eastAsia="Times New Roman" w:hAnsi="Times New Roman"/>
                <w:sz w:val="14"/>
                <w:szCs w:val="14"/>
                <w:b w:val="1"/>
                <w:bCs w:val="1"/>
                <w:color w:val="auto"/>
              </w:rPr>
              <w:t>$ 0.01</w:t>
            </w:r>
          </w:p>
        </w:tc>
        <w:tc>
          <w:tcPr>
            <w:tcW w:w="120" w:type="dxa"/>
            <w:vAlign w:val="bottom"/>
          </w:tcPr>
          <w:p>
            <w:pPr>
              <w:spacing w:after="0"/>
              <w:rPr>
                <w:sz w:val="13"/>
                <w:szCs w:val="13"/>
                <w:color w:val="auto"/>
              </w:rPr>
            </w:pPr>
          </w:p>
        </w:tc>
        <w:tc>
          <w:tcPr>
            <w:tcW w:w="92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940" w:type="dxa"/>
            <w:vAlign w:val="bottom"/>
            <w:gridSpan w:val="2"/>
          </w:tcPr>
          <w:p>
            <w:pPr>
              <w:jc w:val="center"/>
              <w:ind w:right="340"/>
              <w:spacing w:after="0" w:line="151" w:lineRule="exact"/>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8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3"/>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2"/>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January 1, 2019</w:t>
            </w:r>
          </w:p>
        </w:tc>
        <w:tc>
          <w:tcPr>
            <w:tcW w:w="9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55,847</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Pr>
          <w:p>
            <w:pPr>
              <w:spacing w:after="0"/>
              <w:rPr>
                <w:sz w:val="21"/>
                <w:szCs w:val="21"/>
                <w:color w:val="auto"/>
              </w:rPr>
            </w:pPr>
          </w:p>
        </w:tc>
        <w:tc>
          <w:tcPr>
            <w:tcW w:w="8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$655,415</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(223,371)</w:t>
            </w:r>
          </w:p>
        </w:tc>
        <w:tc>
          <w:tcPr>
            <w:tcW w:w="100" w:type="dxa"/>
            <w:vAlign w:val="bottom"/>
          </w:tcPr>
          <w:p>
            <w:pPr>
              <w:spacing w:after="0"/>
              <w:rPr>
                <w:sz w:val="21"/>
                <w:szCs w:val="21"/>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737,154</w:t>
            </w:r>
          </w:p>
        </w:tc>
        <w:tc>
          <w:tcPr>
            <w:tcW w:w="120" w:type="dxa"/>
            <w:vAlign w:val="bottom"/>
          </w:tcPr>
          <w:p>
            <w:pPr>
              <w:spacing w:after="0"/>
              <w:rPr>
                <w:sz w:val="21"/>
                <w:szCs w:val="21"/>
                <w:color w:val="auto"/>
              </w:rPr>
            </w:pPr>
          </w:p>
        </w:tc>
        <w:tc>
          <w:tcPr>
            <w:tcW w:w="10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$ 1,169,756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4,024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5,809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5,809</w:t>
            </w:r>
          </w:p>
        </w:tc>
        <w:tc>
          <w:tcPr>
            <w:tcW w:w="0" w:type="dxa"/>
            <w:vAlign w:val="bottom"/>
          </w:tcPr>
          <w:p>
            <w:pPr>
              <w:spacing w:after="0"/>
              <w:rPr>
                <w:sz w:val="1"/>
                <w:szCs w:val="1"/>
                <w:color w:val="auto"/>
              </w:rPr>
            </w:pPr>
          </w:p>
        </w:tc>
      </w:tr>
      <w:tr>
        <w:trPr>
          <w:trHeight w:val="225"/>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restricted shares, net of shares remitted and tax</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withholdings</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March 31, 2019</w:t>
            </w:r>
          </w:p>
        </w:tc>
        <w:tc>
          <w:tcPr>
            <w:tcW w:w="9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55,828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$652,624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(219,347)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738,130</w:t>
            </w:r>
          </w:p>
        </w:tc>
        <w:tc>
          <w:tcPr>
            <w:tcW w:w="1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$ 1,171,965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9"/>
        </w:trPr>
        <w:tc>
          <w:tcPr>
            <w:tcW w:w="52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10"/>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 Period Ended March 31, 2018</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260" w:type="dxa"/>
            <w:vAlign w:val="bottom"/>
          </w:tcPr>
          <w:p>
            <w:pPr>
              <w:spacing w:after="0"/>
              <w:rPr>
                <w:sz w:val="22"/>
                <w:szCs w:val="22"/>
                <w:color w:val="auto"/>
              </w:rPr>
            </w:pPr>
          </w:p>
        </w:tc>
        <w:tc>
          <w:tcPr>
            <w:tcW w:w="20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5260" w:type="dxa"/>
            <w:vAlign w:val="bottom"/>
          </w:tcPr>
          <w:p>
            <w:pPr>
              <w:spacing w:after="0"/>
              <w:rPr>
                <w:sz w:val="13"/>
                <w:szCs w:val="13"/>
                <w:color w:val="auto"/>
              </w:rPr>
            </w:pPr>
          </w:p>
        </w:tc>
        <w:tc>
          <w:tcPr>
            <w:tcW w:w="1040" w:type="dxa"/>
            <w:vAlign w:val="bottom"/>
            <w:tcBorders>
              <w:top w:val="single" w:sz="8" w:color="auto"/>
            </w:tcBorders>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center"/>
              <w:ind w:right="116"/>
              <w:spacing w:after="0" w:line="151" w:lineRule="exact"/>
              <w:rPr>
                <w:sz w:val="20"/>
                <w:szCs w:val="20"/>
                <w:color w:val="auto"/>
              </w:rPr>
            </w:pPr>
            <w:r>
              <w:rPr>
                <w:rFonts w:ascii="Times New Roman" w:cs="Times New Roman" w:eastAsia="Times New Roman" w:hAnsi="Times New Roman"/>
                <w:sz w:val="14"/>
                <w:szCs w:val="14"/>
                <w:b w:val="1"/>
                <w:bCs w:val="1"/>
                <w:color w:val="auto"/>
              </w:rPr>
              <w:t>$ 0.01</w:t>
            </w:r>
          </w:p>
        </w:tc>
        <w:tc>
          <w:tcPr>
            <w:tcW w:w="120" w:type="dxa"/>
            <w:vAlign w:val="bottom"/>
          </w:tcPr>
          <w:p>
            <w:pPr>
              <w:spacing w:after="0"/>
              <w:rPr>
                <w:sz w:val="13"/>
                <w:szCs w:val="13"/>
                <w:color w:val="auto"/>
              </w:rPr>
            </w:pPr>
          </w:p>
        </w:tc>
        <w:tc>
          <w:tcPr>
            <w:tcW w:w="92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940" w:type="dxa"/>
            <w:vAlign w:val="bottom"/>
            <w:gridSpan w:val="2"/>
          </w:tcPr>
          <w:p>
            <w:pPr>
              <w:jc w:val="center"/>
              <w:ind w:right="340"/>
              <w:spacing w:after="0" w:line="151" w:lineRule="exact"/>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8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3"/>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2"/>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January 1, 2018</w:t>
            </w:r>
          </w:p>
        </w:tc>
        <w:tc>
          <w:tcPr>
            <w:tcW w:w="9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56,501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Pr>
          <w:p>
            <w:pPr>
              <w:spacing w:after="0"/>
              <w:rPr>
                <w:sz w:val="21"/>
                <w:szCs w:val="21"/>
                <w:color w:val="auto"/>
              </w:rPr>
            </w:pPr>
          </w:p>
        </w:tc>
        <w:tc>
          <w:tcPr>
            <w:tcW w:w="8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$686,962</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(172,407)</w:t>
            </w:r>
          </w:p>
        </w:tc>
        <w:tc>
          <w:tcPr>
            <w:tcW w:w="100" w:type="dxa"/>
            <w:vAlign w:val="bottom"/>
          </w:tcPr>
          <w:p>
            <w:pPr>
              <w:spacing w:after="0"/>
              <w:rPr>
                <w:sz w:val="21"/>
                <w:szCs w:val="21"/>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673,082</w:t>
            </w:r>
          </w:p>
        </w:tc>
        <w:tc>
          <w:tcPr>
            <w:tcW w:w="120" w:type="dxa"/>
            <w:vAlign w:val="bottom"/>
          </w:tcPr>
          <w:p>
            <w:pPr>
              <w:spacing w:after="0"/>
              <w:rPr>
                <w:sz w:val="21"/>
                <w:szCs w:val="21"/>
                <w:color w:val="auto"/>
              </w:rPr>
            </w:pPr>
          </w:p>
        </w:tc>
        <w:tc>
          <w:tcPr>
            <w:tcW w:w="10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$ 1,188,202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effect of change in accounting principle</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(12,631)</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(16,746)</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3,077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restricted shares, net of shares remitted and tax</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withholdings</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 2018</w:t>
            </w: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56,245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$675,230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658,887</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$ 1,145,526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0"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right="60" w:firstLine="621"/>
        <w:spacing w:after="0" w:line="255" w:lineRule="auto"/>
        <w:rPr>
          <w:sz w:val="20"/>
          <w:szCs w:val="20"/>
          <w:color w:val="auto"/>
        </w:rPr>
      </w:pPr>
      <w:r>
        <w:rPr>
          <w:rFonts w:ascii="Times New Roman" w:cs="Times New Roman" w:eastAsia="Times New Roman" w:hAnsi="Times New Roman"/>
          <w:sz w:val="18"/>
          <w:szCs w:val="18"/>
          <w:color w:val="auto"/>
        </w:rPr>
        <w:t>The accompanying consolidated interim financial statements are unaudited and include the accounts of Clean Harbors, Inc. and its subsidiaries (collectively, “Clean Harbors,” the “Company” or "we") and have been prepared pursuant to the rules and regulations of the Securities and Exchange Commission (the “SEC”) and, in the opinion of management, include all adjustments which are of a normal recurring nature, necessary for a fair presentation of the financial position, results of operations and cash flows for the periods presented. Management has made estimates and assumptions affecting the amounts reported in the Company's consolidated interim financial statements and accompanying footnotes, actual results could differ from those estimates and judgments. The results for interim periods are not necessarily indicative of results for the entire year or any other interim periods. The financial statements presented herein should be read in connection with the financial statements included in the Company’s Annual Report on Form 10-K for the year ended December 31, 2018.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5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"Significant Accounting Policies," and Note 3, "Revenues," in the Company's Annual Report on Form 10-K for the year ended December 31, 2018. There have been no material changes in these policies or their application except for the changes described below.</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Standards implemented</w:t>
      </w:r>
    </w:p>
    <w:p>
      <w:pPr>
        <w:spacing w:after="0" w:line="25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The amendment increases transparency and comparability among organizations by recognizing lease assets and lease liabilities on the balance sheet and disclosing key information about leasing arrangements. The Company adopted Topic 842 on January 1, 2019 using the modified retrospective method of adoption. Prior period amounts have not been adjusted and continue to be reported in accordance with the Company's historical accounting methodology pursuant to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 permitted under the transition guidance, the Company elected to apply the package of three practical expedients for all existing leases which, among other things, allowed us to maintain the lease classification for all existing leases at the adoption date. The adoption of Topic 842 resulted in the recognition of right-of-use (“ROU”) assets of $185.5 million and total current and noncurrent lease liabilities of $188.5 million at adoption. Additionally, Topic 842 required new and expanded disclosures to enable users of financial statements to assess the amount, timing and uncertainty of cash flows arising from leases. The standard did not have a material impact on the consolidated statements of operations or cash flows.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6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Company’s leases predominately relate to real estate and equipment such as vehicles and industrial equipment utilized in operations as well as rail cars utilized in connection with the Company’s transportation needs. Contracts are reviewed at inception to determine if the arrangement is a lease and, if so, whether it is an operating or finance lease. For all of its leases, the Company has elected not to separate lease and nonlease components, such as common area maintenance.</w:t>
      </w:r>
    </w:p>
    <w:p>
      <w:pPr>
        <w:spacing w:after="0" w:line="72" w:lineRule="exact"/>
        <w:rPr>
          <w:sz w:val="20"/>
          <w:szCs w:val="20"/>
          <w:color w:val="auto"/>
        </w:rPr>
      </w:pPr>
    </w:p>
    <w:p>
      <w:pPr>
        <w:ind w:right="320" w:firstLine="648"/>
        <w:spacing w:after="0" w:line="277" w:lineRule="auto"/>
        <w:rPr>
          <w:sz w:val="20"/>
          <w:szCs w:val="20"/>
          <w:color w:val="auto"/>
        </w:rPr>
      </w:pPr>
      <w:r>
        <w:rPr>
          <w:rFonts w:ascii="Times New Roman" w:cs="Times New Roman" w:eastAsia="Times New Roman" w:hAnsi="Times New Roman"/>
          <w:sz w:val="17"/>
          <w:szCs w:val="17"/>
          <w:color w:val="auto"/>
        </w:rPr>
        <w:t>The Company generally enters into real estate leases with five to ten-year terms and non-real estate leases with two to seven-year terms. In the normal course of business, the Company also enters into short-term leases having terms of less than one-year. These leases are generally equipment leases entered into for short periods of time (e.g. daily, weekly or monthly), and done so to satisfy immediate and/or short-term operational needs of the business which can arise based upon the nature of particular services performed or seasonality factors. The Company has elected not to recognize ROU assets and lease liabilities for these short-term leases. Expense for all such short-term leases is disclosed as short-term lease cost as shown in Note 17, "Leases."</w:t>
      </w:r>
    </w:p>
    <w:p>
      <w:pPr>
        <w:spacing w:after="0" w:line="6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Operating and finance leases with terms exceeding one year are recognized as ROU assets and lease liabilities and measured based on the present value of the future lease payments over the lease term at commencement date. When applicable, the ROU asset includes any lease payments made at or before the commencement date and initial direct costs incurred and is reduced by lease incentives received under the lease agreement, if any.</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of the Company's real estate leases contain escalating future lease payments. Escalating lease payments that are based upon explicit amounts contained in the lease or an index (e.g., consumer price index) are included in its determination of future lease payments to determine the ROU asset and lease liability recognized at the commencement date. Any differences in the future lease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payments from initial recognition are not anticipated to be material and will be recorded as variable lease cost in the period incurred. The variable lease cost will also include the Company’s portion of property tax, utilities and common area maintenance. A significant portion of the Company’s real estate lease agreements include renewal periods at the Company’s option. The Company includes these renewal periods in the lease term only when renewal is reasonably certain based upon facts and circumstances specific to the lease and known by the Company. The Company uses its incremental borrowing rate on collateralized debt based on the information available at the lease commencement date in determining the present value of future lease payments as the implicit rate is typically not readily determinable.</w:t>
      </w:r>
    </w:p>
    <w:p>
      <w:pPr>
        <w:spacing w:after="0" w:line="103" w:lineRule="exact"/>
        <w:rPr>
          <w:sz w:val="20"/>
          <w:szCs w:val="20"/>
          <w:color w:val="auto"/>
        </w:rPr>
      </w:pPr>
    </w:p>
    <w:p>
      <w:pPr>
        <w:ind w:right="9780" w:firstLine="8"/>
        <w:spacing w:after="0" w:line="393" w:lineRule="auto"/>
        <w:tabs>
          <w:tab w:leader="none" w:pos="2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 Revenue Recognition</w:t>
      </w:r>
    </w:p>
    <w:p>
      <w:pPr>
        <w:spacing w:after="0" w:line="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generates services and product revenues through the following operating segments: Environmental Services and Safety-Kleen. The Company recognizes revenue when control of the promised goods or services is transferred to the Company's customers, in an amount that reflects the consideration the Company expects to be entitled to in exchange for those goods or services. Product revenues are recognized when the products are delivered and control transfers to the customer.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Goods and Services</w:t>
      </w:r>
    </w:p>
    <w:p>
      <w:pPr>
        <w:spacing w:after="0" w:line="121"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majority of the Company’s contracts are for services, which are recognized based on time and materials incurred at contractually agreed-upon rates. The Company’s payment terms vary by the type and location of its customers and the products or services offered. The periods between invoicing and when payments are due are not significant. Any amounts billed to customers related to shipping and handling are classified as revenue and the Company's shipping and handling costs are included in costs of revenues. In the course of the Company's operations, it collects sales tax and other excise taxes from its customers and recognizes a current liability which is then relieved when the taxes are remitted to the appropriate governmental authorities. The Company excludes sales and other excise taxes that it collects from customers from its revenues.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third-party revenues disaggregated by revenue source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2019</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Environmental Services</w:t>
            </w:r>
          </w:p>
        </w:tc>
        <w:tc>
          <w:tcPr>
            <w:tcW w:w="240" w:type="dxa"/>
            <w:vAlign w:val="bottom"/>
          </w:tcPr>
          <w:p>
            <w:pPr>
              <w:spacing w:after="0"/>
              <w:rPr>
                <w:sz w:val="22"/>
                <w:szCs w:val="22"/>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Safety-Kleen</w:t>
            </w:r>
          </w:p>
        </w:tc>
        <w:tc>
          <w:tcPr>
            <w:tcW w:w="320" w:type="dxa"/>
            <w:vAlign w:val="bottom"/>
          </w:tcPr>
          <w:p>
            <w:pPr>
              <w:spacing w:after="0"/>
              <w:rPr>
                <w:sz w:val="22"/>
                <w:szCs w:val="22"/>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20" w:type="dxa"/>
            <w:vAlign w:val="bottom"/>
          </w:tcPr>
          <w:p>
            <w:pPr>
              <w:spacing w:after="0"/>
              <w:rPr>
                <w:sz w:val="22"/>
                <w:szCs w:val="22"/>
                <w:color w:val="auto"/>
              </w:rPr>
            </w:pPr>
          </w:p>
        </w:tc>
        <w:tc>
          <w:tcPr>
            <w:tcW w:w="128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20" w:type="dxa"/>
            <w:vAlign w:val="bottom"/>
            <w:tcBorders>
              <w:top w:val="single" w:sz="8" w:color="CCEEFF"/>
              <w:bottom w:val="single" w:sz="8" w:color="auto"/>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w w:val="98"/>
                <w:shd w:val="clear" w:color="auto" w:fill="CCEEFF"/>
              </w:rPr>
              <w:t>Primary Geographical Markets</w:t>
            </w:r>
          </w:p>
        </w:tc>
        <w:tc>
          <w:tcPr>
            <w:tcW w:w="17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240" w:type="dxa"/>
            <w:vAlign w:val="bottom"/>
            <w:tcBorders>
              <w:top w:val="single" w:sz="8" w:color="CCEEFF"/>
            </w:tcBorders>
            <w:gridSpan w:val="4"/>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CCEEFF"/>
            </w:tcBorders>
          </w:tcPr>
          <w:p>
            <w:pPr>
              <w:jc w:val="right"/>
              <w:ind w:right="31"/>
              <w:spacing w:after="0"/>
              <w:rPr>
                <w:sz w:val="20"/>
                <w:szCs w:val="20"/>
                <w:color w:val="auto"/>
              </w:rPr>
            </w:pPr>
            <w:r>
              <w:rPr>
                <w:rFonts w:ascii="Times New Roman" w:cs="Times New Roman" w:eastAsia="Times New Roman" w:hAnsi="Times New Roman"/>
                <w:sz w:val="18"/>
                <w:szCs w:val="18"/>
                <w:color w:val="auto"/>
              </w:rPr>
              <w:t>388,169</w:t>
            </w: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CCEEFF"/>
            </w:tcBorders>
          </w:tcPr>
          <w:p>
            <w:pPr>
              <w:jc w:val="right"/>
              <w:ind w:right="13"/>
              <w:spacing w:after="0"/>
              <w:rPr>
                <w:sz w:val="20"/>
                <w:szCs w:val="20"/>
                <w:color w:val="auto"/>
              </w:rPr>
            </w:pPr>
            <w:r>
              <w:rPr>
                <w:rFonts w:ascii="Times New Roman" w:cs="Times New Roman" w:eastAsia="Times New Roman" w:hAnsi="Times New Roman"/>
                <w:sz w:val="18"/>
                <w:szCs w:val="18"/>
                <w:color w:val="auto"/>
              </w:rPr>
              <w:t>286,574</w:t>
            </w:r>
          </w:p>
        </w:tc>
        <w:tc>
          <w:tcPr>
            <w:tcW w:w="1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color w:val="auto"/>
              </w:rPr>
              <w:t>675,337</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Canada</w:t>
            </w:r>
          </w:p>
        </w:tc>
        <w:tc>
          <w:tcPr>
            <w:tcW w:w="2700" w:type="dxa"/>
            <w:vAlign w:val="bottom"/>
            <w:tcBorders>
              <w:bottom w:val="single" w:sz="8" w:color="CCEEFF"/>
            </w:tcBorders>
            <w:gridSpan w:val="2"/>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85,529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19,973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105,502</w:t>
            </w:r>
          </w:p>
        </w:tc>
      </w:tr>
      <w:tr>
        <w:trPr>
          <w:trHeight w:val="237"/>
        </w:trPr>
        <w:tc>
          <w:tcPr>
            <w:tcW w:w="4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473,698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306,547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780,839</w:t>
            </w:r>
          </w:p>
        </w:tc>
      </w:tr>
      <w:tr>
        <w:trPr>
          <w:trHeight w:val="27"/>
        </w:trPr>
        <w:tc>
          <w:tcPr>
            <w:tcW w:w="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03"/>
        </w:trPr>
        <w:tc>
          <w:tcPr>
            <w:tcW w:w="424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7"/>
                <w:szCs w:val="17"/>
                <w:b w:val="1"/>
                <w:bCs w:val="1"/>
                <w:color w:val="auto"/>
              </w:rPr>
              <w:t xml:space="preserve">Sources of Revenue </w:t>
            </w:r>
            <w:r>
              <w:rPr>
                <w:rFonts w:ascii="Times New Roman" w:cs="Times New Roman" w:eastAsia="Times New Roman" w:hAnsi="Times New Roman"/>
                <w:sz w:val="23"/>
                <w:szCs w:val="23"/>
                <w:b w:val="1"/>
                <w:bCs w:val="1"/>
                <w:color w:val="auto"/>
                <w:vertAlign w:val="superscript"/>
              </w:rPr>
              <w:t>(1)</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Technical Services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251,919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251,919</w:t>
            </w:r>
          </w:p>
        </w:tc>
      </w:tr>
      <w:tr>
        <w:trPr>
          <w:trHeight w:val="243"/>
        </w:trPr>
        <w:tc>
          <w:tcPr>
            <w:tcW w:w="4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12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71,626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71,626</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Industrial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116,098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116,098</w:t>
            </w:r>
          </w:p>
        </w:tc>
      </w:tr>
      <w:tr>
        <w:trPr>
          <w:trHeight w:val="243"/>
        </w:trPr>
        <w:tc>
          <w:tcPr>
            <w:tcW w:w="4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Oil, Gas and Lodging Services and Other</w:t>
            </w:r>
          </w:p>
        </w:tc>
        <w:tc>
          <w:tcPr>
            <w:tcW w:w="12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34,055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34,649</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207,083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207,083</w:t>
            </w:r>
          </w:p>
        </w:tc>
      </w:tr>
      <w:tr>
        <w:trPr>
          <w:trHeight w:val="270"/>
        </w:trPr>
        <w:tc>
          <w:tcPr>
            <w:tcW w:w="4240" w:type="dxa"/>
            <w:vAlign w:val="bottom"/>
            <w:gridSpan w:val="4"/>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Safety-Kleen Oil </w:t>
            </w:r>
            <w:r>
              <w:rPr>
                <w:rFonts w:ascii="Times New Roman" w:cs="Times New Roman" w:eastAsia="Times New Roman" w:hAnsi="Times New Roman"/>
                <w:sz w:val="25"/>
                <w:szCs w:val="25"/>
                <w:color w:val="auto"/>
                <w:vertAlign w:val="superscript"/>
              </w:rPr>
              <w:t>(2)</w:t>
            </w:r>
          </w:p>
        </w:tc>
        <w:tc>
          <w:tcPr>
            <w:tcW w:w="120" w:type="dxa"/>
            <w:vAlign w:val="bottom"/>
          </w:tcPr>
          <w:p>
            <w:pPr>
              <w:spacing w:after="0"/>
              <w:rPr>
                <w:sz w:val="23"/>
                <w:szCs w:val="23"/>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99,464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99,464</w:t>
            </w:r>
          </w:p>
        </w:tc>
      </w:tr>
      <w:tr>
        <w:trPr>
          <w:trHeight w:val="264"/>
        </w:trPr>
        <w:tc>
          <w:tcPr>
            <w:tcW w:w="4240" w:type="dxa"/>
            <w:vAlign w:val="bottom"/>
            <w:tcBorders>
              <w:top w:val="single" w:sz="8" w:color="CCEEFF"/>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473,698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306,547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780,839</w:t>
            </w:r>
          </w:p>
        </w:tc>
      </w:tr>
      <w:tr>
        <w:trPr>
          <w:trHeight w:val="669"/>
        </w:trPr>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2018</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Environmental Services</w:t>
            </w:r>
          </w:p>
        </w:tc>
        <w:tc>
          <w:tcPr>
            <w:tcW w:w="220" w:type="dxa"/>
            <w:vAlign w:val="bottom"/>
          </w:tcPr>
          <w:p>
            <w:pPr>
              <w:spacing w:after="0"/>
              <w:rPr>
                <w:sz w:val="22"/>
                <w:szCs w:val="22"/>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Safety-Kleen</w:t>
            </w:r>
          </w:p>
        </w:tc>
        <w:tc>
          <w:tcPr>
            <w:tcW w:w="320" w:type="dxa"/>
            <w:vAlign w:val="bottom"/>
          </w:tcPr>
          <w:p>
            <w:pPr>
              <w:spacing w:after="0"/>
              <w:rPr>
                <w:sz w:val="22"/>
                <w:szCs w:val="22"/>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00" w:type="dxa"/>
            <w:vAlign w:val="bottom"/>
          </w:tcPr>
          <w:p>
            <w:pPr>
              <w:spacing w:after="0"/>
              <w:rPr>
                <w:sz w:val="22"/>
                <w:szCs w:val="22"/>
                <w:color w:val="auto"/>
              </w:rPr>
            </w:pPr>
          </w:p>
        </w:tc>
        <w:tc>
          <w:tcPr>
            <w:tcW w:w="130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4"/>
        </w:trPr>
        <w:tc>
          <w:tcPr>
            <w:tcW w:w="40" w:type="dxa"/>
            <w:vAlign w:val="bottom"/>
            <w:tcBorders>
              <w:right w:val="single" w:sz="8" w:color="CCEEFF"/>
            </w:tcBorders>
          </w:tcPr>
          <w:p>
            <w:pPr>
              <w:spacing w:after="0"/>
              <w:rPr>
                <w:sz w:val="21"/>
                <w:szCs w:val="21"/>
                <w:color w:val="auto"/>
              </w:rPr>
            </w:pPr>
          </w:p>
        </w:tc>
        <w:tc>
          <w:tcPr>
            <w:tcW w:w="2440" w:type="dxa"/>
            <w:vAlign w:val="bottom"/>
            <w:tcBorders>
              <w:top w:val="single" w:sz="8" w:color="CCEEFF"/>
              <w:bottom w:val="single" w:sz="8" w:color="auto"/>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w w:val="99"/>
                <w:shd w:val="clear" w:color="auto" w:fill="CCEEFF"/>
              </w:rPr>
              <w:t>Primary Geographical Markets</w:t>
            </w: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0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CCEEFF"/>
            </w:tcBorders>
          </w:tcPr>
          <w:p>
            <w:pPr>
              <w:jc w:val="right"/>
              <w:ind w:right="52"/>
              <w:spacing w:after="0"/>
              <w:rPr>
                <w:sz w:val="20"/>
                <w:szCs w:val="20"/>
                <w:color w:val="auto"/>
              </w:rPr>
            </w:pPr>
            <w:r>
              <w:rPr>
                <w:rFonts w:ascii="Times New Roman" w:cs="Times New Roman" w:eastAsia="Times New Roman" w:hAnsi="Times New Roman"/>
                <w:sz w:val="18"/>
                <w:szCs w:val="18"/>
                <w:color w:val="auto"/>
              </w:rPr>
              <w:t>343,972</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CCEEFF"/>
            </w:tcBorders>
          </w:tcPr>
          <w:p>
            <w:pPr>
              <w:jc w:val="right"/>
              <w:ind w:right="33"/>
              <w:spacing w:after="0"/>
              <w:rPr>
                <w:sz w:val="20"/>
                <w:szCs w:val="20"/>
                <w:color w:val="auto"/>
              </w:rPr>
            </w:pPr>
            <w:r>
              <w:rPr>
                <w:rFonts w:ascii="Times New Roman" w:cs="Times New Roman" w:eastAsia="Times New Roman" w:hAnsi="Times New Roman"/>
                <w:sz w:val="18"/>
                <w:szCs w:val="18"/>
                <w:color w:val="auto"/>
              </w:rPr>
              <w:t>287,642</w:t>
            </w: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rPr>
              <w:t>631,759</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Canada</w:t>
            </w:r>
          </w:p>
        </w:tc>
        <w:tc>
          <w:tcPr>
            <w:tcW w:w="2700" w:type="dxa"/>
            <w:vAlign w:val="bottom"/>
            <w:tcBorders>
              <w:bottom w:val="single" w:sz="8" w:color="CCEEFF"/>
            </w:tcBorders>
            <w:gridSpan w:val="2"/>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95,716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22,276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118,019</w:t>
            </w:r>
          </w:p>
        </w:tc>
      </w:tr>
      <w:tr>
        <w:trPr>
          <w:trHeight w:val="237"/>
        </w:trPr>
        <w:tc>
          <w:tcPr>
            <w:tcW w:w="40" w:type="dxa"/>
            <w:vAlign w:val="bottom"/>
          </w:tcPr>
          <w:p>
            <w:pPr>
              <w:spacing w:after="0"/>
              <w:rPr>
                <w:sz w:val="20"/>
                <w:szCs w:val="20"/>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439,688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309,918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749,778</w:t>
            </w:r>
          </w:p>
        </w:tc>
      </w:tr>
      <w:tr>
        <w:trPr>
          <w:trHeight w:val="27"/>
        </w:trPr>
        <w:tc>
          <w:tcPr>
            <w:tcW w:w="40" w:type="dxa"/>
            <w:vAlign w:val="bottom"/>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7"/>
        </w:trPr>
        <w:tc>
          <w:tcPr>
            <w:tcW w:w="40" w:type="dxa"/>
            <w:vAlign w:val="bottom"/>
            <w:tcBorders>
              <w:right w:val="single" w:sz="8" w:color="CCEEFF"/>
            </w:tcBorders>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4200" w:type="dxa"/>
            <w:vAlign w:val="bottom"/>
            <w:gridSpan w:val="3"/>
          </w:tcPr>
          <w:p>
            <w:pPr>
              <w:spacing w:after="0" w:line="202" w:lineRule="exact"/>
              <w:rPr>
                <w:sz w:val="20"/>
                <w:szCs w:val="20"/>
                <w:color w:val="auto"/>
              </w:rPr>
            </w:pPr>
            <w:r>
              <w:rPr>
                <w:rFonts w:ascii="Times New Roman" w:cs="Times New Roman" w:eastAsia="Times New Roman" w:hAnsi="Times New Roman"/>
                <w:sz w:val="17"/>
                <w:szCs w:val="17"/>
                <w:b w:val="1"/>
                <w:bCs w:val="1"/>
                <w:color w:val="auto"/>
              </w:rPr>
              <w:t xml:space="preserve">Sources of Revenue </w:t>
            </w:r>
            <w:r>
              <w:rPr>
                <w:rFonts w:ascii="Times New Roman" w:cs="Times New Roman" w:eastAsia="Times New Roman" w:hAnsi="Times New Roman"/>
                <w:sz w:val="23"/>
                <w:szCs w:val="23"/>
                <w:b w:val="1"/>
                <w:bCs w:val="1"/>
                <w:color w:val="auto"/>
                <w:vertAlign w:val="superscript"/>
              </w:rPr>
              <w:t>(1)</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236,306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236,306</w:t>
            </w:r>
          </w:p>
        </w:tc>
      </w:tr>
      <w:tr>
        <w:trPr>
          <w:trHeight w:val="243"/>
        </w:trPr>
        <w:tc>
          <w:tcPr>
            <w:tcW w:w="40" w:type="dxa"/>
            <w:vAlign w:val="bottom"/>
          </w:tcPr>
          <w:p>
            <w:pPr>
              <w:spacing w:after="0"/>
              <w:rPr>
                <w:sz w:val="21"/>
                <w:szCs w:val="21"/>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120" w:type="dxa"/>
            <w:vAlign w:val="bottom"/>
          </w:tcPr>
          <w:p>
            <w:pPr>
              <w:spacing w:after="0"/>
              <w:rPr>
                <w:sz w:val="21"/>
                <w:szCs w:val="21"/>
                <w:color w:val="auto"/>
              </w:rPr>
            </w:pP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69,935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69,935</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103,763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103,763</w:t>
            </w:r>
          </w:p>
        </w:tc>
      </w:tr>
      <w:tr>
        <w:trPr>
          <w:trHeight w:val="243"/>
        </w:trPr>
        <w:tc>
          <w:tcPr>
            <w:tcW w:w="40" w:type="dxa"/>
            <w:vAlign w:val="bottom"/>
          </w:tcPr>
          <w:p>
            <w:pPr>
              <w:spacing w:after="0"/>
              <w:rPr>
                <w:sz w:val="21"/>
                <w:szCs w:val="21"/>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Oil, Gas and Lodging Services and Other</w:t>
            </w:r>
          </w:p>
        </w:tc>
        <w:tc>
          <w:tcPr>
            <w:tcW w:w="120" w:type="dxa"/>
            <w:vAlign w:val="bottom"/>
          </w:tcPr>
          <w:p>
            <w:pPr>
              <w:spacing w:after="0"/>
              <w:rPr>
                <w:sz w:val="21"/>
                <w:szCs w:val="21"/>
                <w:color w:val="auto"/>
              </w:rPr>
            </w:pP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29,684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29,856</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194,161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194,161</w:t>
            </w:r>
          </w:p>
        </w:tc>
      </w:tr>
      <w:tr>
        <w:trPr>
          <w:trHeight w:val="270"/>
        </w:trPr>
        <w:tc>
          <w:tcPr>
            <w:tcW w:w="40" w:type="dxa"/>
            <w:vAlign w:val="bottom"/>
          </w:tcPr>
          <w:p>
            <w:pPr>
              <w:spacing w:after="0"/>
              <w:rPr>
                <w:sz w:val="23"/>
                <w:szCs w:val="23"/>
                <w:color w:val="auto"/>
              </w:rPr>
            </w:pPr>
          </w:p>
        </w:tc>
        <w:tc>
          <w:tcPr>
            <w:tcW w:w="4200" w:type="dxa"/>
            <w:vAlign w:val="bottom"/>
            <w:gridSpan w:val="3"/>
          </w:tcPr>
          <w:p>
            <w:pPr>
              <w:spacing w:after="0" w:line="270" w:lineRule="exact"/>
              <w:rPr>
                <w:sz w:val="20"/>
                <w:szCs w:val="20"/>
                <w:color w:val="auto"/>
              </w:rPr>
            </w:pPr>
            <w:r>
              <w:rPr>
                <w:rFonts w:ascii="Times New Roman" w:cs="Times New Roman" w:eastAsia="Times New Roman" w:hAnsi="Times New Roman"/>
                <w:sz w:val="18"/>
                <w:szCs w:val="18"/>
                <w:color w:val="auto"/>
              </w:rPr>
              <w:t xml:space="preserve">Safety-Kleen Oil </w:t>
            </w:r>
            <w:r>
              <w:rPr>
                <w:rFonts w:ascii="Times New Roman" w:cs="Times New Roman" w:eastAsia="Times New Roman" w:hAnsi="Times New Roman"/>
                <w:sz w:val="25"/>
                <w:szCs w:val="25"/>
                <w:color w:val="auto"/>
                <w:vertAlign w:val="superscript"/>
              </w:rPr>
              <w:t>(2)</w:t>
            </w:r>
          </w:p>
        </w:tc>
        <w:tc>
          <w:tcPr>
            <w:tcW w:w="120" w:type="dxa"/>
            <w:vAlign w:val="bottom"/>
          </w:tcPr>
          <w:p>
            <w:pPr>
              <w:spacing w:after="0"/>
              <w:rPr>
                <w:sz w:val="23"/>
                <w:szCs w:val="23"/>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115,757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115,757</w:t>
            </w:r>
          </w:p>
        </w:tc>
      </w:tr>
      <w:tr>
        <w:trPr>
          <w:trHeight w:val="264"/>
        </w:trPr>
        <w:tc>
          <w:tcPr>
            <w:tcW w:w="40" w:type="dxa"/>
            <w:vAlign w:val="bottom"/>
            <w:tcBorders>
              <w:right w:val="single" w:sz="8" w:color="CCEEFF"/>
            </w:tcBorders>
          </w:tcPr>
          <w:p>
            <w:pPr>
              <w:spacing w:after="0"/>
              <w:rPr>
                <w:sz w:val="22"/>
                <w:szCs w:val="22"/>
                <w:color w:val="auto"/>
              </w:rPr>
            </w:pPr>
          </w:p>
        </w:tc>
        <w:tc>
          <w:tcPr>
            <w:tcW w:w="42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439,688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309,918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749,778</w:t>
            </w:r>
          </w:p>
        </w:tc>
      </w:tr>
      <w:tr>
        <w:trPr>
          <w:trHeight w:val="211"/>
        </w:trPr>
        <w:tc>
          <w:tcPr>
            <w:tcW w:w="4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______________________</w:t>
            </w:r>
          </w:p>
        </w:tc>
        <w:tc>
          <w:tcPr>
            <w:tcW w:w="17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bl>
    <w:p>
      <w:pPr>
        <w:ind w:left="660" w:right="200" w:hanging="328"/>
        <w:spacing w:after="0" w:line="25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revenue except oil and oil product sales within Safety-Kleen Oil and product sales within Safety-Kleen Environmental Services, which include various automotive related fluids, shop supplies and direct blended oil sales, are recognized over time. Safety-Kleen Oil and Safety-Kleen Environmental Services product sales are recognized at a point in time.</w:t>
      </w:r>
    </w:p>
    <w:p>
      <w:pPr>
        <w:spacing w:after="0" w:line="1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Safety-Kleen Oil was formerly known as Kleen Performance Products.</w:t>
      </w:r>
    </w:p>
    <w:p>
      <w:pPr>
        <w:spacing w:after="0" w:line="14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Technical Services. </w:t>
      </w:r>
      <w:r>
        <w:rPr>
          <w:rFonts w:ascii="Times New Roman" w:cs="Times New Roman" w:eastAsia="Times New Roman" w:hAnsi="Times New Roman"/>
          <w:sz w:val="18"/>
          <w:szCs w:val="18"/>
          <w:color w:val="auto"/>
        </w:rPr>
        <w:t>Technical Services revenues are generated from fees charged for waste material management and disposal services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onsite environmental management services, collection and transportation, packaging, recycling, treatment and disposal of waste. Revenue is primarily generated by short-term projects, most of which are governed by master service agreements that are long-term in nature. These master service agreements are typically entered into with the Company's larger customers and outline the pricing and legal frameworks for such arrangements. Services are provided based on purchase orders or agreements with the customer and include prices based upon units of volume of waste and transportation and other fees.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Revenues for treatment and disposal of waste are recognized upon completion of treatment, final disposition in a landfill or incineration or when the waste is shipped to a third 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their relative standalone selling price (i.e., the estimated price that a customer would pay for the services on a standalone basis). Revenues from waste that is not yet completely processed and disposed and the related costs are deferred. The revenue is recognized and the deferred costs are expensed when the related services are completed. The period between collection and transportation and the final processing and disposal ranges depending on the location of the customer, but generally is measured in days.</w:t>
      </w:r>
    </w:p>
    <w:p>
      <w:pPr>
        <w:spacing w:after="0" w:line="10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Field and Emergency Response Services. </w:t>
      </w:r>
      <w:r>
        <w:rPr>
          <w:rFonts w:ascii="Times New Roman" w:cs="Times New Roman" w:eastAsia="Times New Roman" w:hAnsi="Times New Roman"/>
          <w:sz w:val="18"/>
          <w:szCs w:val="18"/>
          <w:color w:val="auto"/>
        </w:rPr>
        <w:t>Field Services revenues are generated from cleanup services at customer sites, including municipalities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utilities, or other locations on a scheduled or emergency response basis. Services include confined space entry for tank cleaning, site decontamination, large remediation projects, demolition, spill cleanup on land and water, railcar cleaning, product recovery and transfer and vacuum services. Additional services include filtration and water treatment services. Response services for environmental emergencies include any scale from man-made disasters such as oil spills, to natural disasters such as hurricanes. These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 as they are being performed and the Company has a right to payment for performance completed to date. The Company uses the input method to recognize revenue over time, based on time and materials incurred. The duration of such services can be over a number of hours, days or even months for larger scale projects.</w:t>
      </w:r>
    </w:p>
    <w:p>
      <w:pPr>
        <w:spacing w:after="0" w:line="101"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Industrial Services. </w:t>
      </w:r>
      <w:r>
        <w:rPr>
          <w:rFonts w:ascii="Times New Roman" w:cs="Times New Roman" w:eastAsia="Times New Roman" w:hAnsi="Times New Roman"/>
          <w:sz w:val="18"/>
          <w:szCs w:val="18"/>
          <w:color w:val="auto"/>
        </w:rPr>
        <w:t>Industrial Services revenues are generated from industrial and specialty services provided to refineries, mines, upgraders,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chemical plants, pulp and paper mills, manufacturing facilities, power generation facilities and other industrial customers throughout North America. Services include in-plant cleaning and maintenance services, plant outage and turnaround services, decoking and pigging, chemical cleaning, high and ultra-high pressure water cleaning, pipeline inspection and coating</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services, large tank and surface impoundment cleaning, oilfield transport, daylighting, production services and directional boring services supporting drilling, completions and production programs. These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99" w:lineRule="exact"/>
        <w:rPr>
          <w:sz w:val="20"/>
          <w:szCs w:val="20"/>
          <w:color w:val="auto"/>
        </w:rPr>
      </w:pPr>
    </w:p>
    <w:p>
      <w:pPr>
        <w:ind w:right="120" w:firstLine="648"/>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Oil, Gas and Lodging Services and Other. </w:t>
      </w:r>
      <w:r>
        <w:rPr>
          <w:rFonts w:ascii="Times New Roman" w:cs="Times New Roman" w:eastAsia="Times New Roman" w:hAnsi="Times New Roman"/>
          <w:sz w:val="17"/>
          <w:szCs w:val="17"/>
          <w:color w:val="auto"/>
        </w:rPr>
        <w:t>Oil, Gas and Lodging Services and Other is primarily comprised of revenues generated from providing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Oil and Gas Field Services that support upstream activities such as exploration and drilling for oil and gas companies and Lodging Services to customers in Western Canada. The Company recognizes Oil and Gas Field Services revenue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Revenue for lodging accommodation services is recognized over time based on passage of time.</w:t>
      </w:r>
    </w:p>
    <w:p>
      <w:pPr>
        <w:spacing w:after="0" w:line="8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Safety-Kleen Environmental Services. </w:t>
      </w:r>
      <w:r>
        <w:rPr>
          <w:rFonts w:ascii="Times New Roman" w:cs="Times New Roman" w:eastAsia="Times New Roman" w:hAnsi="Times New Roman"/>
          <w:sz w:val="18"/>
          <w:szCs w:val="18"/>
          <w:color w:val="auto"/>
        </w:rPr>
        <w:t>Safety-Kleen Environmental Services revenues are generated from providing parts washer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containerized waste handling and disposal services, oil collection services, direct sales of blended oil products and other complementary services and product sales through a network of branch locations. Containerized waste services consist of profiling, collecting, transporting and recycling or disposing of a wide variety of waste. Other products and services include vacuum services, sale of complementary supply products including automotive fluids and shop supplies and other environmental services. Revenues from parts washer services include fees charged to customers for their use of parts washer equipment, to clean and maintain parts washer equipment and to remove and replace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Product revenue is recognized upon the transfer of control whereby control transfers when the products are delivered to the customer.</w:t>
      </w:r>
    </w:p>
    <w:p>
      <w:pPr>
        <w:spacing w:after="0" w:line="102"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Safety-Kleen Oil. </w:t>
      </w:r>
      <w:r>
        <w:rPr>
          <w:rFonts w:ascii="Times New Roman" w:cs="Times New Roman" w:eastAsia="Times New Roman" w:hAnsi="Times New Roman"/>
          <w:sz w:val="18"/>
          <w:szCs w:val="18"/>
          <w:color w:val="auto"/>
        </w:rPr>
        <w:t>Safety-Kleen Oil revenues are generated from sales of high-quality base and blended lubricating oils to third-party distributors,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 agencies, fleets, railroads and industrial customers. The business also sells recycled fuel oil to asphalt plants, industrial plants, blenders, pulp and paper companies, vacuum gas oil producers and marine diesel oil producers. Revenue for oil products is recognized at a point in time, upon the transfer of control. Control transfers when the products are delivered to the customer.</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613,507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606,952</w:t>
            </w:r>
          </w:p>
        </w:tc>
      </w:tr>
      <w:tr>
        <w:trPr>
          <w:trHeight w:val="243"/>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assets (unbilled receivables)</w:t>
            </w:r>
          </w:p>
        </w:tc>
        <w:tc>
          <w:tcPr>
            <w:tcW w:w="2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42,513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54,794</w:t>
            </w:r>
          </w:p>
        </w:tc>
      </w:tr>
      <w:tr>
        <w:trPr>
          <w:trHeight w:val="27"/>
        </w:trPr>
        <w:tc>
          <w:tcPr>
            <w:tcW w:w="7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(deferred revenue)</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67,557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61,843</w:t>
            </w:r>
          </w:p>
        </w:tc>
      </w:tr>
      <w:tr>
        <w:trPr>
          <w:trHeight w:val="27"/>
        </w:trPr>
        <w:tc>
          <w:tcPr>
            <w:tcW w:w="7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or deferred revenue (contract liabilities) on the consolidated balance sheets. Generally, billing occurs subsequent to revenue recognition, as a right to payment is not just subject to passage of time, resulting in contract assets. Contract assets are generally classified as current. The Company sometimes receives advances or deposits from its customers before revenue is recognized, resulting in contract liabilities. These assets and liabilities are reported on the consolidated balance sheets on a contract-by-contract basis at the end of each reporting period. As part of the acquisition of the Veolia Business (as defined in Note 4, "Business Combinations") on February 23, 2018, the Company acquired receivables and contract assets of $21.5 million and $18.1 million, respectively. Changes in the contract asset and liability balances during the three-month periods ended March 31, 2019 and December 31, 2018 were not materially impacted by any other factors. The contract liability balances at the beginning of each period presented were fully recognized in the subsequent three-month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Consideration</w:t>
      </w:r>
    </w:p>
    <w:p>
      <w:pPr>
        <w:spacing w:after="0" w:line="14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nature of the Company's contracts give rise to certain types of variable consideration, including in limited cases volume discounts. Accordingly, management establishes a revenue allowance to cover the estimated amounts of revenue that may need to be credited to customers' accounts in future periods. The Company estimates the amount of variable consideration to include in the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estimated transaction price based on historical experience, anticipated performance and its best judgment at the time and to the extent it is probable that a significant reversal of cumulative revenue recognized will not occur when the uncertainty associated with the variable consideration is resolved.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Costs</w:t>
      </w:r>
    </w:p>
    <w:p>
      <w:pPr>
        <w:spacing w:after="0" w:line="14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Contract costs include direct and incremental costs to obtain or fulfill a contract. The Company’s contract costs that are subject to capitalization are comprised of costs associated with parts washer services and costs associated with the treatment and disposal of waste. Parts washer costs include costs of solvent, commissions paid relating to revenue generated from parts washer services and transportation costs associated with transferring the product picked up from the services as it is returned to the Company’s facilities or a third-party site. Costs related to the treatment of waste include costs for waste receiving, drum movement and storage, waste consolidation and transportation between facilities. Deferred costs associated with parts washer services are amortized ratably over the average service interval, which ranges between seven and 14 weeks. Deferred costs related to treatment and disposal of waste are recognized when the corresponding waste is disposed of and are included in deferred costs within total current assets in the Company’s Consolidated Balance Sheets. The deferred contract cost balances at the beginning of each period presented were fully recognized in cost of revenue in the subsequent three-month period.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Acquisition</w:t>
      </w:r>
    </w:p>
    <w:p>
      <w:pPr>
        <w:spacing w:after="0" w:line="94"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On March 1, 2019, the Company acquired certain assets of a privately-owned company for $10.4 million. The acquired assets complement the Safety-Kleen segment's core service offerings, such as used motor oil collection, parts washers, oil filter recycling and vacuum services. In connection with this acquisition, a preliminary goodwill amount of $6.8 million was recognized.</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Acquisitions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August 31, 2018, the Company acquired a privately-owned company which expands the environmental services and waste oil capabilities of the Company for a $27.3 million purchase price, net of cash. The acquired company is included in the Safety-Kleen and Environmental Services segments. In connection with this acquisition, a preliminary goodwill amount of $12.4 million was recognized. The results of operations of this acquired business were not material in 2019.</w:t>
      </w:r>
    </w:p>
    <w:p>
      <w:pPr>
        <w:spacing w:after="0" w:line="9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February 23, 2018, the Company completed the acquisition of the U.S. Industrial Cleaning Business of Veolia Environmental Services North America LLC (the "Veolia Business"). The acquisition provides significant scale and industrial services capabilities while increasing the size of the Company's existing U.S. Industrial Services business. The Company acquired the Veolia Business for a purchase price of $124.5 million. The amount of pre-tax income for the three months ended March 31, 2018 was immaterial. During the three months ended March 31, 2019, the Veolia Business was fully integrated into the Environmental Services segment, and therefore it is impracticable to measure earnings attributable to the Veolia Business for that period.</w:t>
      </w:r>
    </w:p>
    <w:p>
      <w:pPr>
        <w:spacing w:after="0" w:line="18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finalized purchase accounting for the Veolia Business in the first quarter of 2019. The components and allocation of the purchase price for the Veolia Business consist of the following amounts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Final Allocation</w:t>
            </w:r>
          </w:p>
        </w:tc>
      </w:tr>
      <w:tr>
        <w:trPr>
          <w:trHeight w:val="249"/>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 including unbilled receivables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39,558</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Inventories and supplies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1,126</w:t>
            </w:r>
          </w:p>
        </w:tc>
      </w:tr>
      <w:tr>
        <w:trPr>
          <w:trHeight w:val="27"/>
        </w:trPr>
        <w:tc>
          <w:tcPr>
            <w:tcW w:w="9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828</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72,243</w:t>
            </w:r>
          </w:p>
        </w:tc>
      </w:tr>
      <w:tr>
        <w:trPr>
          <w:trHeight w:val="27"/>
        </w:trPr>
        <w:tc>
          <w:tcPr>
            <w:tcW w:w="9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Permits and other intangibles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5,140</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(18,372)</w:t>
            </w:r>
          </w:p>
        </w:tc>
      </w:tr>
      <w:tr>
        <w:trPr>
          <w:trHeight w:val="27"/>
        </w:trPr>
        <w:tc>
          <w:tcPr>
            <w:tcW w:w="9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Closure and post-closure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37"/>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100,169</w:t>
            </w:r>
          </w:p>
        </w:tc>
      </w:tr>
      <w:tr>
        <w:trPr>
          <w:trHeight w:val="27"/>
        </w:trPr>
        <w:tc>
          <w:tcPr>
            <w:tcW w:w="9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24,331</w:t>
            </w:r>
          </w:p>
        </w:tc>
      </w:tr>
      <w:tr>
        <w:trPr>
          <w:trHeight w:val="257"/>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purchase price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124,500</w:t>
            </w:r>
          </w:p>
        </w:tc>
      </w:tr>
      <w:tr>
        <w:trPr>
          <w:trHeight w:val="20"/>
        </w:trPr>
        <w:tc>
          <w:tcPr>
            <w:tcW w:w="9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amortization period for the intangibles acquired is 8.2 years. The excess of the total purchase price, which includes the aggregate cash consideration paid in excess of the fair value of the tangible net assets and intangible assets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acquired, was recorded as goodwill. The goodwill recognized is attributable to the expected operating synergies and growth potential that the Company expects to realize from this acquisition. Goodwill generated from the acquisition is deductible for tax purposes.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 AND SUPPLIES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and supplies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6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and oil products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67,888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70,823</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Supplies and drums</w:t>
            </w: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108,976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104,609</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Solvent and solutions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10,657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13,450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13,390</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inventories and supplies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200,814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199,479</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Supplies and drums consist primarily of drums and containers used in providing the Company's products and services as well as critical spare parts to support the Company's incinerator and re-refinery operations. Other inventories consisted primarily of parts washer components, cleaning fluids, absorbents and automotive fluids, such as windshield washer fluid and antifreeze.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6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129,684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123,734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retirement costs (non-landfill)</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15,148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Landfill assets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160,093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154,918</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Buildings and improvements </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465,707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440,188</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Camp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156,031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152,998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Vehicles</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753,490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721,735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1,711,470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1,697,490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5,453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20,931</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3,424,237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3,332,595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1,835,624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1,770,617</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1,588,613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1,561,978</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 Inclusive of finance lease.</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Interest in the amount of $0.1 million and $0.3 million was capitalized to property, plant and equipment during the three months ended March 31, 2019 and March 31, 2018, respectively. Depreciation expense, inclusive of landfill and finance lease amortization, was $65.9 million and $65.6 million for the three months ended March 31, 2019 and March 31, 2018,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goodwill by segment for the three months ended March 31, 2019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Safety-Kleen</w:t>
            </w:r>
          </w:p>
        </w:tc>
        <w:tc>
          <w:tcPr>
            <w:tcW w:w="280" w:type="dxa"/>
            <w:vAlign w:val="bottom"/>
          </w:tcPr>
          <w:p>
            <w:pPr>
              <w:spacing w:after="0"/>
              <w:rPr>
                <w:sz w:val="13"/>
                <w:szCs w:val="13"/>
                <w:color w:val="auto"/>
              </w:rPr>
            </w:pP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5"/>
        </w:trPr>
        <w:tc>
          <w:tcPr>
            <w:tcW w:w="74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207,019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307,170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514,189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from current period acquisitions</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6,825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Measurement period adjustments from prior period 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204,860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313,050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517,910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Company assesses goodwill for impairment on an annual basis as of December 31 or at an interim date when events or changes in the business environment would more likely than not reduce the fair value of a reporting unit below its carrying value.</w:t>
      </w:r>
    </w:p>
    <w:p>
      <w:pPr>
        <w:sectPr>
          <w:pgSz w:w="11900" w:h="16838" w:orient="portrait"/>
          <w:cols w:equalWidth="0" w:num="1">
            <w:col w:w="11420"/>
          </w:cols>
          <w:pgMar w:left="240" w:top="121"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2019 and December 31, 2018, the Company's total intangible assets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2"/>
                <w:szCs w:val="12"/>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74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Permits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180,463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81,135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99,328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177,583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79,358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98,225</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and supplier relationships</w:t>
            </w:r>
          </w:p>
        </w:tc>
        <w:tc>
          <w:tcPr>
            <w:tcW w:w="1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397,949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187,195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210,754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393,487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179,824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213,663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37,616</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31,363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6,253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37,262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29,743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7,519</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amortizable permits and other intangible assets</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616,028</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299,693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316,335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608,332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288,925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319,407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122,623</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122,623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122,468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122,468</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permits and other intangible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738,651</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299,693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438,958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730,800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288,925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441,875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of permits and other intangible assets was $9.5 million and $9.2 million in the three months ended March 31, 2019 and March 31, 2018, respectively.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expected amortization of the net carrying amount of finite-lived intangible assets at March 31, 2019 was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Expected Amortization</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2019 (nine months)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24,947</w:t>
            </w:r>
          </w:p>
        </w:tc>
        <w:tc>
          <w:tcPr>
            <w:tcW w:w="0" w:type="dxa"/>
            <w:vAlign w:val="bottom"/>
          </w:tcPr>
          <w:p>
            <w:pPr>
              <w:spacing w:after="0"/>
              <w:rPr>
                <w:sz w:val="1"/>
                <w:szCs w:val="1"/>
                <w:color w:val="auto"/>
              </w:rPr>
            </w:pPr>
          </w:p>
        </w:tc>
      </w:tr>
      <w:tr>
        <w:trPr>
          <w:trHeight w:val="243"/>
        </w:trPr>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2020</w:t>
            </w:r>
          </w:p>
        </w:tc>
        <w:tc>
          <w:tcPr>
            <w:tcW w:w="6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31,289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6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28,020</w:t>
            </w:r>
          </w:p>
        </w:tc>
        <w:tc>
          <w:tcPr>
            <w:tcW w:w="0" w:type="dxa"/>
            <w:vAlign w:val="bottom"/>
          </w:tcPr>
          <w:p>
            <w:pPr>
              <w:spacing w:after="0"/>
              <w:rPr>
                <w:sz w:val="1"/>
                <w:szCs w:val="1"/>
                <w:color w:val="auto"/>
              </w:rPr>
            </w:pPr>
          </w:p>
        </w:tc>
      </w:tr>
      <w:tr>
        <w:trPr>
          <w:trHeight w:val="243"/>
        </w:trPr>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6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6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23,862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180,368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63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316,335</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14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81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w w:val="99"/>
              </w:rPr>
              <w:t>Accrued expenses consisted of the following at March 31, 2019 and December 31, 2018 (in thousands):</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63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81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64,298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70,217</w:t>
            </w:r>
          </w:p>
        </w:tc>
        <w:tc>
          <w:tcPr>
            <w:tcW w:w="0" w:type="dxa"/>
            <w:vAlign w:val="bottom"/>
          </w:tcPr>
          <w:p>
            <w:pPr>
              <w:spacing w:after="0"/>
              <w:rPr>
                <w:sz w:val="1"/>
                <w:szCs w:val="1"/>
                <w:color w:val="auto"/>
              </w:rPr>
            </w:pPr>
          </w:p>
        </w:tc>
      </w:tr>
      <w:tr>
        <w:trPr>
          <w:trHeight w:val="243"/>
        </w:trPr>
        <w:tc>
          <w:tcPr>
            <w:tcW w:w="81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14,783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46,757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77,881</w:t>
            </w:r>
          </w:p>
        </w:tc>
        <w:tc>
          <w:tcPr>
            <w:tcW w:w="0" w:type="dxa"/>
            <w:vAlign w:val="bottom"/>
          </w:tcPr>
          <w:p>
            <w:pPr>
              <w:spacing w:after="0"/>
              <w:rPr>
                <w:sz w:val="1"/>
                <w:szCs w:val="1"/>
                <w:color w:val="auto"/>
              </w:rPr>
            </w:pPr>
          </w:p>
        </w:tc>
      </w:tr>
      <w:tr>
        <w:trPr>
          <w:trHeight w:val="243"/>
        </w:trPr>
        <w:tc>
          <w:tcPr>
            <w:tcW w:w="81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Income, real estate, sales and other taxes</w:t>
            </w:r>
          </w:p>
        </w:tc>
        <w:tc>
          <w:tcPr>
            <w:tcW w:w="20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30,289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25,670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52,259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55,707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208,386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233,405</w:t>
            </w:r>
          </w:p>
        </w:tc>
        <w:tc>
          <w:tcPr>
            <w:tcW w:w="0" w:type="dxa"/>
            <w:vAlign w:val="bottom"/>
          </w:tcPr>
          <w:p>
            <w:pPr>
              <w:spacing w:after="0"/>
              <w:rPr>
                <w:sz w:val="1"/>
                <w:szCs w:val="1"/>
                <w:color w:val="auto"/>
              </w:rPr>
            </w:pPr>
          </w:p>
        </w:tc>
      </w:tr>
      <w:tr>
        <w:trPr>
          <w:trHeight w:val="27"/>
        </w:trPr>
        <w:tc>
          <w:tcPr>
            <w:tcW w:w="8120" w:type="dxa"/>
            <w:vAlign w:val="bottom"/>
            <w:gridSpan w:val="3"/>
            <w:vMerge w:val="restart"/>
          </w:tcPr>
          <w:p>
            <w:pPr>
              <w:ind w:left="562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gridSpan w:val="3"/>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1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CLOSURE AND POST-CLOSURE LIABILITIES</w:t>
      </w:r>
    </w:p>
    <w:p>
      <w:pPr>
        <w:spacing w:after="0" w:line="28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changes to closure and post-closure liabilities (also referred to as “asset retirement obligations”) from January 1, 2019 through March 31, 2019 were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Non-Landfill</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2019</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37,809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69,931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 assumed in acquisition</w:t>
            </w: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New asset retirement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Accretion</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estimates recorded to statement of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estimates recorded to balance sheet</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2,798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 2019</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41,955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32,466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74,421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All the landfill facilities included in the above were active as of March 31, 2019. There were no significant charges (benefits) in 2019 resulting from changes in estimates for closure and post-closure liabilities.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asset retirement obligations incurred during the first three months of 2019 were discounted at the credit-adjusted risk-free rate of 6.02%.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REMEDIAL LIABILITIES</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to remedial liabilities for the three months ended March 31, 2019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Remedial</w:t>
            </w: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Remedial</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Remedial</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(Including</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Superfund) for</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for</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for</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Non-Landfill</w:t>
            </w:r>
          </w:p>
        </w:tc>
        <w:tc>
          <w:tcPr>
            <w:tcW w:w="300" w:type="dxa"/>
            <w:vAlign w:val="bottom"/>
          </w:tcPr>
          <w:p>
            <w:pPr>
              <w:spacing w:after="0"/>
              <w:rPr>
                <w:sz w:val="12"/>
                <w:szCs w:val="12"/>
                <w:color w:val="auto"/>
              </w:rPr>
            </w:pPr>
          </w:p>
        </w:tc>
        <w:tc>
          <w:tcPr>
            <w:tcW w:w="9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Landfill Sites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Inactive Sites</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2019</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1,838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65,315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53,864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121,017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Accretion</w:t>
            </w:r>
          </w:p>
        </w:tc>
        <w:tc>
          <w:tcPr>
            <w:tcW w:w="1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estimates recorded to statement of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Expenditures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March 31, 2019</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1,868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65,018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52,075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118,961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three months ended March 31, 2019, there were no significant charges (benefits) resulting from changes in estimates for remedial liabilities.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FINANCING ARRANGEMENTS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the Company’s financing arrangements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Current Obligations:</w:t>
            </w:r>
          </w:p>
        </w:tc>
        <w:tc>
          <w:tcPr>
            <w:tcW w:w="24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60" w:type="dxa"/>
            <w:vAlign w:val="bottom"/>
          </w:tcPr>
          <w:p>
            <w:pPr>
              <w:spacing w:after="0"/>
              <w:rPr>
                <w:sz w:val="19"/>
                <w:szCs w:val="19"/>
                <w:color w:val="auto"/>
              </w:rPr>
            </w:pP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48"/>
        </w:trPr>
        <w:tc>
          <w:tcPr>
            <w:tcW w:w="40" w:type="dxa"/>
            <w:vAlign w:val="bottom"/>
            <w:tcBorders>
              <w:bottom w:val="single" w:sz="8" w:color="CCEEFF"/>
            </w:tcBorders>
          </w:tcPr>
          <w:p>
            <w:pPr>
              <w:spacing w:after="0"/>
              <w:rPr>
                <w:sz w:val="4"/>
                <w:szCs w:val="4"/>
                <w:color w:val="auto"/>
              </w:rPr>
            </w:pPr>
          </w:p>
        </w:tc>
        <w:tc>
          <w:tcPr>
            <w:tcW w:w="16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257"/>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secured Term Loan Agreement ("Term Loan Agreement")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7,535</w:t>
            </w: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03"/>
        </w:trPr>
        <w:tc>
          <w:tcPr>
            <w:tcW w:w="812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Long-Term Obligations:</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6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r>
      <w:tr>
        <w:trPr>
          <w:trHeight w:val="243"/>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Senior secured Term Loan Agreement due June 30, 2024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732,813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734,697</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unsecured notes, at 5.125%, due June 1, 2021 ("2021 Notes")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845,000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845,000</w:t>
            </w:r>
          </w:p>
        </w:tc>
      </w:tr>
      <w:tr>
        <w:trPr>
          <w:trHeight w:val="237"/>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Long-term obligations, at par</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1,577,813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1,579,697</w:t>
            </w:r>
          </w:p>
        </w:tc>
      </w:tr>
      <w:tr>
        <w:trPr>
          <w:trHeight w:val="27"/>
        </w:trPr>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debt issuance costs and premium, net</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w:t>
            </w:r>
          </w:p>
        </w:tc>
      </w:tr>
      <w:tr>
        <w:trPr>
          <w:trHeight w:val="257"/>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Long-term obligations, at carrying value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1,564,005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1,565,021</w:t>
            </w: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21" w:lineRule="exact"/>
        <w:rPr>
          <w:sz w:val="20"/>
          <w:szCs w:val="20"/>
          <w:color w:val="auto"/>
        </w:rPr>
      </w:pPr>
    </w:p>
    <w:p>
      <w:pPr>
        <w:jc w:val="both"/>
        <w:ind w:right="240" w:firstLine="648"/>
        <w:spacing w:after="0" w:line="281" w:lineRule="auto"/>
        <w:rPr>
          <w:sz w:val="20"/>
          <w:szCs w:val="20"/>
          <w:color w:val="auto"/>
        </w:rPr>
      </w:pPr>
      <w:r>
        <w:rPr>
          <w:rFonts w:ascii="Times New Roman" w:cs="Times New Roman" w:eastAsia="Times New Roman" w:hAnsi="Times New Roman"/>
          <w:sz w:val="17"/>
          <w:szCs w:val="17"/>
          <w:color w:val="auto"/>
        </w:rPr>
        <w:t>At March 31, 2019 and December 31, 2018, the fair value of the Term Loan Agreement debt was $738.5 million and $707.0 million, respectively, based on quoted market prices or other available market data. At March 31, 2019 and December 31, 2018, the fair value of the Company's 2021 Notes was $846.1 million and $845.0 million, respectively, based on quoted market prices for the instrument. The fair values of the Company's currently outstanding term loans under the Term Loan Agreement (the "Term Loans") and 2021 Notes are considered Level 2 measures according to the fair value hierarchy.</w:t>
      </w:r>
    </w:p>
    <w:p>
      <w:pPr>
        <w:spacing w:after="0" w:line="8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also maintains a $400.0 million revolving credit facility under which the Company had no outstanding loan balance as of March 31, 2019 and December 31, 2018. At March 31, 2019, approximately $209.1 million was available to borrow and outstanding letters of credit were $153.3 million. At December 31, 2018, $235.4 million was available to borrow and outstanding letters of credit were $130.1 million.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4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Company’s strategy to hedge against fluctuations in variable interest rates involves entering into interest rate derivative agreements. Although the interest rate on all $740.3 million aggregate principal amount of Term Loans which were outstanding on March 31, 2019 is variable under the Term Loan Agreement, the Company has effectively fixed the interest rate on $350.0 million aggregate principal amount of the Term Loans outstanding by entering into interest rate swap agreements with a notional amount of $350.0 million. Under the terms of the interest rate swap agreements, the Company receives interest based on the one-month LIBOR index and pays interest at a weighted average rate of approximately 2.92%. When combined with the 1.75% interest rate margin for Eurocurrency borrowings, the effective annual interest rate on such $350.0 million aggregate principal amount of Term Loans is therefore approximately 4.67%.</w:t>
      </w:r>
    </w:p>
    <w:p>
      <w:pPr>
        <w:spacing w:after="0" w:line="10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derivative instruments as either assets or liabilities on the balance sheet at fair value. No ineffectiveness has been identified on these swaps and, therefore, all unrealized changes in fair value are recorded in accumulated other comprehensive loss. Amounts are reclassified from accumulated other comprehensive loss into interest expense on the statement of operations in the same period or periods during which the hedged transaction affects earnings.</w:t>
      </w:r>
    </w:p>
    <w:p>
      <w:pPr>
        <w:spacing w:after="0" w:line="9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As of March 31, 2019 and December 31, 2018, the Company has recorded a derivative liability with a fair value of $13.4 million and $8.8 million, respectively, within accrued expenses in connection with these cash flow hedges.</w:t>
      </w:r>
    </w:p>
    <w:p>
      <w:pPr>
        <w:spacing w:after="0" w:line="81"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interest rate swaps included in the Level 2 tier of the fair value hierarchy is calculated using discounted cash flow valuation methodologies based upon the one-month LIBOR yield curves that are observable at commonly quoted intervals for the full term of the swaps. Level 2 utilizes quoted market prices in markets that are not active, broker or dealer quotations, or alternative pricing sources with reasonable levels of price transparency for similar assets and liabilities.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97"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8"/>
          <w:szCs w:val="18"/>
          <w:color w:val="auto"/>
        </w:rPr>
        <w:t>The Company records a tax provision or benefit on an interim basis using an estimated annual effective tax rate. This rate is applied to the current period ordinary income or loss to determine the income tax provision or benefit allocated to the interim period. Losses from jurisdictions for which no benefit can be recognized and the income tax effects of unusual or infrequent items are excluded from the estimated annual effective tax rate and are recognized in the impacted interim period. The estimated annual effective tax rate may be significantly impacted by projected earnings mix by tax jurisdiction. Adjustments to the estimated annual effective income tax rate are recognized in the period when such estimates are revised.</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March 31, 2019 was 86.0% compared to (31.9)% for the same period in 2018. The variations in the effective income tax rates for the three months ended March 31, 2019 and March 31, 2018, as compared to more customary relationships between pre-tax income and the provision for income taxes, were primarily due to not recognizing income tax benefits from current operating losses related to certain Canadian entities during these periods.</w:t>
      </w:r>
    </w:p>
    <w:p>
      <w:pPr>
        <w:spacing w:after="0" w:line="23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of March 31, 2019 and December 31, 2018, the Company had recorded $3.2 million of liabilities for unrecognized tax benefits and $0.8 million of interest.</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first quarter of 2019 the Company was notified by the Internal Revenue Service (“IRS”) of their intent to examine tax years 2014-2016.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believe the examination will result in material liabilities.</w:t>
      </w:r>
    </w:p>
    <w:p>
      <w:pPr>
        <w:spacing w:after="0" w:line="12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Due to expiring statute of limitation periods, the Company believes that total unrecognized tax benefits will decrease by $0.6 million within the next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(LOSS) PER SHARE</w:t>
      </w:r>
    </w:p>
    <w:p>
      <w:pPr>
        <w:spacing w:after="0" w:line="28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following are computations of basic and diluted earnings (loss) per share (in thousands except for per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75"/>
        </w:trPr>
        <w:tc>
          <w:tcPr>
            <w:tcW w:w="83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23"/>
                <w:szCs w:val="23"/>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 for basic and diluted earnings (loss)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(12,631)</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55,848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56,457</w:t>
            </w: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stock-based compensation awards</w:t>
            </w: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shares outstanding</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56,082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56,457</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7"/>
        </w:trPr>
        <w:tc>
          <w:tcPr>
            <w:tcW w:w="8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64"/>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8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64"/>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2019, the dilutive effect of all then outstanding restricted stock and performance awards is included in the earnings per share calculation above except for 78,271 of performance stock awards for which the performance criteria were not attained at that time and 27,357 of restricted stock awards which were antidilutive.</w:t>
      </w:r>
    </w:p>
    <w:p>
      <w:pPr>
        <w:spacing w:after="0" w:line="9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net loss reported for the three months ended March 31, 2018, all then outstanding restricted stock awards and performance awards totaling 896,180 were excluded from the calculation of diluted loss per share as their inclusion would have an antidilutive effect.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LOSS</w:t>
      </w:r>
    </w:p>
    <w:p>
      <w:pPr>
        <w:spacing w:after="0" w:line="283"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changes in accumulated other comprehensive loss by component and related tax effects for the three months ended March 31, 2019 were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3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(Gains) on</w:t>
            </w:r>
          </w:p>
        </w:tc>
        <w:tc>
          <w:tcPr>
            <w:tcW w:w="1360" w:type="dxa"/>
            <w:vAlign w:val="bottom"/>
            <w:gridSpan w:val="3"/>
            <w:vMerge w:val="continue"/>
          </w:tcPr>
          <w:p>
            <w:pPr>
              <w:spacing w:after="0"/>
              <w:rPr>
                <w:sz w:val="12"/>
                <w:szCs w:val="12"/>
                <w:color w:val="auto"/>
              </w:rPr>
            </w:pP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Unfunded Pension</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on Interest Rate</w:t>
            </w:r>
          </w:p>
        </w:tc>
        <w:tc>
          <w:tcPr>
            <w:tcW w:w="13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Hedge</w:t>
            </w: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2019</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(223,371)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before tax effects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8,540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3,697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impact related to items in other comprehensive income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5"/>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Amounts reclassified out of accumulated other comprehensive</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8,540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4,024</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March 31, 2019</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(204,385)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(219,347)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amounts reclassified out of accumulated other comprehensive loss into the consolidated statement of operations, with presentation location, during the three months ended March 31, 2019 were as follows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Other Comprehensive Income (Loss) Components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960" w:type="dxa"/>
            <w:vAlign w:val="bottom"/>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195"/>
        </w:trPr>
        <w:tc>
          <w:tcPr>
            <w:tcW w:w="64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Ended March 31, 2019</w:t>
            </w:r>
          </w:p>
        </w:tc>
        <w:tc>
          <w:tcPr>
            <w:tcW w:w="100" w:type="dxa"/>
            <w:vAlign w:val="bottom"/>
            <w:tcBorders>
              <w:bottom w:val="single" w:sz="8" w:color="CCEEFF"/>
            </w:tcBorders>
          </w:tcPr>
          <w:p>
            <w:pPr>
              <w:spacing w:after="0"/>
              <w:rPr>
                <w:sz w:val="16"/>
                <w:szCs w:val="16"/>
                <w:color w:val="auto"/>
              </w:rPr>
            </w:pPr>
          </w:p>
        </w:tc>
        <w:tc>
          <w:tcPr>
            <w:tcW w:w="2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Unrealized loss on interest rate hedge</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21"/>
                <w:szCs w:val="21"/>
                <w:color w:val="auto"/>
              </w:rPr>
            </w:pP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0" w:type="dxa"/>
            <w:vAlign w:val="bottom"/>
          </w:tcPr>
          <w:p>
            <w:pPr>
              <w:spacing w:after="0"/>
              <w:rPr>
                <w:sz w:val="1"/>
                <w:szCs w:val="1"/>
                <w:color w:val="auto"/>
              </w:rPr>
            </w:pPr>
          </w:p>
        </w:tc>
      </w:tr>
      <w:tr>
        <w:trPr>
          <w:trHeight w:val="27"/>
        </w:trPr>
        <w:tc>
          <w:tcPr>
            <w:tcW w:w="6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reclassifications out of accumulated other comprehensive loss during the three months ended March 31, 2018.</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148"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Total stock-based compensation cost charged to selling, general and administrative expenses for the three months ended March 31, 2019 and March 31, 2018 was $5.8 million and $3.1 million, respectively. The total income tax benefit recognized in the consolidated statements of operations from stock-based compensation was $1.1 million and $0.9 million for the three months ended March 31, 2019 and March 31, 2018, respectively.</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4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following information relates to restricted stock awards that have been granted to employees and directors under the Company's equity incentive plan adopted in 2010 (the "2010 Plan"). The restricted stock awards are not transferable until vested and the restrictions generally lapse upon the achievement of continued employment over a three-to-five-year period or service as a director until the following annual meeting of shareholders. The fair value of each restricted stock grant is based on the closing price of the Company's common stock on the date of grant and is amortized to expense over its vesting period.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restricted stock awards for the three months ended March 31,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4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2019</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657,240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54.65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42,300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61.18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52.83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54.39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 2019</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616,279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54.51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As of March 31, 2019, there was $23.1 million of total unrecognized compensation cost arising from restricted stock awards under the Company's 2010 Plan. This cost is expected to be recognized over a weighted average period of 2.6 years. The total fair value of restricted stock vested during the three months ended March 31, 2019 and March 31, 2018 was $3.2 million and $1.3 million, respectively.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Awards</w:t>
      </w:r>
    </w:p>
    <w:p>
      <w:pPr>
        <w:spacing w:after="0" w:line="22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following information relates to performance stock awards that have been granted to employees under the Company's 2010 Plan. Performance stock awards are subject to performance criteria established by the compensation committee of the Company's board of directors prior to or at the date of grant. The vesting of the performance stock awards is based on achieving such targets typically based on revenue, Adjusted EBITDA margin, Adjusted Free Cash Flow and Total Recordable Incident Rate. In addition, performance stock awards include continued service conditions. The fair value of each performance stock award is based on the closing price of the Company's common stock on the date of grant and is amortized to expense over the service period if achievement of performance measures is considered probable.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performance stock awards for the three months ended March 31, 2019:</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8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Stock</w:t>
            </w:r>
          </w:p>
        </w:tc>
        <w:tc>
          <w:tcPr>
            <w:tcW w:w="148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2019</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213,490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55.71</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55.69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2019</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147,374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55.69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As of March 31, 2019, there was $4.6 million of total unrecognized compensation cost arising from unvested performance stock awards deemed probable of vesting under the Company's 2010 Plan. The total fair value of performance awards vested during the three months ended March 31, 2019 and March 31, 2018 was $2.9 million and $0.5 million, respectively</w:t>
      </w:r>
      <w:r>
        <w:rPr>
          <w:rFonts w:ascii="Times New Roman" w:cs="Times New Roman" w:eastAsia="Times New Roman" w:hAnsi="Times New Roman"/>
          <w:sz w:val="18"/>
          <w:szCs w:val="18"/>
          <w:b w:val="1"/>
          <w:bCs w:val="1"/>
          <w:i w:val="1"/>
          <w:iCs w:val="1"/>
          <w:color w:val="auto"/>
        </w:rPr>
        <w:t>.</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14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Company's board of directors has authorized the repurchase of up to $600 million of the Company's common stock. During the three months ended March 31, 2019 and March 31, 2018, the Company repurchased and retired a total of approximately 0.1 million and 0.3 million shares, respectively, of the Company's common stock for total costs of approximately $6.3 million and $14.3 million, respectively. Through March 31, 2019, the Company has repurchased and retired a total of approximately 5.7 million shares of its common stock for approximately $300.3 million under this program. As of March 31, 2019, an additional $299.7 million remained available for repurchase of shares under this program.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Administrative Proceedings</w:t>
      </w:r>
    </w:p>
    <w:p>
      <w:pPr>
        <w:spacing w:after="0" w:line="148" w:lineRule="exact"/>
        <w:rPr>
          <w:sz w:val="20"/>
          <w:szCs w:val="20"/>
          <w:color w:val="auto"/>
        </w:rPr>
      </w:pPr>
    </w:p>
    <w:p>
      <w:pPr>
        <w:jc w:val="both"/>
        <w:ind w:right="340" w:firstLine="648"/>
        <w:spacing w:after="0" w:line="257" w:lineRule="auto"/>
        <w:rPr>
          <w:sz w:val="20"/>
          <w:szCs w:val="20"/>
          <w:color w:val="auto"/>
        </w:rPr>
      </w:pPr>
      <w:r>
        <w:rPr>
          <w:rFonts w:ascii="Times New Roman" w:cs="Times New Roman" w:eastAsia="Times New Roman" w:hAnsi="Times New Roman"/>
          <w:sz w:val="18"/>
          <w:szCs w:val="18"/>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governmental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March 31, 2019 and December 31, 2018, the Company had recorded reserves of $23.8 million and $25.4 million, respectively, in the Company's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for actual or probable liabilities related to the legal and administrative proceedings in which the Company was then involved,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of which are described below. At March 31, 2019 and December 31, 2018, the Company also believed that it was reasonably possible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these potential liabilities could be as much as $1.8 million more. The Company periodically adjusts the aggregate amount of these reserves when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or probable liabilities are paid or otherwise discharged, new claims arise or additional relevant information about existing or probable claims becomes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As of March 31, 2019 and December 31, 2018, the $23.8 million and $25.4 million, respectively, of reserves consisted of (i) $17.6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$17.9 million, respectively, related to pending legal or administrative proceedings, including Superfund liabilities, which were included in remedial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consolidated balance sheets, and (ii) $6.2 million and $7.5</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million, respectively, primarily related to federal, state and provincial enforcement actions, which were included in accrued expenses on the consolidated balance sheets.</w:t>
      </w:r>
    </w:p>
    <w:p>
      <w:pPr>
        <w:spacing w:after="0" w:line="21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March 31, 2019, the principal legal and administrative proceedings in which the Company was involved, or which had been terminated during 2019, were as follows:</w:t>
      </w:r>
    </w:p>
    <w:p>
      <w:pPr>
        <w:spacing w:after="0" w:line="21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Ville Mercier. </w:t>
      </w:r>
      <w:r>
        <w:rPr>
          <w:rFonts w:ascii="Times New Roman" w:cs="Times New Roman" w:eastAsia="Times New Roman" w:hAnsi="Times New Roman"/>
          <w:sz w:val="18"/>
          <w:szCs w:val="18"/>
          <w:color w:val="auto"/>
        </w:rPr>
        <w:t>In September 2002, the Company acquired the stock of a subsidiary (the "Mercier Subsidiary") which owns a hazardous waste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incinerator in Ville Mercier, Quebec (the "Mercier Facility"). The property adjacent to the Mercier Facility, which is also owned by the Mercier Subsidiary, is now contaminated as a result of actions dating back to 1968, when the Government of Quebec issued two permits to dump organic liquids into lagoons on the property to a company unrelated to the Mercier Subsidiary. In 1999, Ville Mercier and three neighboring municipalities filed separate legal proceedings against the Mercier Subsidiary and the Government of Quebec. In 2012, the municipalities amended their existing statement of claim to seek $2.9 million (CAD) in general damages and $10.0 million (CAD) in punitive damages, plus interest and costs, as well as injunctive relief. Both the Government of Quebec and the Company have filed summary judgment motions against the municipalities. The parties are attempting to negotiate a resolution and hearings on the motions have been delayed. In September 2007, the Quebec Minister of Sustainable Development, Environment and Parks issued a notice pursuant to Section 115.1 of the Environment Quality Act, superseding notices issued in 1992, which are the subject of the pending litigation. The more recent notice notifies the Mercier Subsidiary that, if the Mercier Subsidiary does not take certain remedial measures at the site, the Minister intends to undertake those measures at the site and claim direct and indirect costs related to such measures. The Company has accrued for costs expected to be incurred relative to the resolution of this matter and believes this matter will not have future material effect on its financial position, results of operations or cash flows.</w:t>
      </w:r>
    </w:p>
    <w:p>
      <w:pPr>
        <w:spacing w:after="0" w:line="110"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Safety-Kleen Legal Proceedings. </w:t>
      </w:r>
      <w:r>
        <w:rPr>
          <w:rFonts w:ascii="Times New Roman" w:cs="Times New Roman" w:eastAsia="Times New Roman" w:hAnsi="Times New Roman"/>
          <w:sz w:val="18"/>
          <w:szCs w:val="18"/>
          <w:color w:val="auto"/>
        </w:rPr>
        <w:t>On December 28, 2012, the Company acquired Safety-Kleen, Inc. ("Safety-Kleen") and thereby became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legal proceedings in which Safety-Kleen was a party on that date. In addition to certain Superfund proceedings in which Safety-Kleen has been named as a potentially responsible party as described below under “Superfund Proceedings,” the principal such legal proceedings involving Safety-Kleen which were outstanding as of March 31, 2019 were as follows:</w:t>
      </w:r>
    </w:p>
    <w:p>
      <w:pPr>
        <w:spacing w:after="0" w:line="9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Product Liability Cases. </w:t>
      </w:r>
      <w:r>
        <w:rPr>
          <w:rFonts w:ascii="Times New Roman" w:cs="Times New Roman" w:eastAsia="Times New Roman" w:hAnsi="Times New Roman"/>
          <w:sz w:val="18"/>
          <w:szCs w:val="18"/>
          <w:color w:val="auto"/>
        </w:rPr>
        <w:t>Safety-Kleen has been named as a defendant in various lawsuits that are currently pending in various courts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jurisdictions throughout the United States, including approximately 67 proceedings (excluding cases which have been settled but not formally dismissed) as of March 31, 2019, wherein persons claim personal injury resulting from the use of Safety-Kleen's parts cleaning equipment or cleaning products. These proceedings typically involve allegations that the solvent used in Safety-Kleen's parts cleaning equipment contains contaminants and/or that Safety-Kleen's recycling process does not effectively remove the contaminants that become entrained in the solvent during their use. In addition, certain claimants assert that Safety-Kleen failed to adequately warn the product user of potential risks, including a historic failure to warn that solvent contains trace amounts of toxic or hazardous substances such as benzene.</w:t>
      </w:r>
    </w:p>
    <w:p>
      <w:pPr>
        <w:spacing w:after="0" w:line="23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Safety-Kleen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Safety-Kleen also believes that these claims lack merit and has historically vigorously defended, and intends to continue to vigorously defend, itself and the safety of its products against all these claims. Such matters are subject to many uncertainties and outcomes are not predictable with assurance. Consequently, Safety-Kleen is unable to ascertain the ultimate aggregate amount of monetary liability or financial impact with respect to these matters as of March 31, 2019. From January 1, 2019 to March 31, 2019, seven product liability claims were settled or dismissed. Due to the nature of these claims and the related insurance, the Company did not incur any expense as Safety-Kleen's insurance provided coverage in full for all such claims. Safety-Kleen may be named in similar, additional lawsuits in the future, including claims for which insurance coverage may not be available.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Superfund Proceedings</w:t>
      </w:r>
    </w:p>
    <w:p>
      <w:pPr>
        <w:spacing w:after="0" w:line="14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been notified that either the Company (which, since December 28, 2012, includes Safety-Kleen) or the prior owners of certain of the Company's facilities for which the Company may have certain indemnification obligations have been identified as potentially responsible parties ("PRPs") or potential PRPs in connection with 128 sites which are subject to or are proposed to become subject to proceedings under federal or state Superfund laws. Of the 128 sites, five (including the BR Facility described below) involve facilities that are now owned or leased by the Company and 123 involve third-party sites to which either the Company or the prior owners of certain of the Company’s facilities shipped wastes. Of the 123 third-party sites, 30 are now settled, 16 are currently requiring expenditures on remediation and 77 are not currently requiring expenditures on remediation.</w:t>
      </w:r>
    </w:p>
    <w:p>
      <w:pPr>
        <w:spacing w:after="0" w:line="107"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each site, the Company has estimated the extent, if any, to which it may be subject, either directly or as a result of any indemnification obligations, for cleanup and remediation costs, related legal and consulting costs associated with PRP</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liability could exceed $100,000 at ten of the 123 third-party sites.</w:t>
      </w:r>
    </w:p>
    <w:p>
      <w:pPr>
        <w:spacing w:after="0" w:line="24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BR Facility. </w:t>
      </w:r>
      <w:r>
        <w:rPr>
          <w:rFonts w:ascii="Times New Roman" w:cs="Times New Roman" w:eastAsia="Times New Roman" w:hAnsi="Times New Roman"/>
          <w:sz w:val="18"/>
          <w:szCs w:val="18"/>
          <w:color w:val="auto"/>
        </w:rPr>
        <w:t>The Company acquired in 2002 a former hazardous waste incinerator and landfill in Baton Rouge (the "BR Facility"), for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had been previously discontinued by the prior owner. In September 2007, the U.S. Environmental Protection Agency ("the EPA")" issued a special notice letter to the Company related to the Devil's Swamp Lake Site ("Devil's Swamp") in East Baton Rouge Parish, Louisiana. Devil's Swamp includes a lake located downstream of an outfall ditch where wastewater and storm water have been discharged, and Devil's Swamp is proposed to be included on the National Priorities List due to the presence of Contaminants of Concern ("COC") cited by the EPA. These COCs include substances of the kind found in wastewater and storm water discharged from the BR Facility in past operations. The EPA originally requested COC generators to submit a good faith offer to conduct a remedial investigation feasibility study directed towards the eventual remediation of the site. In 2018 the Company completed performing corrective actions at the BR Facility under an order issued by the Louisiana Department of Environmental Quality, and has also completed conducting the remedial investigation and feasibility study for Devil's Swamp under an order issued by the EPA. The Company cannot presently estimate the potential additional liability for the Devil's Swamp cleanup until a final remedy is selected by the EPA with issuance of a Record of Decision.</w:t>
      </w:r>
    </w:p>
    <w:p>
      <w:pPr>
        <w:spacing w:after="0" w:line="24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Third-Party Sites. </w:t>
      </w:r>
      <w:r>
        <w:rPr>
          <w:rFonts w:ascii="Times New Roman" w:cs="Times New Roman" w:eastAsia="Times New Roman" w:hAnsi="Times New Roman"/>
          <w:sz w:val="18"/>
          <w:szCs w:val="18"/>
          <w:color w:val="auto"/>
        </w:rPr>
        <w:t>Of the 123 third-party sites at which the Company has been notified it is a PRP or potential PRP or may have indemnification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Clean Harbors has an indemnification agreement at 11 of these sites with ChemWaste, a former subsidiary of Waste Management, Inc., and at six additional of these third-party sites, Safety-Kleen has a similar indemnification agreement with McKesson Corporation. These agreements indemnify the Company (which now includes Safety-Kleen) with respect to any liability at the 17 sites for waste disposed prior to the Company's (or Safety-Kleen's) acquisition of the former subsidiaries of Waste Management and McKesson which had shipped wastes to those sites. Accordingly, Waste Management or McKesson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the indemnification agreements which the Company holds from ChemWaste, McKesson and two other entities, the Company does not have an indemnity agreement with respect to any of the 123 third-party sites discussed above.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State and Provincial Enforcement Actions</w:t>
      </w:r>
    </w:p>
    <w:p>
      <w:pPr>
        <w:spacing w:after="0" w:line="14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pays fines or penalties in regulatory proceedings relating primarily to waste treatment, storage or disposal facilities. As of March 31, 2019 and December 31, 2018, there were 11 and ten proceedings, respectively, for which the Company reasonably believes that the sanctions could equal or exceed $100,000. The Company believes that the fines or other penalties in these or any of the other regulatory proceedings will, individually or in the aggregate, not have a material effect on its financial condition, results of operations or cash flows.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14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2019, the Company’s leases were all operating leases except for a single finance lease related to the Company’s corporate headquarters, which was amended during the first quarter of 2019, resulting in the classification as a finance lease.</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lease expense was as follows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97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Ended March 31, 2019</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13,362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ROU asset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7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98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finance lease cost</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19,714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lease cost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34,884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8"/>
                <w:szCs w:val="18"/>
                <w:color w:val="auto"/>
              </w:rPr>
              <w:t>Other information related to leases was as follows (in thousands, except lease term and discount rate):</w:t>
            </w: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98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20" w:type="dxa"/>
            <w:vAlign w:val="bottom"/>
            <w:tcBorders>
              <w:bottom w:val="single" w:sz="8" w:color="CCEEFF"/>
            </w:tcBorders>
          </w:tcPr>
          <w:p>
            <w:pPr>
              <w:spacing w:after="0"/>
              <w:rPr>
                <w:sz w:val="24"/>
                <w:szCs w:val="24"/>
                <w:color w:val="auto"/>
              </w:rPr>
            </w:pPr>
          </w:p>
        </w:tc>
        <w:tc>
          <w:tcPr>
            <w:tcW w:w="9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Lease Balance Sheet Information:</w:t>
            </w: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170,550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lease (included in property, plant and equipment, net)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22,782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43,858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Finance lease (included in accrued expenses)</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 of lease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128,689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lease (included in deferred taxes, unrecognized tax benefits and other long-term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23,797</w:t>
            </w:r>
          </w:p>
        </w:tc>
        <w:tc>
          <w:tcPr>
            <w:tcW w:w="0" w:type="dxa"/>
            <w:vAlign w:val="bottom"/>
          </w:tcPr>
          <w:p>
            <w:pPr>
              <w:spacing w:after="0"/>
              <w:rPr>
                <w:sz w:val="1"/>
                <w:szCs w:val="1"/>
                <w:color w:val="auto"/>
              </w:rPr>
            </w:pPr>
          </w:p>
        </w:tc>
      </w:tr>
      <w:tr>
        <w:trPr>
          <w:trHeight w:val="508"/>
        </w:trPr>
        <w:tc>
          <w:tcPr>
            <w:tcW w:w="20" w:type="dxa"/>
            <w:vAlign w:val="bottom"/>
          </w:tcPr>
          <w:p>
            <w:pPr>
              <w:spacing w:after="0"/>
              <w:rPr>
                <w:sz w:val="24"/>
                <w:szCs w:val="24"/>
                <w:color w:val="auto"/>
              </w:rPr>
            </w:pPr>
          </w:p>
        </w:tc>
        <w:tc>
          <w:tcPr>
            <w:tcW w:w="9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(years)</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w:t>
            </w:r>
          </w:p>
        </w:tc>
        <w:tc>
          <w:tcPr>
            <w:tcW w:w="120" w:type="dxa"/>
            <w:vAlign w:val="bottom"/>
          </w:tcPr>
          <w:p>
            <w:pPr>
              <w:spacing w:after="0"/>
              <w:rPr>
                <w:sz w:val="21"/>
                <w:szCs w:val="21"/>
                <w:color w:val="auto"/>
              </w:rPr>
            </w:pPr>
          </w:p>
        </w:tc>
        <w:tc>
          <w:tcPr>
            <w:tcW w:w="14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594"/>
        </w:trPr>
        <w:tc>
          <w:tcPr>
            <w:tcW w:w="9760" w:type="dxa"/>
            <w:vAlign w:val="bottom"/>
            <w:gridSpan w:val="2"/>
          </w:tcPr>
          <w:p>
            <w:pPr>
              <w:jc w:val="right"/>
              <w:ind w:right="387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At March 31, 2019, our future lease payments under non-cancelable leases that have lease terms in excess of one year were as follows (in thousands):</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300" w:type="dxa"/>
            <w:vAlign w:val="bottom"/>
          </w:tcPr>
          <w:p>
            <w:pPr>
              <w:spacing w:after="0"/>
              <w:rPr>
                <w:sz w:val="13"/>
                <w:szCs w:val="13"/>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40" w:type="dxa"/>
            <w:vAlign w:val="bottom"/>
          </w:tcPr>
          <w:p>
            <w:pPr>
              <w:spacing w:after="0"/>
              <w:rPr>
                <w:sz w:val="13"/>
                <w:szCs w:val="13"/>
                <w:color w:val="auto"/>
              </w:rPr>
            </w:pPr>
          </w:p>
        </w:tc>
        <w:tc>
          <w:tcPr>
            <w:tcW w:w="12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60"/>
        </w:trPr>
        <w:tc>
          <w:tcPr>
            <w:tcW w:w="81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Leases</w:t>
            </w:r>
          </w:p>
        </w:tc>
        <w:tc>
          <w:tcPr>
            <w:tcW w:w="340" w:type="dxa"/>
            <w:vAlign w:val="bottom"/>
          </w:tcPr>
          <w:p>
            <w:pPr>
              <w:spacing w:after="0"/>
              <w:rPr>
                <w:sz w:val="13"/>
                <w:szCs w:val="13"/>
                <w:color w:val="auto"/>
              </w:rPr>
            </w:pPr>
          </w:p>
        </w:tc>
        <w:tc>
          <w:tcPr>
            <w:tcW w:w="1260" w:type="dxa"/>
            <w:vAlign w:val="bottom"/>
          </w:tcPr>
          <w:p>
            <w:pPr>
              <w:jc w:val="right"/>
              <w:ind w:right="533"/>
              <w:spacing w:after="0" w:line="160" w:lineRule="exact"/>
              <w:rPr>
                <w:sz w:val="20"/>
                <w:szCs w:val="20"/>
                <w:color w:val="auto"/>
              </w:rPr>
            </w:pPr>
            <w:r>
              <w:rPr>
                <w:rFonts w:ascii="Times New Roman" w:cs="Times New Roman" w:eastAsia="Times New Roman" w:hAnsi="Times New Roman"/>
                <w:sz w:val="14"/>
                <w:szCs w:val="14"/>
                <w:b w:val="1"/>
                <w:bCs w:val="1"/>
                <w:color w:val="auto"/>
              </w:rPr>
              <w:t>Lease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8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 (nine months)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40,019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43"/>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6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44,558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6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33,147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43"/>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6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26,081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18,498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43"/>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12,525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26,037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40,636</w:t>
            </w:r>
          </w:p>
        </w:tc>
        <w:tc>
          <w:tcPr>
            <w:tcW w:w="0" w:type="dxa"/>
            <w:vAlign w:val="bottom"/>
          </w:tcPr>
          <w:p>
            <w:pPr>
              <w:spacing w:after="0"/>
              <w:rPr>
                <w:sz w:val="1"/>
                <w:szCs w:val="1"/>
                <w:color w:val="auto"/>
              </w:rPr>
            </w:pPr>
          </w:p>
        </w:tc>
      </w:tr>
      <w:tr>
        <w:trPr>
          <w:trHeight w:val="237"/>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200,865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51,191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representing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(26,981)</w:t>
            </w:r>
          </w:p>
        </w:tc>
        <w:tc>
          <w:tcPr>
            <w:tcW w:w="0" w:type="dxa"/>
            <w:vAlign w:val="bottom"/>
          </w:tcPr>
          <w:p>
            <w:pPr>
              <w:spacing w:after="0"/>
              <w:rPr>
                <w:sz w:val="1"/>
                <w:szCs w:val="1"/>
                <w:color w:val="auto"/>
              </w:rPr>
            </w:pPr>
          </w:p>
        </w:tc>
      </w:tr>
      <w:tr>
        <w:trPr>
          <w:trHeight w:val="257"/>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172,547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At March 31, 2019, none of our executed leases that had not yet commenced will create significant rights or obligations in the future and our sublease transactions are not material. Additionally, the Company does not have any related party leases and there were no restrictions or covenants imposed by its leases.</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Disclosures related to periods prior to adoption of Topic 842</w:t>
      </w:r>
    </w:p>
    <w:p>
      <w:pPr>
        <w:spacing w:after="0" w:line="322"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following is a summary of future minimum payments under operating leases that have initial or remaining non-cancelable lease terms in excess of one year at December 31, 2018 (in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9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00" w:type="dxa"/>
            <w:vAlign w:val="bottom"/>
          </w:tcPr>
          <w:p>
            <w:pPr>
              <w:spacing w:after="0"/>
              <w:rPr>
                <w:sz w:val="12"/>
                <w:szCs w:val="12"/>
                <w:color w:val="auto"/>
              </w:rPr>
            </w:pPr>
          </w:p>
        </w:tc>
        <w:tc>
          <w:tcPr>
            <w:tcW w:w="1300" w:type="dxa"/>
            <w:vAlign w:val="bottom"/>
          </w:tcPr>
          <w:p>
            <w:pPr>
              <w:jc w:val="center"/>
              <w:ind w:right="215"/>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60"/>
        </w:trPr>
        <w:tc>
          <w:tcPr>
            <w:tcW w:w="98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center"/>
              <w:ind w:right="215"/>
              <w:spacing w:after="0" w:line="160" w:lineRule="exact"/>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9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56,480</w:t>
            </w:r>
          </w:p>
        </w:tc>
        <w:tc>
          <w:tcPr>
            <w:tcW w:w="0" w:type="dxa"/>
            <w:vAlign w:val="bottom"/>
          </w:tcPr>
          <w:p>
            <w:pPr>
              <w:spacing w:after="0"/>
              <w:rPr>
                <w:sz w:val="1"/>
                <w:szCs w:val="1"/>
                <w:color w:val="auto"/>
              </w:rPr>
            </w:pPr>
          </w:p>
        </w:tc>
      </w:tr>
      <w:tr>
        <w:trPr>
          <w:trHeight w:val="243"/>
        </w:trPr>
        <w:tc>
          <w:tcPr>
            <w:tcW w:w="9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45,467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33,564</w:t>
            </w:r>
          </w:p>
        </w:tc>
        <w:tc>
          <w:tcPr>
            <w:tcW w:w="0" w:type="dxa"/>
            <w:vAlign w:val="bottom"/>
          </w:tcPr>
          <w:p>
            <w:pPr>
              <w:spacing w:after="0"/>
              <w:rPr>
                <w:sz w:val="1"/>
                <w:szCs w:val="1"/>
                <w:color w:val="auto"/>
              </w:rPr>
            </w:pPr>
          </w:p>
        </w:tc>
      </w:tr>
      <w:tr>
        <w:trPr>
          <w:trHeight w:val="243"/>
        </w:trPr>
        <w:tc>
          <w:tcPr>
            <w:tcW w:w="9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24,509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15,253</w:t>
            </w:r>
          </w:p>
        </w:tc>
        <w:tc>
          <w:tcPr>
            <w:tcW w:w="0" w:type="dxa"/>
            <w:vAlign w:val="bottom"/>
          </w:tcPr>
          <w:p>
            <w:pPr>
              <w:spacing w:after="0"/>
              <w:rPr>
                <w:sz w:val="1"/>
                <w:szCs w:val="1"/>
                <w:color w:val="auto"/>
              </w:rPr>
            </w:pPr>
          </w:p>
        </w:tc>
      </w:tr>
      <w:tr>
        <w:trPr>
          <w:trHeight w:val="243"/>
        </w:trPr>
        <w:tc>
          <w:tcPr>
            <w:tcW w:w="9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35,778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211,051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2018, 2017 and 2016, rent expense including short-term rentals was approximately $141.1 million, $125.4 million, and $121.9 million,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w:t>
      </w:r>
    </w:p>
    <w:p>
      <w:pPr>
        <w:spacing w:after="0" w:line="14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Segment reporting is prepared on the same basis that the Company's chief executive officer, who is the Company's chief operating decision maker, manages the business, makes operating decisions and assesses performance. The Company's operations are managed in two operating segments: Environmental Services and Safety-Kleen.</w:t>
      </w:r>
    </w:p>
    <w:p>
      <w:pPr>
        <w:spacing w:after="0" w:line="9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Third-party revenue is revenue billed to outside customers by a particular segment. Direct revenue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operations not managed through the Company’s operating segments described above are recorded as “Corporate Items.”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third-party revenues to direct revenues for the three months ended March 31, 2019 and March 31, 2018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9"/>
          </w:tcPr>
          <w:p>
            <w:pPr>
              <w:ind w:left="7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2019</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9"/>
          </w:tcPr>
          <w:p>
            <w:pPr>
              <w:ind w:left="7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2018</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120" w:type="dxa"/>
            <w:vAlign w:val="bottom"/>
          </w:tcPr>
          <w:p>
            <w:pPr>
              <w:spacing w:after="0"/>
              <w:rPr>
                <w:sz w:val="12"/>
                <w:szCs w:val="12"/>
                <w:color w:val="auto"/>
              </w:rPr>
            </w:pPr>
          </w:p>
        </w:tc>
        <w:tc>
          <w:tcPr>
            <w:tcW w:w="11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Direct revenues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140" w:type="dxa"/>
            <w:vAlign w:val="bottom"/>
          </w:tcPr>
          <w:p>
            <w:pPr>
              <w:spacing w:after="0"/>
              <w:rPr>
                <w:sz w:val="12"/>
                <w:szCs w:val="12"/>
                <w:color w:val="auto"/>
              </w:rPr>
            </w:pPr>
          </w:p>
        </w:tc>
        <w:tc>
          <w:tcPr>
            <w:tcW w:w="11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16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Direct revenues</w:t>
            </w:r>
          </w:p>
        </w:tc>
        <w:tc>
          <w:tcPr>
            <w:tcW w:w="0" w:type="dxa"/>
            <w:vAlign w:val="bottom"/>
          </w:tcPr>
          <w:p>
            <w:pPr>
              <w:spacing w:after="0"/>
              <w:rPr>
                <w:sz w:val="1"/>
                <w:szCs w:val="1"/>
                <w:color w:val="auto"/>
              </w:rPr>
            </w:pPr>
          </w:p>
        </w:tc>
      </w:tr>
      <w:tr>
        <w:trPr>
          <w:trHeight w:val="195"/>
        </w:trPr>
        <w:tc>
          <w:tcPr>
            <w:tcW w:w="2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4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Items, net</w:t>
            </w:r>
          </w:p>
        </w:tc>
        <w:tc>
          <w:tcPr>
            <w:tcW w:w="11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6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Items, net</w:t>
            </w: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Environmental Services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473,698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34,075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509,022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439,688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31,965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472,447</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Safety-Kleen</w:t>
            </w:r>
          </w:p>
        </w:tc>
        <w:tc>
          <w:tcPr>
            <w:tcW w:w="14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306,547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272,477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309,918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277,964</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Items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594</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57"/>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780,839</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780,839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749,778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749,778</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primary financial measure by which the Company evaluates the performance of its segments is "Adjusted EBITDA," which consists of net income (loss) plus accretion of environmental liabilities, depreciation and amortization, interest expense, net of interest income, provision for income taxes and other gains or non-cash charges not deemed representative of fundamental segment results and excludes other (income) expense, net. Transactions between the segments are accounted for at the Company’s best estimate based on similar transactions with outside customers.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Adjusted EBITDA information used by management by reported segment (in thousands):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275"/>
        </w:trPr>
        <w:tc>
          <w:tcPr>
            <w:tcW w:w="488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80" w:type="dxa"/>
            <w:vAlign w:val="bottom"/>
            <w:tcBorders>
              <w:bottom w:val="single" w:sz="8" w:color="CCEEFF"/>
            </w:tcBorders>
          </w:tcPr>
          <w:p>
            <w:pPr>
              <w:spacing w:after="0"/>
              <w:rPr>
                <w:sz w:val="22"/>
                <w:szCs w:val="22"/>
                <w:color w:val="auto"/>
              </w:rPr>
            </w:pPr>
          </w:p>
        </w:tc>
        <w:tc>
          <w:tcPr>
            <w:tcW w:w="34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5"/>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Environmental Services</w:t>
            </w:r>
          </w:p>
        </w:tc>
        <w:tc>
          <w:tcPr>
            <w:tcW w:w="38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89,510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61,417</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Safety-Kleen</w:t>
            </w:r>
          </w:p>
        </w:tc>
        <w:tc>
          <w:tcPr>
            <w:tcW w:w="3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54,793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61,884</w:t>
            </w:r>
          </w:p>
        </w:tc>
        <w:tc>
          <w:tcPr>
            <w:tcW w:w="0" w:type="dxa"/>
            <w:vAlign w:val="bottom"/>
          </w:tcPr>
          <w:p>
            <w:pPr>
              <w:spacing w:after="0"/>
              <w:rPr>
                <w:sz w:val="1"/>
                <w:szCs w:val="1"/>
                <w:color w:val="auto"/>
              </w:rPr>
            </w:pPr>
          </w:p>
        </w:tc>
      </w:tr>
      <w:tr>
        <w:trPr>
          <w:trHeight w:val="243"/>
        </w:trPr>
        <w:tc>
          <w:tcPr>
            <w:tcW w:w="4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Items</w:t>
            </w:r>
          </w:p>
        </w:tc>
        <w:tc>
          <w:tcPr>
            <w:tcW w:w="3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(35,036)</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101,663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88,265</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to Consolidated Statements of Operations:</w:t>
            </w:r>
          </w:p>
        </w:tc>
        <w:tc>
          <w:tcPr>
            <w:tcW w:w="3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3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43"/>
        </w:trPr>
        <w:tc>
          <w:tcPr>
            <w:tcW w:w="4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75,355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74,844</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from operations</w:t>
            </w:r>
          </w:p>
        </w:tc>
        <w:tc>
          <w:tcPr>
            <w:tcW w:w="3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23,734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10,991</w:t>
            </w:r>
          </w:p>
        </w:tc>
        <w:tc>
          <w:tcPr>
            <w:tcW w:w="0" w:type="dxa"/>
            <w:vAlign w:val="bottom"/>
          </w:tcPr>
          <w:p>
            <w:pPr>
              <w:spacing w:after="0"/>
              <w:rPr>
                <w:sz w:val="1"/>
                <w:szCs w:val="1"/>
                <w:color w:val="auto"/>
              </w:rPr>
            </w:pPr>
          </w:p>
        </w:tc>
      </w:tr>
      <w:tr>
        <w:trPr>
          <w:trHeight w:val="243"/>
        </w:trPr>
        <w:tc>
          <w:tcPr>
            <w:tcW w:w="4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34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19,764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20,270</w:t>
            </w:r>
          </w:p>
        </w:tc>
        <w:tc>
          <w:tcPr>
            <w:tcW w:w="0" w:type="dxa"/>
            <w:vAlign w:val="bottom"/>
          </w:tcPr>
          <w:p>
            <w:pPr>
              <w:spacing w:after="0"/>
              <w:rPr>
                <w:sz w:val="1"/>
                <w:szCs w:val="1"/>
                <w:color w:val="auto"/>
              </w:rPr>
            </w:pPr>
          </w:p>
        </w:tc>
      </w:tr>
      <w:tr>
        <w:trPr>
          <w:trHeight w:val="257"/>
        </w:trPr>
        <w:tc>
          <w:tcPr>
            <w:tcW w:w="4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4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6,953</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460" w:type="dxa"/>
            <w:vAlign w:val="bottom"/>
            <w:vMerge w:val="restart"/>
          </w:tcPr>
          <w:p>
            <w:pPr>
              <w:jc w:val="right"/>
              <w:ind w:right="247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8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certain assets by reportable segment and in the aggregate (in thousands):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6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Environmental Services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953,960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951,867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Safety-Kleen</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561,041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553,220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Corporate Items</w:t>
            </w:r>
          </w:p>
        </w:tc>
        <w:tc>
          <w:tcPr>
            <w:tcW w:w="2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73,612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56,891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1,588,613</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1,561,978</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 and Permits and other intangibles, net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Environmental Services</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204,860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207,019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2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95,040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93,313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Environmental Services</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299,900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300,332</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Safety-Kleen</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313,050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307,170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343,918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348,562</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Safety-Kleen</w:t>
            </w: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656,968</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655,732</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956,868</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956,064</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8"/>
                <w:szCs w:val="18"/>
                <w:color w:val="auto"/>
              </w:rPr>
              <w:t>The following table presents the total assets by reportable segment (in thousands):</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81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20" w:type="dxa"/>
            <w:vAlign w:val="bottom"/>
            <w:tcBorders>
              <w:bottom w:val="single" w:sz="8" w:color="CCEEFF"/>
            </w:tcBorders>
          </w:tcPr>
          <w:p>
            <w:pPr>
              <w:spacing w:after="0"/>
              <w:rPr>
                <w:sz w:val="24"/>
                <w:szCs w:val="24"/>
                <w:color w:val="auto"/>
              </w:rPr>
            </w:pPr>
          </w:p>
        </w:tc>
        <w:tc>
          <w:tcPr>
            <w:tcW w:w="8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0" w:type="dxa"/>
            <w:vAlign w:val="bottom"/>
            <w:tcBorders>
              <w:bottom w:val="single" w:sz="8" w:color="CCEEFF"/>
            </w:tcBorders>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Services</w:t>
            </w: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1,724,208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1,640,706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Safety-Kleen</w:t>
            </w:r>
          </w:p>
        </w:tc>
        <w:tc>
          <w:tcPr>
            <w:tcW w:w="2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1,518,723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1,431,381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Items</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639,123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666,234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3,882,054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3,738,321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81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The following table presents the total assets by geographical area (in thousands):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20" w:type="dxa"/>
            <w:vAlign w:val="bottom"/>
            <w:tcBorders>
              <w:bottom w:val="single" w:sz="8" w:color="CCEEFF"/>
            </w:tcBorders>
          </w:tcPr>
          <w:p>
            <w:pPr>
              <w:spacing w:after="0"/>
              <w:rPr>
                <w:sz w:val="24"/>
                <w:szCs w:val="24"/>
                <w:color w:val="auto"/>
              </w:rPr>
            </w:pPr>
          </w:p>
        </w:tc>
        <w:tc>
          <w:tcPr>
            <w:tcW w:w="8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0" w:type="dxa"/>
            <w:vAlign w:val="bottom"/>
            <w:tcBorders>
              <w:bottom w:val="single" w:sz="8" w:color="CCEEFF"/>
            </w:tcBorders>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3,212,979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3,090,311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669,075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648,010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3,882,054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3,738,321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GUARANTOR AND NON-GUARANTOR SUBSIDIARIES FINANCIAL INFORMATION</w:t>
      </w:r>
    </w:p>
    <w:p>
      <w:pPr>
        <w:spacing w:after="0" w:line="14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2021 Notes and the Company's obligations under its Term Loan Agreement are guaranteed by substantially all of the Company’s subsidiaries organized in the United States. Each guarantor is a 100% owned subsidiary of Clean Harbors, Inc. and its guarantee is both full and unconditional and joint and several. The guarantees are, however, subject to customary release provisions under which the guarantee of any domestic restricted subsidiary will be released if the Company sells such subsidiary to an unrelated third party in accordance with the terms of the indentures which govern the 2021 Notes and of the Term Loan Agreement. The 2021 Notes and the Company's obligations under its Term Loan Agreement are not guaranteed by the Company’s subsidiaries organized outside the United States. The following supplemental condensed consolidating financial information for the parent company, the guarantor subsidiaries and the non-guarantor subsidiaries, respectively, is presented in conformity with the requirements of Rule 3-10 of SEC Regulation S-X (“Rule 3-10”).</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the condensed consolidating balance sheet at March 31, 2019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Clean</w:t>
            </w:r>
          </w:p>
        </w:tc>
        <w:tc>
          <w:tcPr>
            <w:tcW w:w="22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4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3"/>
                <w:szCs w:val="13"/>
                <w:color w:val="auto"/>
              </w:rPr>
            </w:pPr>
          </w:p>
        </w:tc>
        <w:tc>
          <w:tcPr>
            <w:tcW w:w="98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Harbors, Inc.</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27,431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75,099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64,841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167,371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57,356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57,477</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Intercompany receivables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268,195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701,583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58,138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(1,027,916)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526,047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87,460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613,507</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281,802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44,525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309,767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1,261,206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327,407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1,588,613</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3,176,613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566,296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(3,742,909)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Intercompany debt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137,591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32,959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170,550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459,139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58,771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517,910</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390,838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48,120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438,958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13,530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17,901</w:t>
            </w:r>
          </w:p>
        </w:tc>
        <w:tc>
          <w:tcPr>
            <w:tcW w:w="0" w:type="dxa"/>
            <w:vAlign w:val="bottom"/>
          </w:tcPr>
          <w:p>
            <w:pPr>
              <w:spacing w:after="0"/>
              <w:rPr>
                <w:sz w:val="1"/>
                <w:szCs w:val="1"/>
                <w:color w:val="auto"/>
              </w:rPr>
            </w:pPr>
          </w:p>
        </w:tc>
      </w:tr>
      <w:tr>
        <w:trPr>
          <w:trHeight w:val="297"/>
        </w:trPr>
        <w:tc>
          <w:tcPr>
            <w:tcW w:w="45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3,473,797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4,428,031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803,480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(4,823,254)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3,882,054</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35,686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431,891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146,493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597,510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Intercompany payables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702,141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325,025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Closure, post-closure and remedial liabilities, net</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147,944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17,524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165,468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obligations,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1,564,005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1,564,005</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104,374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24,315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128,689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Intercompany debt payable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14,900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233,979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20,407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254,417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2,301,832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1,264,213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224,389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2,710,089</w:t>
            </w:r>
          </w:p>
        </w:tc>
        <w:tc>
          <w:tcPr>
            <w:tcW w:w="0" w:type="dxa"/>
            <w:vAlign w:val="bottom"/>
          </w:tcPr>
          <w:p>
            <w:pPr>
              <w:spacing w:after="0"/>
              <w:rPr>
                <w:sz w:val="1"/>
                <w:szCs w:val="1"/>
                <w:color w:val="auto"/>
              </w:rPr>
            </w:pPr>
          </w:p>
        </w:tc>
      </w:tr>
      <w:tr>
        <w:trPr>
          <w:trHeight w:val="237"/>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1,171,965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3,163,818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579,091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(3,742,909)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1,171,965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3,473,797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4,428,031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803,480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(4,823,254)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3,882,054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the condensed consolidating balance sheet at December 31, 2018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Clean</w:t>
            </w:r>
          </w:p>
        </w:tc>
        <w:tc>
          <w:tcPr>
            <w:tcW w:w="22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4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3"/>
                <w:szCs w:val="13"/>
                <w:color w:val="auto"/>
              </w:rPr>
            </w:pPr>
          </w:p>
        </w:tc>
        <w:tc>
          <w:tcPr>
            <w:tcW w:w="98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Harbors, Inc.</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27,308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101,302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97,897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226,507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52,789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52,856</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Intercompany receivables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262,475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721,521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60,693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(1,044,689)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520,785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86,167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606,952</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289,869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49,631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315,843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1,233,578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328,400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1,561,978</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3,162,704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571,304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(3,734,008)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Intercompany debt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14,669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456,307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57,882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514,189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393,045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48,830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441,875</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18,121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3,454,105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4,315,925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806,314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(4,838,023)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3,738,321</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20,170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457,164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148,601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602,278</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Intercompany payables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699,158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321,846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23,685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(1,044,689)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Closure, post-closure and remedial liabilities,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151,480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16,434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167,914</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obligations, net</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1,565,021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1,565,021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Intercompany debt payable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14,669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212,924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20,428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233,352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2,284,349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1,164,414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223,817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(1,104,015)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2,568,565</w:t>
            </w:r>
          </w:p>
        </w:tc>
        <w:tc>
          <w:tcPr>
            <w:tcW w:w="0" w:type="dxa"/>
            <w:vAlign w:val="bottom"/>
          </w:tcPr>
          <w:p>
            <w:pPr>
              <w:spacing w:after="0"/>
              <w:rPr>
                <w:sz w:val="1"/>
                <w:szCs w:val="1"/>
                <w:color w:val="auto"/>
              </w:rPr>
            </w:pPr>
          </w:p>
        </w:tc>
      </w:tr>
      <w:tr>
        <w:trPr>
          <w:trHeight w:val="237"/>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1,169,756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3,151,511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582,497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(3,734,008)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1,169,756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3,454,105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4,315,925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806,314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(4,838,023)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3,738,321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the consolidating statement of operations for the three months ended March 31, 2019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Clean</w:t>
            </w:r>
          </w:p>
        </w:tc>
        <w:tc>
          <w:tcPr>
            <w:tcW w:w="22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320" w:type="dxa"/>
            <w:vAlign w:val="bottom"/>
          </w:tcPr>
          <w:p>
            <w:pPr>
              <w:spacing w:after="0"/>
              <w:rPr>
                <w:sz w:val="13"/>
                <w:szCs w:val="13"/>
                <w:color w:val="auto"/>
              </w:rPr>
            </w:pPr>
          </w:p>
        </w:tc>
        <w:tc>
          <w:tcPr>
            <w:tcW w:w="104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Harbors, Inc.</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529,656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144,139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656,658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115,038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124,181</w:t>
            </w:r>
          </w:p>
        </w:tc>
        <w:tc>
          <w:tcPr>
            <w:tcW w:w="0" w:type="dxa"/>
            <w:vAlign w:val="bottom"/>
          </w:tcPr>
          <w:p>
            <w:pPr>
              <w:spacing w:after="0"/>
              <w:rPr>
                <w:sz w:val="1"/>
                <w:szCs w:val="1"/>
                <w:color w:val="auto"/>
              </w:rPr>
            </w:pPr>
          </w:p>
        </w:tc>
      </w:tr>
      <w:tr>
        <w:trPr>
          <w:trHeight w:val="237"/>
        </w:trPr>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644,694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156,523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780,839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Cost of revenues (exclusive of items shown separately</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below)</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cost of revenues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356,590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124,030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463,483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99,357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100,881</w:t>
            </w:r>
          </w:p>
        </w:tc>
        <w:tc>
          <w:tcPr>
            <w:tcW w:w="0" w:type="dxa"/>
            <w:vAlign w:val="bottom"/>
          </w:tcPr>
          <w:p>
            <w:pPr>
              <w:spacing w:after="0"/>
              <w:rPr>
                <w:sz w:val="1"/>
                <w:szCs w:val="1"/>
                <w:color w:val="auto"/>
              </w:rPr>
            </w:pPr>
          </w:p>
        </w:tc>
      </w:tr>
      <w:tr>
        <w:trPr>
          <w:trHeight w:val="237"/>
        </w:trPr>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cost of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455,947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128,795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564,364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93,526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21,229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114,812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57,335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18,020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75,355</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35,619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23,734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2,983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earnings of subsidiaries, net of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15,636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Intercompany interest income (expense)</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(Loss) income before (benefit) provision for income</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25,451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6,953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11,418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5,977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14,033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4,024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18,057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7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121" w:right="259" w:bottom="738" w:gutter="0" w:footer="0" w:header="0"/>
          <w:type w:val="continuous"/>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the consolidating statement of operations for the three months ended March 31, 2018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Clean</w:t>
            </w:r>
          </w:p>
        </w:tc>
        <w:tc>
          <w:tcPr>
            <w:tcW w:w="22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320" w:type="dxa"/>
            <w:vAlign w:val="bottom"/>
          </w:tcPr>
          <w:p>
            <w:pPr>
              <w:spacing w:after="0"/>
              <w:rPr>
                <w:sz w:val="13"/>
                <w:szCs w:val="13"/>
                <w:color w:val="auto"/>
              </w:rPr>
            </w:pPr>
          </w:p>
        </w:tc>
        <w:tc>
          <w:tcPr>
            <w:tcW w:w="104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Harbors, Inc.</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481,483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152,401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619,719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121,582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11,450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130,059</w:t>
            </w:r>
          </w:p>
        </w:tc>
        <w:tc>
          <w:tcPr>
            <w:tcW w:w="0" w:type="dxa"/>
            <w:vAlign w:val="bottom"/>
          </w:tcPr>
          <w:p>
            <w:pPr>
              <w:spacing w:after="0"/>
              <w:rPr>
                <w:sz w:val="1"/>
                <w:szCs w:val="1"/>
                <w:color w:val="auto"/>
              </w:rPr>
            </w:pPr>
          </w:p>
        </w:tc>
      </w:tr>
      <w:tr>
        <w:trPr>
          <w:trHeight w:val="237"/>
        </w:trPr>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603,065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163,851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749,778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Cost of revenues (exclusive of items shown separately</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below)</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cost of revenues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328,180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133,634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447,649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95,038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98,776</w:t>
            </w:r>
          </w:p>
        </w:tc>
        <w:tc>
          <w:tcPr>
            <w:tcW w:w="0" w:type="dxa"/>
            <w:vAlign w:val="bottom"/>
          </w:tcPr>
          <w:p>
            <w:pPr>
              <w:spacing w:after="0"/>
              <w:rPr>
                <w:sz w:val="1"/>
                <w:szCs w:val="1"/>
                <w:color w:val="auto"/>
              </w:rPr>
            </w:pPr>
          </w:p>
        </w:tc>
      </w:tr>
      <w:tr>
        <w:trPr>
          <w:trHeight w:val="237"/>
        </w:trPr>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cost of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423,218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140,345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546,425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93,843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21,210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115,088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53,704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21,140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74,844</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30,124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10,991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earnings of subsidiaries, net of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17,548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Intercompany interest income (expense)</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(Loss) income before (benefit) provision for income</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17,548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3,053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17,548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30,753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48,301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121" w:right="259" w:bottom="0" w:gutter="0" w:footer="0" w:header="0"/>
          <w:type w:val="continuous"/>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the condensed consolidating statement of cash flows for the three months ended March 31, 2019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Clean</w:t>
            </w:r>
          </w:p>
        </w:tc>
        <w:tc>
          <w:tcPr>
            <w:tcW w:w="18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3"/>
                <w:szCs w:val="13"/>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4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3"/>
                <w:szCs w:val="13"/>
                <w:color w:val="auto"/>
              </w:rPr>
            </w:pPr>
          </w:p>
        </w:tc>
        <w:tc>
          <w:tcPr>
            <w:tcW w:w="86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0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Harbors, Inc.</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50,344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29,740</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(58,947)</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and disposal of fixed assets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4,321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(14,870)</w:t>
            </w:r>
          </w:p>
        </w:tc>
        <w:tc>
          <w:tcPr>
            <w:tcW w:w="0" w:type="dxa"/>
            <w:vAlign w:val="bottom"/>
          </w:tcPr>
          <w:p>
            <w:pPr>
              <w:spacing w:after="0"/>
              <w:rPr>
                <w:sz w:val="1"/>
                <w:szCs w:val="1"/>
                <w:color w:val="auto"/>
              </w:rPr>
            </w:pP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to intangible assets including costs to obtain or renew</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permits</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sale of available-for-sale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8,600</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Intercompany</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10,484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(71,978)</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(13,475)</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10,484</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(74,969)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uncashed checks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payments related to withholdings on vested restricted stock</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finance lease</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 on debt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Intercompany</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(15,368)</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 on cash</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(59,136)</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27,308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101,302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97,897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226,507</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27,431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75,099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64,841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167,371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the condensed consolidating statement of cash flows for the three months ended March 31, 2018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Clean</w:t>
            </w:r>
          </w:p>
        </w:tc>
        <w:tc>
          <w:tcPr>
            <w:tcW w:w="18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3"/>
                <w:szCs w:val="13"/>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4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3"/>
                <w:szCs w:val="13"/>
                <w:color w:val="auto"/>
              </w:rPr>
            </w:pPr>
          </w:p>
        </w:tc>
        <w:tc>
          <w:tcPr>
            <w:tcW w:w="88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0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Harbors, Inc.</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from (used in)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69,536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51,903</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(44,242)</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and disposal of fixed assets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to intangible assets including costs to obtain or renew</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permits</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available-for-sale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3,264</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Intercompany</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(174,073)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15,812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(164,428)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uncashed checks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payments related to withholdings on vested restricted stock</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(14,264)</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 on debt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Intercompany</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15,812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(19,655)</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 on cash</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(108,115)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(133,047)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51,638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207,777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59,984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319,399</w:t>
            </w:r>
          </w:p>
        </w:tc>
        <w:tc>
          <w:tcPr>
            <w:tcW w:w="0" w:type="dxa"/>
            <w:vAlign w:val="bottom"/>
          </w:tcPr>
          <w:p>
            <w:pPr>
              <w:spacing w:after="0"/>
              <w:rPr>
                <w:sz w:val="1"/>
                <w:szCs w:val="1"/>
                <w:color w:val="auto"/>
              </w:rPr>
            </w:pPr>
          </w:p>
        </w:tc>
      </w:tr>
      <w:tr>
        <w:trPr>
          <w:trHeight w:val="257"/>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51,781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99,662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34,909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186,352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83"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In addition to historical information, this Quarterly Report on Form 10-Q contains forward-looking statements, which are generally identifiable by use of the words “believes,” “expects,” “intends,” “anticipates,” “plans to,” “estimates,” “projects” or similar expressions. These forward-looking statements are subject to certain risks and uncertainties that could cause actual results to differ materially from those reflected in these forward-looking statements. Factors that might cause such a difference include, but are not limited to, those discussed under Item 1A, “Risk Factors,” in our Annual Report on Form 10-K filed with the Securities and Exchange Commission on February 27, 2019, under Item 1A, “Risk Factors,” included in Part II—Other Information in this report, and in other documents we file from time to time with the SEC. Readers are cautioned not to place undue reliance on these forward-looking statements, which reflect management’s opinions only as of the date hereof. We undertake no obligation to revise or publicly release the results of any revision to these forward-looking statements.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48"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We are North America’s leading provider of environmental, energy and industrial services. We believe we operate, in the aggregate, the largest number of hazardous waste incinerators, landfills and treatment, storage and disposal facilities ("TSDFs") in North America. We serve a diverse customer base, including Fortune 500 companies, across the chemical, energy, manufacturing and additional markets, as well as numerous government agencies. These customers rely on us to deliver a broad range of services including but not limited to end-to-end hazardous waste management, emergency response, industrial cleaning and maintenance and recycling services. We are also the largest re-refiner and recycler of used oil in the world and the largest provider of parts cleaning and related environmental services to commercial, industrial and automotive customers in North America.</w:t>
      </w:r>
    </w:p>
    <w:p>
      <w:pPr>
        <w:spacing w:after="0" w:line="242" w:lineRule="exact"/>
        <w:rPr>
          <w:sz w:val="20"/>
          <w:szCs w:val="20"/>
          <w:color w:val="auto"/>
        </w:rPr>
      </w:pPr>
    </w:p>
    <w:p>
      <w:pPr>
        <w:ind w:right="480" w:firstLine="405"/>
        <w:spacing w:after="0" w:line="266" w:lineRule="auto"/>
        <w:rPr>
          <w:sz w:val="20"/>
          <w:szCs w:val="20"/>
          <w:color w:val="auto"/>
        </w:rPr>
      </w:pPr>
      <w:r>
        <w:rPr>
          <w:rFonts w:ascii="Times New Roman" w:cs="Times New Roman" w:eastAsia="Times New Roman" w:hAnsi="Times New Roman"/>
          <w:sz w:val="18"/>
          <w:szCs w:val="18"/>
          <w:color w:val="auto"/>
        </w:rPr>
        <w:t>Performance of our segments is evaluated on several factors of which the primary financial measure is Adjusted EBITDA as described more fully below. The following is a discussion of how management evaluates its segments in regards to other factors including key performance indicators that management uses to assess the segments’ results, as well as certain macroeconomic trends and influences that impact each reportable segment:</w:t>
      </w:r>
    </w:p>
    <w:p>
      <w:pPr>
        <w:spacing w:after="0" w:line="172" w:lineRule="exact"/>
        <w:rPr>
          <w:sz w:val="20"/>
          <w:szCs w:val="20"/>
          <w:color w:val="auto"/>
        </w:rPr>
      </w:pPr>
    </w:p>
    <w:p>
      <w:pPr>
        <w:ind w:left="980" w:hanging="324"/>
        <w:spacing w:after="0" w:line="254"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Environmental Services - </w:t>
      </w:r>
      <w:r>
        <w:rPr>
          <w:rFonts w:ascii="Times New Roman" w:cs="Times New Roman" w:eastAsia="Times New Roman" w:hAnsi="Times New Roman"/>
          <w:sz w:val="18"/>
          <w:szCs w:val="18"/>
          <w:color w:val="auto"/>
        </w:rPr>
        <w:t>Environmental Services segment results are predicated upon the demand by our customers for waste services 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attributable to volume and nature of waste streams generated by them and project work for which waste handling and/or disposal is required. In managing the business and evaluating performance, management tracks the volumes and average price of waste handled and disposed of through our owned incinerators and landfills, as well as utilization of such incinerators, labor and billable hours and equipment among other key metrics. Levels of activity and ultimate performance associated with this segment can be impacted by several factors including overall U.S. GDP and U.S. industrial production, weather conditions, efficiency of our operations, competition and market pricing of our services and the management of our related operating costs. Environmental Services results are also impacted by the demand for planned and unplanned industrial related cleaning and maintenance services at customer sites and for environmental cleanup services on a scheduled or emergency basis, including response to national events such as major oil spills, natural disasters or other events where immediate and specialized services are required.</w:t>
      </w:r>
    </w:p>
    <w:p>
      <w:pPr>
        <w:spacing w:after="0" w:line="186" w:lineRule="exact"/>
        <w:rPr>
          <w:rFonts w:ascii="Times New Roman" w:cs="Times New Roman" w:eastAsia="Times New Roman" w:hAnsi="Times New Roman"/>
          <w:sz w:val="18"/>
          <w:szCs w:val="18"/>
          <w:color w:val="auto"/>
        </w:rPr>
      </w:pPr>
    </w:p>
    <w:p>
      <w:pPr>
        <w:ind w:left="980" w:right="60" w:hanging="324"/>
        <w:spacing w:after="0" w:line="253"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Safety-Kleen - </w:t>
      </w:r>
      <w:r>
        <w:rPr>
          <w:rFonts w:ascii="Times New Roman" w:cs="Times New Roman" w:eastAsia="Times New Roman" w:hAnsi="Times New Roman"/>
          <w:sz w:val="18"/>
          <w:szCs w:val="18"/>
          <w:color w:val="auto"/>
        </w:rPr>
        <w:t>Safety-Kleen segment results are impacted by an array of core service offerings that serve to attract small quantity waste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producers as customers and integrate them into the Clean Harbors waste network. Core service offerings include parts washer services, containerized waste services, vacuum services, used motor oil collection and sale of base and blended oil products as well as complementary products including automotive related fluids and shop supplies. Key performance indicators tracked by management relative to these services include the number of parts washer services performed and used motor oil and waste volumes collected. Results from these services are primarily driven by the overall number of parts washers placed at customer sites and volumes of waste collected. These factors can be impacted by overall economic conditions in the marketplace, especially in the automotive related area. Safety-Kleen offers high quality base and blended oil products to end users including fleet customers, distributors and manufacturers of oil products. Relative to these oil related products, management tracks the Company's volumes and relative percentages of base and blended oil sales along with various pricing metrics associated with the commodity driven marketplace. The segment's results are significantly impacted by the overall market pricing and product mix associated with base and blended oil products and, more specifically, the market prices of Group II base oils, which historically have correlated with overall crude oil prices. Costs incurred in connection with the collection of used oils and other raw materials associated with the segment’s oil related products can also be volatile. The implementation of</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980" w:right="500"/>
        <w:spacing w:after="0" w:line="267" w:lineRule="auto"/>
        <w:rPr>
          <w:sz w:val="20"/>
          <w:szCs w:val="20"/>
          <w:color w:val="auto"/>
        </w:rPr>
      </w:pPr>
      <w:r>
        <w:rPr>
          <w:rFonts w:ascii="Times New Roman" w:cs="Times New Roman" w:eastAsia="Times New Roman" w:hAnsi="Times New Roman"/>
          <w:sz w:val="18"/>
          <w:szCs w:val="18"/>
          <w:color w:val="auto"/>
        </w:rPr>
        <w:t>our OilPlus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closed loop initiative resulting in the sale of our renewable oil products directly to our end customers will also impact future operating results.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Total revenues for the three months ended March 31, 2019 were $780.8 million compared with $749.8 million for the three months ended March 31, 2018. In the three months ended March 31, 2019, our Environmental Services segment increased direct revenues 7.7% from the comparable period in 2018 primarily due to incremental revenues resulting from our acquisition of the U.S. Industrial Cleaning Business of Veolia Environmental Services North America LLC (the "Veolia Business") in February 2018 and improved average pricing driven by a more profitable mix of waste streams primarily from chemical and manufacturing customers. We anticipate that trend will continue. In the three months ended March 31, 2019, our Safety-Kleen segment decreased direct revenues 2.0% from the comparable period in 2018 as a result of lower pricing conditions of base and blended oil and weather-related challenges which resulted in a reduction in volume. With improving weather and better base oil pricing, we expect that trend to reverse in the future quarters. The fluctuation of the Canadian dollar negatively impacted our consolidated revenues by $6.6 million in the three months ended March 31, 2019.</w:t>
      </w:r>
    </w:p>
    <w:p>
      <w:pPr>
        <w:spacing w:after="0" w:line="185"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We reported income from operations for the three months ended March 31, 2019 of $23.7 million compared with $11.0 million in the three months ended March 31, 2018. We reported net income for the three months ended March 31, 2019 of $1.0 million compared with a net loss of $12.6 million in the three months ended March 31, 2018.</w:t>
      </w:r>
    </w:p>
    <w:p>
      <w:pPr>
        <w:spacing w:after="0" w:line="12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Adjusted EBITDA, which is the primary financial measure by which our segments are evaluated, increased 15.2% to $101.7 million in the three months ended March 31, 2019 from $88.3 million in the three months ended March 31, 2018. Additional information, including a reconciliation of Adjusted EBITDA to net income, appears below under the heading </w:t>
      </w:r>
      <w:r>
        <w:rPr>
          <w:rFonts w:ascii="Times New Roman" w:cs="Times New Roman" w:eastAsia="Times New Roman" w:hAnsi="Times New Roman"/>
          <w:sz w:val="18"/>
          <w:szCs w:val="18"/>
          <w:i w:val="1"/>
          <w:iCs w:val="1"/>
          <w:color w:val="auto"/>
        </w:rPr>
        <w:t>"Adjusted EBITDA."</w:t>
      </w:r>
    </w:p>
    <w:p>
      <w:pPr>
        <w:spacing w:after="0" w:line="12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Net cash from operating activities for the three months ended March 31, 2019 was $29.7 million, a decrease of $22.2 million from the comparable period in 2018. Adjusted free cash flow, which management uses to measure our financial strength and ability to generate cash, was an outflow of $24.9 million in the three months ended March 31, 2019, compared to an inflow of $8.5 million in the comparable period of 2018. The decrease in adjusted free cash flow as compared to the comparable period of 2018 was most directly attributable to higher incentive compensation payments in the first quarter of 2019 and increased capital spending offset by greater levels of operating income. Additional information, including a reconciliation of adjusted free cash flow to net cash from operating activities, appears below under the heading </w:t>
      </w:r>
      <w:r>
        <w:rPr>
          <w:rFonts w:ascii="Times New Roman" w:cs="Times New Roman" w:eastAsia="Times New Roman" w:hAnsi="Times New Roman"/>
          <w:sz w:val="18"/>
          <w:szCs w:val="18"/>
          <w:i w:val="1"/>
          <w:iCs w:val="1"/>
          <w:color w:val="auto"/>
        </w:rPr>
        <w:t>"Adjusted Free Cash Flow."</w:t>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121" w:right="27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Performance</w:t>
      </w:r>
    </w:p>
    <w:p>
      <w:pPr>
        <w:spacing w:after="0" w:line="14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primary financial measure by which we evaluate the performance of our segments is Adjusted EBITDA. The following table sets forth certain financial information associated with our results of operations for the three months ended March 31, 2019 and March 31, 2018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8"/>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Summary of Operations (in thousands)</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0" w:type="dxa"/>
            <w:vAlign w:val="bottom"/>
          </w:tcPr>
          <w:p>
            <w:pPr>
              <w:spacing w:after="0"/>
              <w:rPr>
                <w:sz w:val="12"/>
                <w:szCs w:val="12"/>
                <w:color w:val="auto"/>
              </w:rPr>
            </w:pP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160" w:type="dxa"/>
            <w:vAlign w:val="bottom"/>
          </w:tcPr>
          <w:p>
            <w:pPr>
              <w:spacing w:after="0"/>
              <w:rPr>
                <w:sz w:val="12"/>
                <w:szCs w:val="12"/>
                <w:color w:val="auto"/>
              </w:rPr>
            </w:pPr>
          </w:p>
        </w:tc>
        <w:tc>
          <w:tcPr>
            <w:tcW w:w="740" w:type="dxa"/>
            <w:vAlign w:val="bottom"/>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7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5"/>
        </w:trPr>
        <w:tc>
          <w:tcPr>
            <w:tcW w:w="73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Direct Revenues</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2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Environmental Services</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509,022</w:t>
            </w: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472,447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36,575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Safety-Kleen</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272,477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277,964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Corporate Items</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780,839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749,778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31,061</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0" w:type="dxa"/>
            <w:vAlign w:val="bottom"/>
          </w:tcPr>
          <w:p>
            <w:pPr>
              <w:spacing w:after="0"/>
              <w:rPr>
                <w:sz w:val="1"/>
                <w:szCs w:val="1"/>
                <w:color w:val="auto"/>
              </w:rPr>
            </w:pPr>
          </w:p>
        </w:tc>
      </w:tr>
      <w:tr>
        <w:trPr>
          <w:trHeight w:val="270"/>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Cost of Revenues</w:t>
            </w: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6"/>
                <w:szCs w:val="16"/>
                <w:b w:val="1"/>
                <w:bCs w:val="1"/>
                <w:color w:val="auto"/>
              </w:rPr>
              <w:t>:</w:t>
            </w: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Environmental Services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385,107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370,560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14,547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Safety-Kleen</w:t>
            </w:r>
          </w:p>
        </w:tc>
        <w:tc>
          <w:tcPr>
            <w:tcW w:w="2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180,366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177,737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2,629</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Corporate Items</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763</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7"/>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564,364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546,425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17,939</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Selling, General &amp;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Environmental Services</w:t>
            </w:r>
          </w:p>
        </w:tc>
        <w:tc>
          <w:tcPr>
            <w:tcW w:w="2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34,405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40,470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Safety-Kleen</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37,318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Corporate Items</w:t>
            </w:r>
          </w:p>
        </w:tc>
        <w:tc>
          <w:tcPr>
            <w:tcW w:w="2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43,089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36,275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6,814</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18.8</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114,812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115,088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Environmental Services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89,510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61,417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28,093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45.7</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Safety-Kleen</w:t>
            </w:r>
          </w:p>
        </w:tc>
        <w:tc>
          <w:tcPr>
            <w:tcW w:w="2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54,793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61,884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(7,091)</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Corporate Items</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(7,604)</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44"/>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101,663</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88,265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13,398</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3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N/M = not meaningful</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revenue is revenue allocated to the segment performing the provided service.</w:t>
      </w:r>
    </w:p>
    <w:p>
      <w:pPr>
        <w:spacing w:after="0" w:line="9" w:lineRule="exact"/>
        <w:rPr>
          <w:rFonts w:ascii="Times New Roman" w:cs="Times New Roman" w:eastAsia="Times New Roman" w:hAnsi="Times New Roman"/>
          <w:sz w:val="18"/>
          <w:szCs w:val="18"/>
          <w:color w:val="auto"/>
        </w:rPr>
      </w:pPr>
    </w:p>
    <w:p>
      <w:pPr>
        <w:ind w:left="660" w:right="38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 is shown exclusive of items presented separately on the statements of operations which consist of (i) accretion of environmental liabilities and (ii) depreciation and amortization.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Revenues</w:t>
      </w:r>
    </w:p>
    <w:p>
      <w:pPr>
        <w:spacing w:after="0" w:line="148"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There are many factors which have impacted and continue to impact our revenues. These factors include, but are not limited to: overall industrial activity and growth in North America, existence or non-existence of large scale environmental waste and remediation projects, competitive industry pricing, impacts of acquisitions and divestitures, the level of emergency response projects, general conditions of the energy related industries, base and blended oil pricing, market changes relative to the collection of used oil, the number of parts washers placed at customer sites and foreign currency translation. In addition, customer efforts to minimalize hazardous waste and changes in regulation can also impact our revenues.</w:t>
      </w:r>
    </w:p>
    <w:p>
      <w:pPr>
        <w:spacing w:after="0" w:line="10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40" w:type="dxa"/>
            <w:vAlign w:val="bottom"/>
          </w:tcPr>
          <w:p>
            <w:pPr>
              <w:spacing w:after="0"/>
              <w:rPr>
                <w:sz w:val="18"/>
                <w:szCs w:val="18"/>
                <w:color w:val="auto"/>
              </w:rPr>
            </w:pPr>
          </w:p>
        </w:tc>
      </w:tr>
      <w:tr>
        <w:trPr>
          <w:trHeight w:val="270"/>
        </w:trPr>
        <w:tc>
          <w:tcPr>
            <w:tcW w:w="6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2019 over 2018</w:t>
            </w:r>
          </w:p>
        </w:tc>
      </w:tr>
      <w:tr>
        <w:trPr>
          <w:trHeight w:val="33"/>
        </w:trPr>
        <w:tc>
          <w:tcPr>
            <w:tcW w:w="6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7"/>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33"/>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6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Direct revenues</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509,022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472,447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36,575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33"/>
        </w:trPr>
        <w:tc>
          <w:tcPr>
            <w:tcW w:w="6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Environmental Services direct revenues for the three months ended March 31, 2019 increased $36.6 million from the comparable period in 2018</w:t>
      </w:r>
      <w:r>
        <w:rPr>
          <w:rFonts w:ascii="Times New Roman" w:cs="Times New Roman" w:eastAsia="Times New Roman" w:hAnsi="Times New Roman"/>
          <w:sz w:val="18"/>
          <w:szCs w:val="18"/>
          <w:color w:val="330E74"/>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0E74"/>
        </w:rPr>
        <w:t>I</w:t>
      </w:r>
      <w:r>
        <w:rPr>
          <w:rFonts w:ascii="Times New Roman" w:cs="Times New Roman" w:eastAsia="Times New Roman" w:hAnsi="Times New Roman"/>
          <w:sz w:val="18"/>
          <w:szCs w:val="18"/>
          <w:color w:val="000000"/>
        </w:rPr>
        <w:t>ncremental revenues from the comparable period in 2018 were generated by the Veolia Business, which we acquired on February 23, 2018, as well as</w:t>
      </w:r>
      <w:r>
        <w:rPr>
          <w:rFonts w:ascii="Times New Roman" w:cs="Times New Roman" w:eastAsia="Times New Roman" w:hAnsi="Times New Roman"/>
          <w:sz w:val="18"/>
          <w:szCs w:val="18"/>
          <w:color w:val="330E74"/>
        </w:rPr>
        <w:t xml:space="preserve"> </w:t>
      </w:r>
      <w:r>
        <w:rPr>
          <w:rFonts w:ascii="Times New Roman" w:cs="Times New Roman" w:eastAsia="Times New Roman" w:hAnsi="Times New Roman"/>
          <w:sz w:val="18"/>
          <w:szCs w:val="18"/>
          <w:color w:val="000000"/>
        </w:rPr>
        <w:t>increased levels of higher priced waste streams disposed of in our network of facilities. The utilization rate at our incinerators on a practical capacity of 561,721 tons was 76.6% for the three months ended March 31, 2019, compared with 87.3% in the comparable period of 2018. The decrease in utilization rate in the three months ended March 31, 2019 from the comparable period in 2018 was primarily due to a higher number of unplanned down days at our Deer Park facility during the current quarter which was attributable to a fire at a neighboring facility. Also included in the change within this segment was the negative impact of foreign currency translation on our Canadian operations of $4.7 million.</w:t>
      </w: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i w:val="1"/>
          <w:iCs w:val="1"/>
          <w:color w:val="auto"/>
        </w:rPr>
        <w:t>Safety-Kleen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900" w:type="dxa"/>
            <w:vAlign w:val="bottom"/>
          </w:tcPr>
          <w:p>
            <w:pPr>
              <w:spacing w:after="0"/>
              <w:rPr>
                <w:sz w:val="18"/>
                <w:szCs w:val="18"/>
                <w:color w:val="auto"/>
              </w:rPr>
            </w:pPr>
          </w:p>
        </w:tc>
      </w:tr>
      <w:tr>
        <w:trPr>
          <w:trHeight w:val="270"/>
        </w:trPr>
        <w:tc>
          <w:tcPr>
            <w:tcW w:w="6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20" w:type="dxa"/>
            <w:vAlign w:val="bottom"/>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 over 2018</w:t>
            </w:r>
          </w:p>
        </w:tc>
      </w:tr>
      <w:tr>
        <w:trPr>
          <w:trHeight w:val="33"/>
        </w:trPr>
        <w:tc>
          <w:tcPr>
            <w:tcW w:w="6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7"/>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6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Direct 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272,477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277,964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33"/>
        </w:trPr>
        <w:tc>
          <w:tcPr>
            <w:tcW w:w="68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Safety-Kleen direct revenues for the three months ended March 31, 2019 decreased $5.5 million from the comparable period in 2018. Severe weather conditions in the Midwest, which contributed to lower volumes of our base oil sales, as well as lower pricing conditions accounted for $13.7 million of the decrease in revenue. Parts washer revenue also decreased $1.2 million due to a reduction in service volume from the comparable period in 2018. These reductions were partially offset by incremental revenues of $5.7 million generated through the Safety-Kleen branch network's core service offerings such as handling of containerized waste and vacuum services. Also, direct sales of blended oil increased by $5.3 million from the comparable period in 2018 due to higher volume. This increase was slightly offset by a $1.6 million decrease of bulk blended oil sales through third-party distributors due to lower pricing. Also included in the change within this segment was the negative impact of foreign currency translation on our Canadian operations of $1.8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83"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ability to manage operating costs is important to our ability to remain price competitive. We continue to upgrade the quality and efficiency of our services through the development of new technology and continued modifications at our facilities, invest in new business opportunities and aggressively implement strategic sourcing and logistics solutions as well as other cost reduction initiatives while also continuing to optimize our management and operating structure in an effort to maintain and increase operating margins.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900" w:type="dxa"/>
            <w:vAlign w:val="bottom"/>
          </w:tcPr>
          <w:p>
            <w:pPr>
              <w:spacing w:after="0"/>
              <w:rPr>
                <w:sz w:val="18"/>
                <w:szCs w:val="18"/>
                <w:color w:val="auto"/>
              </w:rPr>
            </w:pPr>
          </w:p>
        </w:tc>
      </w:tr>
      <w:tr>
        <w:trPr>
          <w:trHeight w:val="270"/>
        </w:trPr>
        <w:tc>
          <w:tcPr>
            <w:tcW w:w="6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0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23"/>
                <w:szCs w:val="23"/>
                <w:color w:val="auto"/>
              </w:rPr>
            </w:pPr>
          </w:p>
        </w:tc>
        <w:tc>
          <w:tcPr>
            <w:tcW w:w="1980" w:type="dxa"/>
            <w:vAlign w:val="bottom"/>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 over 2018</w:t>
            </w:r>
          </w:p>
        </w:tc>
      </w:tr>
      <w:tr>
        <w:trPr>
          <w:trHeight w:val="33"/>
        </w:trPr>
        <w:tc>
          <w:tcPr>
            <w:tcW w:w="6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7"/>
        </w:trPr>
        <w:tc>
          <w:tcPr>
            <w:tcW w:w="6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6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6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revenues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385,107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370,560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14,547</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r>
      <w:tr>
        <w:trPr>
          <w:trHeight w:val="237"/>
        </w:trPr>
        <w:tc>
          <w:tcPr>
            <w:tcW w:w="6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 a % of Direct Revenue</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bl>
    <w:p>
      <w:pPr>
        <w:spacing w:after="0" w:line="28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Environmental Services cost of revenues for the three months ended March 31, 2019 increased $14.5 million from the comparable period in 2018 primarily due to increased salary and benefit related costs of $8.8 million and transportation and outside disposal costs of $3.4 million. The increase in cost of revenues from the comparable period in 2018 was commensurate with the mix of waste streams disposed of in our facilities. As a percentage of direct revenues, these costs decreased 3.4% as a result of greater leverage of our fixed costs and higher revenue levels during the three months ended March 31, 2019.</w:t>
      </w: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i w:val="1"/>
          <w:iCs w:val="1"/>
          <w:color w:val="auto"/>
        </w:rPr>
        <w:t>Safety-Kleen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40" w:type="dxa"/>
            <w:vAlign w:val="bottom"/>
          </w:tcPr>
          <w:p>
            <w:pPr>
              <w:spacing w:after="0"/>
              <w:rPr>
                <w:sz w:val="18"/>
                <w:szCs w:val="18"/>
                <w:color w:val="auto"/>
              </w:rPr>
            </w:pPr>
          </w:p>
        </w:tc>
      </w:tr>
      <w:tr>
        <w:trPr>
          <w:trHeight w:val="270"/>
        </w:trPr>
        <w:tc>
          <w:tcPr>
            <w:tcW w:w="6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00" w:type="dxa"/>
            <w:vAlign w:val="bottom"/>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 over 2018</w:t>
            </w:r>
          </w:p>
        </w:tc>
      </w:tr>
      <w:tr>
        <w:trPr>
          <w:trHeight w:val="33"/>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7"/>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revenues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180,366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177,737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2,629</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 a % of Direct Revenue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bl>
    <w:p>
      <w:pPr>
        <w:spacing w:after="0" w:line="28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Safety-Kleen cost of revenues for the three months ended March 31, 2019 increased $2.6 million from the comparable period in 2018 primarily due to increased raw material costs of $4.8 million partially offset by decreased transportation costs of $1.4 million due to cost saving initiatives. Cost as a percentage of direct revenue increased over the comparable period of 2018 due to these increased costs and the decrease in revenue due to weather-related reductions in volume and lower pricing.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48"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We strive to manage our selling, general and administrative expenses ("SG&amp;A") commensurate with the overall performance of our segments and corresponding revenue levels. We believe that our ability to properly align these costs with business performance is reflective of our strong management of the businesses and further promotes our ability to remain competitive in the marketplace.</w:t>
      </w:r>
    </w:p>
    <w:p>
      <w:pPr>
        <w:spacing w:after="0" w:line="9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900" w:type="dxa"/>
            <w:vAlign w:val="bottom"/>
          </w:tcPr>
          <w:p>
            <w:pPr>
              <w:spacing w:after="0"/>
              <w:rPr>
                <w:sz w:val="18"/>
                <w:szCs w:val="18"/>
                <w:color w:val="auto"/>
              </w:rPr>
            </w:pPr>
          </w:p>
        </w:tc>
      </w:tr>
      <w:tr>
        <w:trPr>
          <w:trHeight w:val="270"/>
        </w:trPr>
        <w:tc>
          <w:tcPr>
            <w:tcW w:w="6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23"/>
                <w:szCs w:val="23"/>
                <w:color w:val="auto"/>
              </w:rPr>
            </w:pPr>
          </w:p>
        </w:tc>
        <w:tc>
          <w:tcPr>
            <w:tcW w:w="1980" w:type="dxa"/>
            <w:vAlign w:val="bottom"/>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 over 2018</w:t>
            </w:r>
          </w:p>
        </w:tc>
      </w:tr>
      <w:tr>
        <w:trPr>
          <w:trHeight w:val="33"/>
        </w:trPr>
        <w:tc>
          <w:tcPr>
            <w:tcW w:w="6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7"/>
        </w:trPr>
        <w:tc>
          <w:tcPr>
            <w:tcW w:w="6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6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6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SG&amp;A</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34,405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40,470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(6,065)</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37"/>
        </w:trPr>
        <w:tc>
          <w:tcPr>
            <w:tcW w:w="6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 a % of Direct Revenue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r>
    </w:tbl>
    <w:p>
      <w:pPr>
        <w:spacing w:after="0" w:line="2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Environmental Services selling, general and administrative expenses for the three months ended March 31, 2019 decreased $6.1 million from the comparable period in 2018 due to a $5.5 million favorable resolution of litigation and a $5.4 million reduction in bad debt expense resulting from the recovery of certain trade receivables, which were fully reserved in 2018. These decreases were partially offset by increases in salary, benefits and variable compensation related costs of $3.1 million. The increases in salary, benefits and variable compensation were in line with the growth of the business for the three months ended March 31, 2019 as compared to March 31, 2018. Excluding the impact of the legal resolution and bad debt recovery, SG&amp;A as a percentage of direct revenues remained consistent with the comparable period in 2018.</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i w:val="1"/>
          <w:iCs w:val="1"/>
          <w:color w:val="auto"/>
        </w:rPr>
        <w:t>Safety-Kleen</w:t>
      </w:r>
    </w:p>
    <w:p>
      <w:pPr>
        <w:spacing w:after="0" w:line="189" w:lineRule="exact"/>
        <w:rPr>
          <w:sz w:val="20"/>
          <w:szCs w:val="20"/>
          <w:color w:val="auto"/>
        </w:rPr>
      </w:pPr>
    </w:p>
    <w:tbl>
      <w:tblPr>
        <w:tblLayout w:type="fixed"/>
        <w:tblInd w:w="140" w:type="dxa"/>
        <w:tblCellMar>
          <w:top w:w="0" w:type="dxa"/>
          <w:left w:w="0" w:type="dxa"/>
          <w:bottom w:w="0" w:type="dxa"/>
          <w:right w:w="0" w:type="dxa"/>
        </w:tblCellMar>
      </w:tblPr>
      <w:tr>
        <w:trPr>
          <w:trHeight w:val="212"/>
        </w:trPr>
        <w:tc>
          <w:tcPr>
            <w:tcW w:w="6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980" w:type="dxa"/>
            <w:vAlign w:val="bottom"/>
          </w:tcPr>
          <w:p>
            <w:pPr>
              <w:spacing w:after="0"/>
              <w:rPr>
                <w:sz w:val="18"/>
                <w:szCs w:val="18"/>
                <w:color w:val="auto"/>
              </w:rPr>
            </w:pPr>
          </w:p>
        </w:tc>
      </w:tr>
      <w:tr>
        <w:trPr>
          <w:trHeight w:val="270"/>
        </w:trPr>
        <w:tc>
          <w:tcPr>
            <w:tcW w:w="6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4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23"/>
                <w:szCs w:val="23"/>
                <w:color w:val="auto"/>
              </w:rPr>
            </w:pPr>
          </w:p>
        </w:tc>
        <w:tc>
          <w:tcPr>
            <w:tcW w:w="2060" w:type="dxa"/>
            <w:vAlign w:val="bottom"/>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2019 over 2018</w:t>
            </w:r>
          </w:p>
        </w:tc>
      </w:tr>
      <w:tr>
        <w:trPr>
          <w:trHeight w:val="33"/>
        </w:trPr>
        <w:tc>
          <w:tcPr>
            <w:tcW w:w="6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7"/>
        </w:trPr>
        <w:tc>
          <w:tcPr>
            <w:tcW w:w="6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6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6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SG&amp;A</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37,318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38,343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(1,025)</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37"/>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 a % of Direct Revenue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bl>
    <w:p>
      <w:pPr>
        <w:spacing w:after="0" w:line="285"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Safety-Kleen selling, general and administrative expenses for the three months ended March 31, 2019 decreased $1.0 million from the comparable period in 2018 primarily due to a decrease in variable compensation, which was consistent with the decrease in revenues of the business. As a percentage of direct revenue, selling, general and administrative expenses remained consistent with the comparable period in 2018.</w:t>
      </w:r>
    </w:p>
    <w:p>
      <w:pPr>
        <w:spacing w:after="0" w:line="22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i w:val="1"/>
          <w:iCs w:val="1"/>
          <w:color w:val="auto"/>
        </w:rPr>
        <w:t>Corporate Items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40" w:type="dxa"/>
            <w:vAlign w:val="bottom"/>
          </w:tcPr>
          <w:p>
            <w:pPr>
              <w:spacing w:after="0"/>
              <w:rPr>
                <w:sz w:val="18"/>
                <w:szCs w:val="18"/>
                <w:color w:val="auto"/>
              </w:rPr>
            </w:pPr>
          </w:p>
        </w:tc>
      </w:tr>
      <w:tr>
        <w:trPr>
          <w:trHeight w:val="270"/>
        </w:trPr>
        <w:tc>
          <w:tcPr>
            <w:tcW w:w="6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2019 over 2018</w:t>
            </w:r>
          </w:p>
        </w:tc>
      </w:tr>
      <w:tr>
        <w:trPr>
          <w:trHeight w:val="33"/>
        </w:trPr>
        <w:tc>
          <w:tcPr>
            <w:tcW w:w="6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7"/>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33"/>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6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SG&amp;A</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43,089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36,275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6,814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33"/>
        </w:trPr>
        <w:tc>
          <w:tcPr>
            <w:tcW w:w="6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Corporate Items selling, general and administrative expenses for the three months ended March 31, 2019 increased $6.8 million from the comparable period in 2018 primarily due to increases in variable compensation of $3.4 million, stock-based compensation of $2.7 million and salaries and benefits costs of $2.3 million. These increases were partially offset by a $1.2 million reduction in professional fees due to cost cutting initiatives. For the full-year, we expect Corporate Items SG&amp;A expenses to be slightly higher than 2018.</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4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Management considers Adjusted EBITDA to be a measurement of performance which provides useful information to both management and investors. Adjusted EBITDA should not be considered an alternative to net income (loss) or other measurements under generally accepted accounting principles ("GAAP").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70"/>
        </w:trPr>
        <w:tc>
          <w:tcPr>
            <w:tcW w:w="6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2019 over 2018</w:t>
            </w:r>
          </w:p>
        </w:tc>
      </w:tr>
      <w:tr>
        <w:trPr>
          <w:trHeight w:val="33"/>
        </w:trPr>
        <w:tc>
          <w:tcPr>
            <w:tcW w:w="6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r>
      <w:tr>
        <w:trPr>
          <w:trHeight w:val="207"/>
        </w:trPr>
        <w:tc>
          <w:tcPr>
            <w:tcW w:w="6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6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33"/>
        </w:trPr>
        <w:tc>
          <w:tcPr>
            <w:tcW w:w="6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Environmental Services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89,510</w:t>
            </w:r>
          </w:p>
        </w:tc>
        <w:tc>
          <w:tcPr>
            <w:tcW w:w="10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61,417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28,093</w:t>
            </w:r>
          </w:p>
        </w:tc>
        <w:tc>
          <w:tcPr>
            <w:tcW w:w="90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rPr>
              <w:t>45.7%</w:t>
            </w: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Safety-Kleen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54,793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61,884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900" w:type="dxa"/>
            <w:vAlign w:val="bottom"/>
            <w:tcBorders>
              <w:bottom w:val="single" w:sz="8" w:color="CCEEFF"/>
            </w:tcBorders>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(11.5)</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Items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90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rPr>
              <w:t>(21.7)</w:t>
            </w:r>
          </w:p>
        </w:tc>
      </w:tr>
      <w:tr>
        <w:trPr>
          <w:trHeight w:val="27"/>
        </w:trPr>
        <w:tc>
          <w:tcPr>
            <w:tcW w:w="6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101,663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88,265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13,398</w:t>
            </w:r>
          </w:p>
        </w:tc>
        <w:tc>
          <w:tcPr>
            <w:tcW w:w="900" w:type="dxa"/>
            <w:vAlign w:val="bottom"/>
            <w:tcBorders>
              <w:bottom w:val="single" w:sz="8" w:color="CCEEFF"/>
            </w:tcBorders>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15.2%</w:t>
            </w: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95"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information about our operating performance provided by this financial measure is used by our management for a variety of purposes. We regularly communicate Adjusted EBITDA results to our lenders since our loan covenants are based upon levels of Adjusted EBITDA achieved and to our board of directors and we discuss with the board our interpretation of such results. We also compare our Adjusted EBITDA performance against internal targets as a key factor in determining cash and stock bonus compensation for executives and other employees, largely because we believe that this measure is indicative of how the fundamental business is performing and is being managed.</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permits the users of our financial statements to obtain a better understanding of our core operating performance and to evaluate the efficacy of the methodology and information used by management to evaluate and measure such performance on a standalone and a comparative basis.</w:t>
      </w:r>
    </w:p>
    <w:p>
      <w:pPr>
        <w:spacing w:after="0" w:line="23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The following is a reconciliation of net income (loss) to Adjusted EBITDA for the following periods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gridSpan w:val="9"/>
          </w:tcPr>
          <w:p>
            <w:pPr>
              <w:ind w:left="3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57"/>
        </w:trPr>
        <w:tc>
          <w:tcPr>
            <w:tcW w:w="20" w:type="dxa"/>
            <w:vAlign w:val="bottom"/>
          </w:tcPr>
          <w:p>
            <w:pPr>
              <w:spacing w:after="0"/>
              <w:rPr>
                <w:sz w:val="22"/>
                <w:szCs w:val="22"/>
                <w:color w:val="auto"/>
              </w:rPr>
            </w:pPr>
          </w:p>
        </w:tc>
        <w:tc>
          <w:tcPr>
            <w:tcW w:w="6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33"/>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gridSpan w:val="2"/>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20" w:type="dxa"/>
            <w:vAlign w:val="bottom"/>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86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(12,631)</w:t>
            </w:r>
          </w:p>
        </w:tc>
      </w:tr>
      <w:tr>
        <w:trPr>
          <w:trHeight w:val="243"/>
        </w:trPr>
        <w:tc>
          <w:tcPr>
            <w:tcW w:w="20" w:type="dxa"/>
            <w:vAlign w:val="bottom"/>
          </w:tcPr>
          <w:p>
            <w:pPr>
              <w:spacing w:after="0"/>
              <w:rPr>
                <w:sz w:val="21"/>
                <w:szCs w:val="21"/>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2,430</w:t>
            </w:r>
          </w:p>
        </w:tc>
      </w:tr>
      <w:tr>
        <w:trPr>
          <w:trHeight w:val="27"/>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74,844</w:t>
            </w:r>
          </w:p>
        </w:tc>
      </w:tr>
      <w:tr>
        <w:trPr>
          <w:trHeight w:val="243"/>
        </w:trPr>
        <w:tc>
          <w:tcPr>
            <w:tcW w:w="20" w:type="dxa"/>
            <w:vAlign w:val="bottom"/>
          </w:tcPr>
          <w:p>
            <w:pPr>
              <w:spacing w:after="0"/>
              <w:rPr>
                <w:sz w:val="21"/>
                <w:szCs w:val="21"/>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gridSpan w:val="4"/>
          </w:tcPr>
          <w:p>
            <w:pPr>
              <w:jc w:val="right"/>
              <w:ind w:right="53"/>
              <w:spacing w:after="0"/>
              <w:rPr>
                <w:sz w:val="20"/>
                <w:szCs w:val="20"/>
                <w:color w:val="auto"/>
              </w:rPr>
            </w:pPr>
            <w:r>
              <w:rPr>
                <w:rFonts w:ascii="Times New Roman" w:cs="Times New Roman" w:eastAsia="Times New Roman" w:hAnsi="Times New Roman"/>
                <w:sz w:val="18"/>
                <w:szCs w:val="18"/>
                <w:color w:val="auto"/>
                <w:w w:val="95"/>
              </w:rPr>
              <w:t>(2,983)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299</w:t>
            </w:r>
          </w:p>
        </w:tc>
      </w:tr>
      <w:tr>
        <w:trPr>
          <w:trHeight w:val="27"/>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19,764</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20,270</w:t>
            </w:r>
          </w:p>
        </w:tc>
      </w:tr>
      <w:tr>
        <w:trPr>
          <w:trHeight w:val="243"/>
        </w:trPr>
        <w:tc>
          <w:tcPr>
            <w:tcW w:w="20" w:type="dxa"/>
            <w:vAlign w:val="bottom"/>
          </w:tcPr>
          <w:p>
            <w:pPr>
              <w:spacing w:after="0"/>
              <w:rPr>
                <w:sz w:val="21"/>
                <w:szCs w:val="21"/>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3,053</w:t>
            </w:r>
          </w:p>
        </w:tc>
      </w:tr>
      <w:tr>
        <w:trPr>
          <w:trHeight w:val="27"/>
        </w:trPr>
        <w:tc>
          <w:tcPr>
            <w:tcW w:w="20" w:type="dxa"/>
            <w:vAlign w:val="bottom"/>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101,663</w:t>
            </w:r>
          </w:p>
        </w:tc>
        <w:tc>
          <w:tcPr>
            <w:tcW w:w="8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88,265</w:t>
            </w: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 of Direct Revenue</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648"/>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9"/>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6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 over 2018</w:t>
            </w:r>
          </w:p>
        </w:tc>
      </w:tr>
      <w:tr>
        <w:trPr>
          <w:trHeight w:val="33"/>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r>
      <w:tr>
        <w:trPr>
          <w:trHeight w:val="207"/>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20" w:type="dxa"/>
            <w:vAlign w:val="bottom"/>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of fixed assets and amortization of landfills and finance lease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65,871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65,600</w:t>
            </w:r>
          </w:p>
        </w:tc>
        <w:tc>
          <w:tcPr>
            <w:tcW w:w="480" w:type="dxa"/>
            <w:vAlign w:val="bottom"/>
            <w:tcBorders>
              <w:bottom w:val="single" w:sz="8" w:color="CCEEFF"/>
            </w:tcBorders>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20" w:type="dxa"/>
            <w:vAlign w:val="bottom"/>
          </w:tcPr>
          <w:p>
            <w:pPr>
              <w:spacing w:after="0"/>
              <w:rPr>
                <w:sz w:val="21"/>
                <w:szCs w:val="21"/>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Permits and other intangibles amortization</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9,484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20" w:type="dxa"/>
            <w:vAlign w:val="bottom"/>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75,355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74,844</w:t>
            </w:r>
          </w:p>
        </w:tc>
        <w:tc>
          <w:tcPr>
            <w:tcW w:w="48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and amortization for the three months ended March 31, 2019 remained consistent from the comparable period in 2018.</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6"/>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60" w:type="dxa"/>
            <w:vAlign w:val="bottom"/>
          </w:tcPr>
          <w:p>
            <w:pPr>
              <w:spacing w:after="0"/>
              <w:rPr>
                <w:sz w:val="18"/>
                <w:szCs w:val="18"/>
                <w:color w:val="auto"/>
              </w:rPr>
            </w:pPr>
          </w:p>
        </w:tc>
      </w:tr>
      <w:tr>
        <w:trPr>
          <w:trHeight w:val="270"/>
        </w:trPr>
        <w:tc>
          <w:tcPr>
            <w:tcW w:w="6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0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2019 over 2018</w:t>
            </w:r>
          </w:p>
        </w:tc>
      </w:tr>
      <w:tr>
        <w:trPr>
          <w:trHeight w:val="33"/>
        </w:trPr>
        <w:tc>
          <w:tcPr>
            <w:tcW w:w="6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7"/>
        </w:trPr>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6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5,977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3,053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2,924</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95.8%</w:t>
            </w:r>
          </w:p>
        </w:tc>
      </w:tr>
      <w:tr>
        <w:trPr>
          <w:trHeight w:val="27"/>
        </w:trPr>
        <w:tc>
          <w:tcPr>
            <w:tcW w:w="6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provision for income taxes for the three months ended March 31, 2019 increased $2.9 million as compared to the comparable period in 2018. The increase in the three months ended March 31, 2019 was primarily due to increased taxable income in the United States. Our effective tax rate for the three months ended March 31, 2019 was 86.0% compared to (31.9)% for the same period in 2018. The variations in the effective income tax rates for the three months ended March 31, 2019 and March 31, 2018, as compared to more customary relationships between pre-tax income and the provision for income taxes, were primarily due to not recognizing income tax benefits from current operating losses related to certain Canadian entities during these periods.</w:t>
      </w:r>
    </w:p>
    <w:p>
      <w:pPr>
        <w:spacing w:after="0" w:line="23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During the first quarter of 2019, we did not record $4.1 million of income tax benefits generated from losses at certain of our Canadian entities. This compares to $6.1 million of income tax benefits generated in the comparable period of 2018 which also were not recorded in that period's income tax provision.</w:t>
      </w:r>
    </w:p>
    <w:p>
      <w:pPr>
        <w:sectPr>
          <w:pgSz w:w="11900" w:h="16838" w:orient="portrait"/>
          <w:cols w:equalWidth="0" w:num="1">
            <w:col w:w="11420"/>
          </w:cols>
          <w:pgMar w:left="240" w:top="121"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type w:val="continuous"/>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20" w:type="dxa"/>
            <w:vAlign w:val="bottom"/>
            <w:gridSpan w:val="3"/>
          </w:tcPr>
          <w:p>
            <w:pPr>
              <w:jc w:val="center"/>
              <w:ind w:left="61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00" w:type="dxa"/>
            <w:vAlign w:val="bottom"/>
          </w:tcPr>
          <w:p>
            <w:pPr>
              <w:spacing w:after="0"/>
              <w:rPr>
                <w:sz w:val="18"/>
                <w:szCs w:val="18"/>
                <w:color w:val="auto"/>
              </w:rPr>
            </w:pPr>
          </w:p>
        </w:tc>
      </w:tr>
      <w:tr>
        <w:trPr>
          <w:trHeight w:val="270"/>
        </w:trPr>
        <w:tc>
          <w:tcPr>
            <w:tcW w:w="7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20" w:type="dxa"/>
            <w:vAlign w:val="bottom"/>
            <w:gridSpan w:val="3"/>
          </w:tcPr>
          <w:p>
            <w:pPr>
              <w:jc w:val="center"/>
              <w:ind w:left="614"/>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00" w:type="dxa"/>
            <w:vAlign w:val="bottom"/>
          </w:tcPr>
          <w:p>
            <w:pPr>
              <w:spacing w:after="0"/>
              <w:rPr>
                <w:sz w:val="23"/>
                <w:szCs w:val="23"/>
                <w:color w:val="auto"/>
              </w:rPr>
            </w:pPr>
          </w:p>
        </w:tc>
      </w:tr>
      <w:tr>
        <w:trPr>
          <w:trHeight w:val="33"/>
        </w:trPr>
        <w:tc>
          <w:tcPr>
            <w:tcW w:w="7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20" w:type="dxa"/>
            <w:vAlign w:val="bottom"/>
          </w:tcPr>
          <w:p>
            <w:pPr>
              <w:spacing w:after="0"/>
              <w:rPr>
                <w:sz w:val="20"/>
                <w:szCs w:val="20"/>
                <w:color w:val="auto"/>
              </w:rPr>
            </w:pPr>
          </w:p>
        </w:tc>
        <w:tc>
          <w:tcPr>
            <w:tcW w:w="1400" w:type="dxa"/>
            <w:vAlign w:val="bottom"/>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7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29,740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51,903</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(74,969)</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(164,428)</w:t>
            </w: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(15,368)</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(19,655)</w:t>
            </w:r>
          </w:p>
        </w:tc>
      </w:tr>
      <w:tr>
        <w:trPr>
          <w:trHeight w:val="27"/>
        </w:trPr>
        <w:tc>
          <w:tcPr>
            <w:tcW w:w="76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from operating activities</w:t>
      </w:r>
    </w:p>
    <w:p>
      <w:pPr>
        <w:spacing w:after="0" w:line="28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Net cash from operating activities for the three months ended March 31, 2019 was $29.7 million, a decrease of $22.2 million from the comparable period in 2018. The decrease in operating cash flows as compared to the comparable period of 2018 was mostly attributable to an increase in working capital amounts, inclusive of higher incentive compensation payments in the first quarter of 2019, partially offset by lower interest payments and greater levels of operating income. We believe that net cash from operating activities for 2019 will improve year-over-year through higher earnings.</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8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2019 was $75.0 million, a decrease of $89.5 million from the comparable period in 2018. The change was primarily driven by a decrease in cash paid for acquisitions, which was greater during the three months ended March 31, 2018 due to the acquisition of the Veolia Business on February 23, 2018. This decrease was partially offset by increased capital expenditure levels and net purchases of available-for-sale securities.</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28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2019 was $15.4 million, a decrease of $4.3 million from the comparable period in 2018. The change was primarily due to a decrease in repurchases of common stock, which was partially offset by an increase in tax payments related to vested restricted stock.</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Adjusted Free Cash Flow</w:t>
      </w:r>
    </w:p>
    <w:p>
      <w:pPr>
        <w:spacing w:after="0" w:line="28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Management considers adjusted free cash flow to be a measurement of liquidity which provides useful information to both management, creditors and investors about our financial strength and our ability to generate cash. Additionally, adjusted free cash flow is a metric on which a portion of management incentive compensation is based. We define adjusted free cash flow as net cash from operating activities excluding cash impacts of items derived from non-operating activities, such as taxes paid in connection with divestitures, less additions to property, plant and equipment plus proceeds from sales or disposals of fixed assets.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net cash from operating activities to adjusted free cash flow for the following periods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57"/>
        </w:trPr>
        <w:tc>
          <w:tcPr>
            <w:tcW w:w="8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20" w:type="dxa"/>
            <w:vAlign w:val="bottom"/>
          </w:tcPr>
          <w:p>
            <w:pPr>
              <w:spacing w:after="0"/>
              <w:rPr>
                <w:sz w:val="22"/>
                <w:szCs w:val="22"/>
                <w:color w:val="auto"/>
              </w:rPr>
            </w:pP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29,740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51,903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sale and disposal of fixed assets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4,321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798</w:t>
            </w:r>
          </w:p>
        </w:tc>
      </w:tr>
      <w:tr>
        <w:trPr>
          <w:trHeight w:val="25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free cash flow</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(24,886)</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8,459</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281"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At March 31, 2019, cash and cash equivalents and marketable securities totaled $224.8 million, compared to $279.4 million at December 31, 2018. At March 31, 2019, cash and cash equivalents held by our foreign subsidiaries totaled $58.8 million and were readily convertible into other currencies including U.S. dollars. At March 31, 2019, the cash and cash equivalents and marketable securities balance for our U.S. operations was $108.6 million, and our U.S. operations had net operating cash flows of $47.7 million for the three months ended March 31, 2019. Additionally, we have a $400.0 million revolving credit facility of which approximately $209.1 million was available to borrow at March 31, 2019. Based on the above and on our current plans, we believe that our U.S. operations have and will continue to have adequate financial resources to satisfy their current liquidity needs.</w:t>
      </w:r>
    </w:p>
    <w:p>
      <w:pPr>
        <w:sectPr>
          <w:pgSz w:w="11900" w:h="16838" w:orient="portrait"/>
          <w:cols w:equalWidth="0" w:num="1">
            <w:col w:w="11400"/>
          </w:cols>
          <w:pgMar w:left="240" w:top="121" w:right="259" w:bottom="1440" w:gutter="0" w:footer="0" w:header="0"/>
        </w:sect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121" w:right="259" w:bottom="1440" w:gutter="0" w:footer="0" w:header="0"/>
          <w:type w:val="continuous"/>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We believe our future operating cash flows will be sufficient to meet our future operating and internal investing cash needs as well as any cash needs relating to our stock repurchase program. Furthermore, our existing cash balance and the availability of additional borrowings under our revolving credit facility provide additional potential sources of liquidity should they be required.</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Arrangements</w:t>
      </w:r>
    </w:p>
    <w:p>
      <w:pPr>
        <w:spacing w:after="0" w:line="14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financing arrangements and principal terms of our $845.0 million principal amount of 5.125% senior unsecured notes due 2021, $740.3 million senior secured notes due 2024 and our $400.0 million revolving credit facility, are discussed further in Note 11, “Financing Arrangements,” to our consolidated financial statements included in this report. We continue to monitor our debt instruments and evaluate opportunities where it may be beneficial to refinance or reallocate the portfolio.</w:t>
      </w:r>
    </w:p>
    <w:p>
      <w:pPr>
        <w:spacing w:after="0" w:line="9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As of March 31, 2019, we were in compliance with the covenants of all our debt agreements, and we believe it is reasonably likely that we will continue to meet such covenants.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Liabilities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1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32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82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Closure and post-closure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74,421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69,931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Remedial liabilities</w:t>
            </w:r>
          </w:p>
        </w:tc>
        <w:tc>
          <w:tcPr>
            <w:tcW w:w="2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118,961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121,017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tcPr>
          <w:p>
            <w:pPr>
              <w:spacing w:after="0"/>
              <w:rPr>
                <w:sz w:val="21"/>
                <w:szCs w:val="21"/>
                <w:color w:val="auto"/>
              </w:rPr>
            </w:pPr>
          </w:p>
        </w:tc>
        <w:tc>
          <w:tcPr>
            <w:tcW w:w="1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environmental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193,382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190,948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2,434</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0"/>
        </w:trPr>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Total environmental liabilities as of March 31, 2019 were $193.4 million, an increase of $2.4 million, compared to December 31, 2018 primarily due to accretion of $2.6 million and changes in estimate recorded to the balance sheet of $2.8 million, partially offset by expenditures of $3.3 million.</w:t>
      </w:r>
    </w:p>
    <w:p>
      <w:pPr>
        <w:spacing w:after="0" w:line="21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 However, events not anticipated (such as future changes in environmental laws and regulations) could require that such payments be made earlier or in greater amounts than currently anticipated, which could adversely affect our results of operations, cash flow and financial condition.</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4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anticipate that 2019 capital spending, net of disposals, will be in the range of $190.0 million to $210.0 million. However, unanticipated changes in environmental regulations could require us to make significant capital expenditures for our facilities and adversely affect our results of operations and cash flow.</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There were no material changes in the first three months of 2019 to the information provided under the heading “Critical Accounting Policies and Estimates” included in our Annual Report on Form 10-K for the year ended December 31, 2018. New accounting policies adopted during the quarter are described in Note 2, "Significant Accounting Policies," to our unaudited consolidated financial statements included in this report.</w:t>
      </w:r>
    </w:p>
    <w:p>
      <w:pPr>
        <w:spacing w:after="0" w:line="13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89"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the first three months of 2019 to the information provided under Item 7A. “Quantitative and Qualitative Disclosures about Market Risk” in the Company's Annual Report on Form 10-K for the year ended December 31, 2018.</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121" w:right="25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621"/>
        <w:spacing w:after="0" w:line="255"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our Chief Executive Officer and Chief Financial Officer, as of the end of the period covered by this Quarterly Report on Form 10-Q, our Chief Executive Officer and Chief Financial Officer have concluded that our disclosure controls and procedures (as defined under Rule 13a-15(e) and 15d-15(e) under the Securities Exchange Act of 1934, as amended (the “Exchange Act”)) were effective as of March 31, 2019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paragraph</w:t>
      </w:r>
    </w:p>
    <w:p>
      <w:pPr>
        <w:spacing w:after="0" w:line="27" w:lineRule="exact"/>
        <w:rPr>
          <w:sz w:val="20"/>
          <w:szCs w:val="20"/>
          <w:color w:val="auto"/>
        </w:rPr>
      </w:pPr>
    </w:p>
    <w:p>
      <w:pPr>
        <w:ind w:right="260" w:firstLine="8"/>
        <w:spacing w:after="0" w:line="261"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Exchange Act Rules 13a-15 or 15d-15 that was conducted during the quarter ended March 31, 2019 that have materially affected, or are reasonably likely to materially affect, the Company’s internal control over financial reporting.</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40"/>
          </w:cols>
          <w:pgMar w:left="240" w:top="121" w:right="31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324"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See Note 16, “Commitments and Contingencies,” to the financial statements included in Item 1 of this report, which description is incorporated herein by reference.</w:t>
      </w:r>
    </w:p>
    <w:p>
      <w:pPr>
        <w:spacing w:after="0" w:line="10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324"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2019, there were no material changes from the risk factors as previously disclosed in Item 1A in the Company's Annual Report on Form 10-K for the year ended December 31, 2018.</w:t>
      </w:r>
    </w:p>
    <w:p>
      <w:pPr>
        <w:spacing w:after="0" w:line="10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 Program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the shares of common stock repurchased by us for the periods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Approximate Dollar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Purchased as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Value of Shares that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120" w:type="dxa"/>
            <w:vAlign w:val="bottom"/>
          </w:tcPr>
          <w:p>
            <w:pPr>
              <w:spacing w:after="0"/>
              <w:rPr>
                <w:sz w:val="17"/>
                <w:szCs w:val="17"/>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May Yet Be Purchased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7"/>
                <w:szCs w:val="17"/>
                <w:color w:val="auto"/>
              </w:rPr>
            </w:pPr>
          </w:p>
        </w:tc>
        <w:tc>
          <w:tcPr>
            <w:tcW w:w="18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 Plans or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00" w:type="dxa"/>
            <w:vAlign w:val="bottom"/>
          </w:tcPr>
          <w:p>
            <w:pPr>
              <w:ind w:left="18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Purchased (1)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Share (2)</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Programs (3)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2019 through January 31, 2019</w:t>
            </w:r>
          </w:p>
        </w:tc>
        <w:tc>
          <w:tcPr>
            <w:tcW w:w="1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25,597</w:t>
            </w:r>
          </w:p>
        </w:tc>
        <w:tc>
          <w:tcPr>
            <w:tcW w:w="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49.37</w:t>
            </w:r>
          </w:p>
        </w:tc>
        <w:tc>
          <w:tcPr>
            <w:tcW w:w="100" w:type="dxa"/>
            <w:vAlign w:val="bottom"/>
          </w:tcPr>
          <w:p>
            <w:pPr>
              <w:spacing w:after="0"/>
              <w:rPr>
                <w:sz w:val="18"/>
                <w:szCs w:val="18"/>
                <w:color w:val="auto"/>
              </w:rPr>
            </w:pP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22,184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304,977,207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1, 2019 through February 28, 2019</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11,547</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58.85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304,977,207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1, 2019 through March 31, 2019</w:t>
            </w:r>
          </w:p>
        </w:tc>
        <w:tc>
          <w:tcPr>
            <w:tcW w:w="1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95,790</w:t>
            </w:r>
          </w:p>
        </w:tc>
        <w:tc>
          <w:tcPr>
            <w:tcW w:w="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69.50</w:t>
            </w:r>
          </w:p>
        </w:tc>
        <w:tc>
          <w:tcPr>
            <w:tcW w:w="100" w:type="dxa"/>
            <w:vAlign w:val="bottom"/>
          </w:tcPr>
          <w:p>
            <w:pPr>
              <w:spacing w:after="0"/>
              <w:rPr>
                <w:sz w:val="20"/>
                <w:szCs w:val="20"/>
                <w:color w:val="auto"/>
              </w:rPr>
            </w:pP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299,748,915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132,934</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64.70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97,184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299,748,915</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jc w:val="right"/>
              <w:ind w:right="2059"/>
              <w:spacing w:after="0"/>
              <w:rPr>
                <w:sz w:val="20"/>
                <w:szCs w:val="20"/>
                <w:color w:val="auto"/>
              </w:rPr>
            </w:pPr>
            <w:r>
              <w:rPr>
                <w:rFonts w:ascii="Times New Roman" w:cs="Times New Roman" w:eastAsia="Times New Roman" w:hAnsi="Times New Roman"/>
                <w:sz w:val="18"/>
                <w:szCs w:val="18"/>
                <w:color w:val="auto"/>
                <w:w w:val="98"/>
              </w:rPr>
              <w:t>______________________</w:t>
            </w: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gridSpan w:val="2"/>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50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35,750 shares withheld by us from employees to satisfy employee tax obligations upon vesting of restricted stock units granted to our employees under the Company's equity incentive plans.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of common stock repurchased under the stock repurchase program includes the commissions paid to brokers.</w:t>
      </w:r>
    </w:p>
    <w:p>
      <w:pPr>
        <w:spacing w:after="0" w:line="9" w:lineRule="exact"/>
        <w:rPr>
          <w:rFonts w:ascii="Times New Roman" w:cs="Times New Roman" w:eastAsia="Times New Roman" w:hAnsi="Times New Roman"/>
          <w:sz w:val="18"/>
          <w:szCs w:val="18"/>
          <w:color w:val="auto"/>
        </w:rPr>
      </w:pPr>
    </w:p>
    <w:p>
      <w:pPr>
        <w:ind w:left="660" w:right="60" w:hanging="328"/>
        <w:spacing w:after="0" w:line="269"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has authorized the repurchase of up to $600 million of our common stock.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several factors, including share price, cash required for business plans, trading volume and other conditions. During April 2018, we implemented a repurchase plan in accordance with Rule 10b5-1 promulgated under the Securities Exchange Act of 1934, as amended. Future repurchases will be made under the Rule 10b5-1 plan as well as open market or privately negotiated transactions as described above. We have no obligation to repurchase stock under this program and may suspend or terminate the repurchase program at any time.</w:t>
      </w:r>
    </w:p>
    <w:p>
      <w:pPr>
        <w:spacing w:after="0" w:line="11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9940" w:type="dxa"/>
            <w:vAlign w:val="bottom"/>
            <w:gridSpan w:val="9"/>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480" w:type="dxa"/>
            <w:vAlign w:val="bottom"/>
          </w:tcPr>
          <w:p>
            <w:pPr>
              <w:spacing w:after="0"/>
              <w:rPr>
                <w:sz w:val="17"/>
                <w:szCs w:val="17"/>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8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02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480" w:type="dxa"/>
            <w:vAlign w:val="bottom"/>
          </w:tcPr>
          <w:p>
            <w:pPr>
              <w:spacing w:after="0"/>
              <w:rPr>
                <w:sz w:val="24"/>
                <w:szCs w:val="24"/>
                <w:color w:val="auto"/>
              </w:rPr>
            </w:pPr>
          </w:p>
        </w:tc>
      </w:tr>
      <w:tr>
        <w:trPr>
          <w:trHeight w:val="373"/>
        </w:trPr>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gridSpan w:val="3"/>
          </w:tcPr>
          <w:p>
            <w:pPr>
              <w:ind w:left="1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201"/>
        </w:trPr>
        <w:tc>
          <w:tcPr>
            <w:tcW w:w="9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tcBorders>
              <w:bottom w:val="single" w:sz="8" w:color="0000FF"/>
            </w:tcBorders>
            <w:gridSpan w:val="3"/>
          </w:tcPr>
          <w:p>
            <w:pPr>
              <w:spacing w:after="0" w:line="201" w:lineRule="exact"/>
              <w:rPr>
                <w:rFonts w:ascii="Times New Roman" w:cs="Times New Roman" w:eastAsia="Times New Roman" w:hAnsi="Times New Roman"/>
                <w:sz w:val="18"/>
                <w:szCs w:val="18"/>
                <w:color w:val="0000FF"/>
                <w:w w:val="99"/>
              </w:rPr>
            </w:pPr>
            <w:hyperlink w:anchor="page46">
              <w:r>
                <w:rPr>
                  <w:rFonts w:ascii="Times New Roman" w:cs="Times New Roman" w:eastAsia="Times New Roman" w:hAnsi="Times New Roman"/>
                  <w:sz w:val="18"/>
                  <w:szCs w:val="18"/>
                  <w:color w:val="0000FF"/>
                  <w:w w:val="99"/>
                </w:rPr>
                <w:t>Rule 13a-14a/15d-14(a) Certification of the CEO Alan S. McKim</w:t>
              </w:r>
            </w:hyperlink>
          </w:p>
        </w:tc>
        <w:tc>
          <w:tcPr>
            <w:tcW w:w="4020" w:type="dxa"/>
            <w:vAlign w:val="bottom"/>
            <w:gridSpan w:val="3"/>
          </w:tcPr>
          <w:p>
            <w:pPr>
              <w:spacing w:after="0"/>
              <w:rPr>
                <w:sz w:val="17"/>
                <w:szCs w:val="17"/>
                <w:color w:val="auto"/>
              </w:rPr>
            </w:pPr>
          </w:p>
        </w:tc>
        <w:tc>
          <w:tcPr>
            <w:tcW w:w="14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520"/>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w:anchor="page47">
              <w:r>
                <w:rPr>
                  <w:rFonts w:ascii="Times New Roman" w:cs="Times New Roman" w:eastAsia="Times New Roman" w:hAnsi="Times New Roman"/>
                  <w:sz w:val="18"/>
                  <w:szCs w:val="18"/>
                  <w:color w:val="0000FF"/>
                  <w:w w:val="99"/>
                </w:rPr>
                <w:t>Rule 13a-14a/15d-14(a) Certification of the CFO Michael L. Battles</w:t>
              </w:r>
            </w:hyperlink>
          </w:p>
        </w:tc>
        <w:tc>
          <w:tcPr>
            <w:tcW w:w="3840" w:type="dxa"/>
            <w:vAlign w:val="bottom"/>
            <w:gridSpan w:val="2"/>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520"/>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w:anchor="page48">
              <w:r>
                <w:rPr>
                  <w:rFonts w:ascii="Times New Roman" w:cs="Times New Roman" w:eastAsia="Times New Roman" w:hAnsi="Times New Roman"/>
                  <w:sz w:val="18"/>
                  <w:szCs w:val="18"/>
                  <w:color w:val="0000FF"/>
                  <w:w w:val="99"/>
                </w:rPr>
                <w:t>Section 1350 Certifications</w:t>
              </w:r>
            </w:hyperlink>
          </w:p>
        </w:tc>
        <w:tc>
          <w:tcPr>
            <w:tcW w:w="6780" w:type="dxa"/>
            <w:vAlign w:val="bottom"/>
            <w:gridSpan w:val="4"/>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54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Interactive Data Files Pursuant to Rule 405 of Regulation S-T: Financial statements from the quarterly report on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10-Q of Clean Harbors, Inc. for the quarter ended March 31, 2019, formatted in XBRL: (i) Consolidated</w:t>
            </w:r>
          </w:p>
        </w:tc>
        <w:tc>
          <w:tcPr>
            <w:tcW w:w="148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Balance Sheets, (ii) Unaudited Consolidated Statements of Operations, (iii) Unaudited Consolidated Statements of</w:t>
            </w:r>
          </w:p>
        </w:tc>
        <w:tc>
          <w:tcPr>
            <w:tcW w:w="1480" w:type="dxa"/>
            <w:vAlign w:val="bottom"/>
          </w:tcPr>
          <w:p>
            <w:pPr>
              <w:spacing w:after="0"/>
              <w:rPr>
                <w:sz w:val="20"/>
                <w:szCs w:val="20"/>
                <w:color w:val="auto"/>
              </w:rPr>
            </w:pPr>
          </w:p>
        </w:tc>
      </w:tr>
    </w:tbl>
    <w:p>
      <w:pPr>
        <w:ind w:left="1180" w:right="1860"/>
        <w:spacing w:after="0" w:line="255" w:lineRule="auto"/>
        <w:rPr>
          <w:sz w:val="20"/>
          <w:szCs w:val="20"/>
          <w:color w:val="auto"/>
        </w:rPr>
      </w:pPr>
      <w:r>
        <w:rPr>
          <w:rFonts w:ascii="Times New Roman" w:cs="Times New Roman" w:eastAsia="Times New Roman" w:hAnsi="Times New Roman"/>
          <w:sz w:val="18"/>
          <w:szCs w:val="18"/>
          <w:color w:val="auto"/>
        </w:rPr>
        <w:t>Comprehensive Income (Loss), (iv) Unaudited Consolidated Statements of Cash Flows, (v) Unaudited Consolidated Statements of Stockholders’ Equity, and (vi) Notes to Unaudited Consolidated Financial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7" w:lineRule="exact"/>
        <w:rPr>
          <w:sz w:val="20"/>
          <w:szCs w:val="20"/>
          <w:color w:val="auto"/>
        </w:rPr>
      </w:pPr>
    </w:p>
    <w:p>
      <w:pPr>
        <w:ind w:left="660" w:right="400" w:hanging="490"/>
        <w:spacing w:after="0" w:line="25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are furnished and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08"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CLEAN HARBORS, INC.</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333" w:lineRule="exact"/>
        <w:rPr>
          <w:sz w:val="20"/>
          <w:szCs w:val="20"/>
          <w:color w:val="auto"/>
        </w:rPr>
      </w:pPr>
    </w:p>
    <w:p>
      <w:pPr>
        <w:ind w:left="5900"/>
        <w:spacing w:after="0"/>
        <w:tabs>
          <w:tab w:leader="none" w:pos="7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Alan S. McKim</w:t>
      </w:r>
    </w:p>
    <w:p>
      <w:pPr>
        <w:spacing w:after="0" w:line="6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337"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 2019</w:t>
      </w:r>
    </w:p>
    <w:p>
      <w:pPr>
        <w:spacing w:after="0" w:line="333" w:lineRule="exact"/>
        <w:rPr>
          <w:sz w:val="20"/>
          <w:szCs w:val="20"/>
          <w:color w:val="auto"/>
        </w:rPr>
      </w:pPr>
    </w:p>
    <w:p>
      <w:pPr>
        <w:ind w:left="5900"/>
        <w:spacing w:after="0"/>
        <w:tabs>
          <w:tab w:leader="none" w:pos="7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6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337"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 2019</w:t>
      </w:r>
    </w:p>
    <w:p>
      <w:pPr>
        <w:spacing w:after="0" w:line="200" w:lineRule="exact"/>
        <w:rPr>
          <w:sz w:val="20"/>
          <w:szCs w:val="20"/>
          <w:color w:val="auto"/>
        </w:rPr>
      </w:pPr>
    </w:p>
    <w:p>
      <w:pPr>
        <w:spacing w:after="0" w:line="29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40"/>
          </w:cols>
          <w:pgMar w:left="240" w:top="121" w:right="71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S. McKim, certify that:</w:t>
      </w:r>
    </w:p>
    <w:p>
      <w:pPr>
        <w:spacing w:after="0" w:line="225" w:lineRule="exact"/>
        <w:rPr>
          <w:sz w:val="20"/>
          <w:szCs w:val="20"/>
          <w:color w:val="auto"/>
        </w:rPr>
      </w:pPr>
    </w:p>
    <w:p>
      <w:pPr>
        <w:ind w:left="200" w:hanging="192"/>
        <w:spacing w:after="0"/>
        <w:tabs>
          <w:tab w:leader="none" w:pos="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65" w:lineRule="exact"/>
        <w:rPr>
          <w:rFonts w:ascii="Times New Roman" w:cs="Times New Roman" w:eastAsia="Times New Roman" w:hAnsi="Times New Roman"/>
          <w:sz w:val="18"/>
          <w:szCs w:val="18"/>
          <w:color w:val="auto"/>
        </w:rPr>
      </w:pPr>
    </w:p>
    <w:p>
      <w:pPr>
        <w:ind w:right="440" w:firstLine="8"/>
        <w:spacing w:after="0" w:line="329" w:lineRule="auto"/>
        <w:tabs>
          <w:tab w:leader="none" w:pos="1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right="40" w:firstLine="8"/>
        <w:spacing w:after="0" w:line="329" w:lineRule="auto"/>
        <w:tabs>
          <w:tab w:leader="none" w:pos="1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w:t>
      </w:r>
    </w:p>
    <w:p>
      <w:pPr>
        <w:spacing w:after="0" w:line="6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Act Rules 13a-15(e) and 15d-15(e)) and internal control over financial reporting (as defined in Exchange Act Rules 13a-15(f) and 15d-15(f)) for the registrant and have: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 our supervision, to ensure that</w:t>
      </w:r>
    </w:p>
    <w:p>
      <w:pPr>
        <w:spacing w:after="0" w:line="5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material information relating to the registrant, including its consolidated subsidiaries, is made known to us by others within those entities, particularly during the period in which this report is being prepared;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Designed such internal control over financial reporting, or caused such internal control over financial reporting to be designed under our supervision, to</w:t>
      </w:r>
    </w:p>
    <w:p>
      <w:pPr>
        <w:spacing w:after="0" w:line="5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provide reasonable assurance regarding the reliability of financial reporting and the preparation of financial statements for external purposes in accordance with generally accepted accounting principles;</w:t>
      </w:r>
    </w:p>
    <w:p>
      <w:pPr>
        <w:spacing w:after="0" w:line="162" w:lineRule="exact"/>
        <w:rPr>
          <w:sz w:val="20"/>
          <w:szCs w:val="20"/>
          <w:color w:val="auto"/>
        </w:rPr>
      </w:pPr>
    </w:p>
    <w:p>
      <w:pPr>
        <w:ind w:right="20" w:firstLine="8"/>
        <w:spacing w:after="0" w:line="329" w:lineRule="auto"/>
        <w:tabs>
          <w:tab w:leader="none" w:pos="2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w:t>
      </w:r>
    </w:p>
    <w:p>
      <w:pPr>
        <w:spacing w:after="0" w:line="5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right="460" w:firstLine="8"/>
        <w:spacing w:after="0" w:line="329" w:lineRule="auto"/>
        <w:tabs>
          <w:tab w:leader="none" w:pos="1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right="200" w:firstLine="8"/>
        <w:spacing w:after="0" w:line="329" w:lineRule="auto"/>
        <w:tabs>
          <w:tab w:leader="none" w:pos="2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right="440" w:firstLine="8"/>
        <w:spacing w:after="0" w:line="329" w:lineRule="auto"/>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Alan S. McKim</w:t>
      </w:r>
    </w:p>
    <w:p>
      <w:pPr>
        <w:spacing w:after="0" w:line="6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i w:val="1"/>
          <w:iCs w:val="1"/>
          <w:color w:val="auto"/>
        </w:rPr>
        <w:t>Chairman, President and 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2019</w:t>
      </w:r>
    </w:p>
    <w:p>
      <w:pPr>
        <w:sectPr>
          <w:pgSz w:w="11900" w:h="16838" w:orient="portrait"/>
          <w:cols w:equalWidth="0" w:num="1">
            <w:col w:w="11420"/>
          </w:cols>
          <w:pgMar w:left="240" w:top="576"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 Battles, certify that:</w:t>
      </w:r>
    </w:p>
    <w:p>
      <w:pPr>
        <w:spacing w:after="0" w:line="225" w:lineRule="exact"/>
        <w:rPr>
          <w:sz w:val="20"/>
          <w:szCs w:val="20"/>
          <w:color w:val="auto"/>
        </w:rPr>
      </w:pPr>
    </w:p>
    <w:p>
      <w:pPr>
        <w:ind w:left="200" w:hanging="192"/>
        <w:spacing w:after="0"/>
        <w:tabs>
          <w:tab w:leader="none" w:pos="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65" w:lineRule="exact"/>
        <w:rPr>
          <w:rFonts w:ascii="Times New Roman" w:cs="Times New Roman" w:eastAsia="Times New Roman" w:hAnsi="Times New Roman"/>
          <w:sz w:val="18"/>
          <w:szCs w:val="18"/>
          <w:color w:val="auto"/>
        </w:rPr>
      </w:pPr>
    </w:p>
    <w:p>
      <w:pPr>
        <w:ind w:right="440" w:firstLine="8"/>
        <w:spacing w:after="0" w:line="329" w:lineRule="auto"/>
        <w:tabs>
          <w:tab w:leader="none" w:pos="1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right="40" w:firstLine="8"/>
        <w:spacing w:after="0" w:line="329" w:lineRule="auto"/>
        <w:tabs>
          <w:tab w:leader="none" w:pos="1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w:t>
      </w:r>
    </w:p>
    <w:p>
      <w:pPr>
        <w:spacing w:after="0" w:line="6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Act Rules 13a-15(e) and 15d-15(e)) and internal control over financial reporting (as defined in Exchange Act Rules 13a-15(f) and 15d-15(f)) for the registrant and have: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 our supervision, to ensure that</w:t>
      </w:r>
    </w:p>
    <w:p>
      <w:pPr>
        <w:spacing w:after="0" w:line="5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material information relating to the registrant, including its consolidated subsidiaries, is made known to us by others within those entities, particularly during the period in which this report is being prepared;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Designed such internal control over financial reporting, or caused such internal control over financial reporting to be designed under our supervision, to</w:t>
      </w:r>
    </w:p>
    <w:p>
      <w:pPr>
        <w:spacing w:after="0" w:line="5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provide reasonable assurance regarding the reliability of financial reporting and the preparation of financial statements for external purposes in accordance with generally accepted accounting principles;</w:t>
      </w:r>
    </w:p>
    <w:p>
      <w:pPr>
        <w:spacing w:after="0" w:line="162" w:lineRule="exact"/>
        <w:rPr>
          <w:sz w:val="20"/>
          <w:szCs w:val="20"/>
          <w:color w:val="auto"/>
        </w:rPr>
      </w:pPr>
    </w:p>
    <w:p>
      <w:pPr>
        <w:ind w:right="20" w:firstLine="8"/>
        <w:spacing w:after="0" w:line="329" w:lineRule="auto"/>
        <w:tabs>
          <w:tab w:leader="none" w:pos="2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w:t>
      </w:r>
    </w:p>
    <w:p>
      <w:pPr>
        <w:spacing w:after="0" w:line="5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right="460" w:firstLine="8"/>
        <w:spacing w:after="0" w:line="329" w:lineRule="auto"/>
        <w:tabs>
          <w:tab w:leader="none" w:pos="1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right="200" w:firstLine="8"/>
        <w:spacing w:after="0" w:line="329" w:lineRule="auto"/>
        <w:tabs>
          <w:tab w:leader="none" w:pos="2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right="440" w:firstLine="8"/>
        <w:spacing w:after="0" w:line="329" w:lineRule="auto"/>
        <w:tabs>
          <w:tab w:leader="none" w:pos="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6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2019</w:t>
      </w:r>
    </w:p>
    <w:p>
      <w:pPr>
        <w:sectPr>
          <w:pgSz w:w="11900" w:h="16838" w:orient="portrait"/>
          <w:cols w:equalWidth="0" w:num="1">
            <w:col w:w="11420"/>
          </w:cols>
          <w:pgMar w:left="240" w:top="576"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0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Pursuant to 18 U.S.C. §1350, each of the undersigned certifies that, to his knowledge, this Quarterly Report on Form 10-Q for the period ended March 31, 2019 fully complies with the requirements of Section 13(a) or 15(d) of the Securities Exchange Act of 1934 and the information contained in this report fairly presents, in all material respects, the financial condition and results of operations of Clean Harbors, Inc.</w:t>
      </w:r>
    </w:p>
    <w:p>
      <w:pPr>
        <w:spacing w:after="0" w:line="338" w:lineRule="exact"/>
        <w:rPr>
          <w:sz w:val="20"/>
          <w:szCs w:val="20"/>
          <w:color w:val="auto"/>
        </w:rPr>
      </w:pPr>
    </w:p>
    <w:p>
      <w:pPr>
        <w:ind w:left="6000"/>
        <w:spacing w:after="0"/>
        <w:tabs>
          <w:tab w:leader="none" w:pos="8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b w:val="1"/>
          <w:bCs w:val="1"/>
          <w:color w:val="auto"/>
        </w:rPr>
        <w:t>Alan S. McKim</w:t>
      </w:r>
    </w:p>
    <w:p>
      <w:pPr>
        <w:spacing w:after="0" w:line="6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3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Date: May 1, 2019</w:t>
      </w:r>
    </w:p>
    <w:p>
      <w:pPr>
        <w:spacing w:after="0" w:line="333" w:lineRule="exact"/>
        <w:rPr>
          <w:sz w:val="20"/>
          <w:szCs w:val="20"/>
          <w:color w:val="auto"/>
        </w:rPr>
      </w:pPr>
    </w:p>
    <w:p>
      <w:pPr>
        <w:ind w:left="6000"/>
        <w:spacing w:after="0"/>
        <w:tabs>
          <w:tab w:leader="none" w:pos="7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60"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7"/>
          <w:szCs w:val="17"/>
          <w:b w:val="1"/>
          <w:bCs w:val="1"/>
          <w:color w:val="auto"/>
        </w:rPr>
        <w:t>Executive Vice President and Chief Financial Officer</w:t>
      </w:r>
    </w:p>
    <w:p>
      <w:pPr>
        <w:spacing w:after="0" w:line="3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Date: May 1, 2019</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lowerLetter"/>
      <w:start w:val="4"/>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lowerLetter"/>
      <w:start w:val="3"/>
    </w:lvl>
  </w:abstractNum>
  <w:abstractNum w:abstractNumId="11">
    <w:nsid w:val="7FDCC233"/>
    <w:multiLevelType w:val="hybridMultilevel"/>
    <w:lvl w:ilvl="0">
      <w:lvlJc w:val="left"/>
      <w:lvlText w:val="%1."/>
      <w:numFmt w:val="decimal"/>
      <w:start w:val="5"/>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lowerLetter"/>
      <w:start w:val="3"/>
    </w:lvl>
  </w:abstractNum>
  <w:abstractNum w:abstractNumId="15">
    <w:nsid w:val="4E6AFB66"/>
    <w:multiLevelType w:val="hybridMultilevel"/>
    <w:lvl w:ilvl="0">
      <w:lvlJc w:val="left"/>
      <w:lvlText w:val="%1."/>
      <w:numFmt w:val="decimal"/>
      <w:start w:val="5"/>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2019-12-28T13:22:55Z</dcterms:created>
  <dcterms:modified xsi:type="dcterms:W3CDTF">2019-12-28T13:22:55Z</dcterms:modified>
</cp:coreProperties>
</file>