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4"/>
          <w:szCs w:val="24"/>
          <w:color w:val="auto"/>
        </w:rPr>
      </w:pP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2"/>
          <w:szCs w:val="12"/>
          <w:b w:val="1"/>
          <w:bCs w:val="1"/>
          <w:color w:val="auto"/>
        </w:rPr>
        <w:t>Washington, D.C. 20549</w:t>
      </w:r>
    </w:p>
    <w:p>
      <w:pPr>
        <w:spacing w:after="0" w:line="5" w:lineRule="exact"/>
        <w:rPr>
          <w:sz w:val="24"/>
          <w:szCs w:val="24"/>
          <w:color w:val="auto"/>
        </w:rPr>
      </w:pPr>
    </w:p>
    <w:p>
      <w:pPr>
        <w:ind w:left="4960"/>
        <w:spacing w:after="0"/>
        <w:rPr>
          <w:sz w:val="20"/>
          <w:szCs w:val="20"/>
          <w:color w:val="auto"/>
        </w:rPr>
      </w:pPr>
      <w:r>
        <w:rPr>
          <w:rFonts w:ascii="Arial" w:cs="Arial" w:eastAsia="Arial" w:hAnsi="Arial"/>
          <w:sz w:val="12"/>
          <w:szCs w:val="12"/>
          <w:color w:val="auto"/>
        </w:rPr>
        <w:t>_______________________</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64"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QUARTERLY REPORT PURSUANT TO SECTION 13 OR 15(d) OF THE SECURITIES</w:t>
      </w:r>
    </w:p>
    <w:p>
      <w:pPr>
        <w:ind w:left="2940" w:hanging="358"/>
        <w:spacing w:after="0"/>
        <w:tabs>
          <w:tab w:leader="none" w:pos="294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EXCHANGE ACT OF 1934</w:t>
      </w:r>
    </w:p>
    <w:p>
      <w:pPr>
        <w:spacing w:after="0" w:line="68" w:lineRule="exact"/>
        <w:rPr>
          <w:sz w:val="24"/>
          <w:szCs w:val="24"/>
          <w:color w:val="auto"/>
        </w:rPr>
      </w:pPr>
    </w:p>
    <w:p>
      <w:pPr>
        <w:ind w:left="3900"/>
        <w:spacing w:after="0"/>
        <w:rPr>
          <w:sz w:val="20"/>
          <w:szCs w:val="20"/>
          <w:color w:val="auto"/>
        </w:rPr>
      </w:pPr>
      <w:r>
        <w:rPr>
          <w:rFonts w:ascii="Arial" w:cs="Arial" w:eastAsia="Arial" w:hAnsi="Arial"/>
          <w:sz w:val="12"/>
          <w:szCs w:val="12"/>
          <w:b w:val="1"/>
          <w:bCs w:val="1"/>
          <w:color w:val="auto"/>
        </w:rPr>
        <w:t>FOR THE QUARTERLY PERIOD ENDED JUNE 30, 2021</w:t>
      </w:r>
    </w:p>
    <w:p>
      <w:pPr>
        <w:spacing w:after="0" w:line="19" w:lineRule="exact"/>
        <w:rPr>
          <w:sz w:val="24"/>
          <w:szCs w:val="24"/>
          <w:color w:val="auto"/>
        </w:rPr>
      </w:pPr>
    </w:p>
    <w:p>
      <w:pPr>
        <w:ind w:left="5560"/>
        <w:spacing w:after="0"/>
        <w:rPr>
          <w:sz w:val="20"/>
          <w:szCs w:val="20"/>
          <w:color w:val="auto"/>
        </w:rPr>
      </w:pPr>
      <w:r>
        <w:rPr>
          <w:rFonts w:ascii="Arial" w:cs="Arial" w:eastAsia="Arial" w:hAnsi="Arial"/>
          <w:sz w:val="12"/>
          <w:szCs w:val="12"/>
          <w:b w:val="1"/>
          <w:bCs w:val="1"/>
          <w:color w:val="auto"/>
        </w:rPr>
        <w:t>OR</w:t>
      </w:r>
    </w:p>
    <w:p>
      <w:pPr>
        <w:spacing w:after="0" w:line="35"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TRANSITION REPORT PURSUANT TO SECTION 13 OR 15(d) OF THE SECURITIES</w:t>
      </w:r>
    </w:p>
    <w:p>
      <w:pPr>
        <w:ind w:left="2940" w:hanging="358"/>
        <w:spacing w:after="0"/>
        <w:tabs>
          <w:tab w:leader="none" w:pos="294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EXCHANGE ACT OF 1934</w:t>
      </w:r>
    </w:p>
    <w:p>
      <w:pPr>
        <w:sectPr>
          <w:pgSz w:w="11900" w:h="16838" w:orient="portrait"/>
          <w:cols w:equalWidth="0" w:num="1">
            <w:col w:w="11280"/>
          </w:cols>
          <w:pgMar w:left="300" w:top="203" w:right="319" w:bottom="1440" w:gutter="0" w:footer="0" w:header="0"/>
        </w:sectPr>
      </w:pPr>
    </w:p>
    <w:p>
      <w:pPr>
        <w:spacing w:after="0" w:line="221" w:lineRule="exact"/>
        <w:rPr>
          <w:sz w:val="24"/>
          <w:szCs w:val="24"/>
          <w:color w:val="auto"/>
        </w:rPr>
      </w:pPr>
    </w:p>
    <w:p>
      <w:pPr>
        <w:ind w:left="4220"/>
        <w:spacing w:after="0"/>
        <w:rPr>
          <w:sz w:val="20"/>
          <w:szCs w:val="20"/>
          <w:color w:val="auto"/>
        </w:rPr>
      </w:pPr>
      <w:r>
        <w:rPr>
          <w:rFonts w:ascii="Arial" w:cs="Arial" w:eastAsia="Arial" w:hAnsi="Arial"/>
          <w:sz w:val="12"/>
          <w:szCs w:val="12"/>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TO</w:t>
      </w:r>
    </w:p>
    <w:p>
      <w:pPr>
        <w:spacing w:after="0" w:line="179" w:lineRule="exact"/>
        <w:rPr>
          <w:sz w:val="24"/>
          <w:szCs w:val="24"/>
          <w:color w:val="auto"/>
        </w:rPr>
      </w:pPr>
    </w:p>
    <w:p>
      <w:pPr>
        <w:sectPr>
          <w:pgSz w:w="11900" w:h="16838" w:orient="portrait"/>
          <w:cols w:equalWidth="0" w:num="2">
            <w:col w:w="6420" w:space="280"/>
            <w:col w:w="4580"/>
          </w:cols>
          <w:pgMar w:left="300" w:top="203" w:right="319" w:bottom="1440" w:gutter="0" w:footer="0" w:header="0"/>
          <w:type w:val="continuous"/>
        </w:sectPr>
      </w:pPr>
    </w:p>
    <w:p>
      <w:pPr>
        <w:jc w:val="center"/>
        <w:ind w:right="-19"/>
        <w:spacing w:after="0"/>
        <w:rPr>
          <w:sz w:val="20"/>
          <w:szCs w:val="20"/>
          <w:color w:val="auto"/>
        </w:rPr>
      </w:pPr>
      <w:r>
        <w:rPr>
          <w:rFonts w:ascii="Arial" w:cs="Arial" w:eastAsia="Arial" w:hAnsi="Arial"/>
          <w:sz w:val="10"/>
          <w:szCs w:val="10"/>
          <w:b w:val="1"/>
          <w:bCs w:val="1"/>
          <w:color w:val="auto"/>
        </w:rPr>
        <w:t>Commission File Number 001-34223</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_______________________</w:t>
      </w:r>
    </w:p>
    <w:p>
      <w:pPr>
        <w:sectPr>
          <w:pgSz w:w="11900" w:h="16838" w:orient="portrait"/>
          <w:cols w:equalWidth="0" w:num="1">
            <w:col w:w="11280"/>
          </w:cols>
          <w:pgMar w:left="300" w:top="203" w:right="319" w:bottom="1440" w:gutter="0" w:footer="0" w:header="0"/>
          <w:type w:val="continuous"/>
        </w:sectPr>
      </w:pPr>
    </w:p>
    <w:p>
      <w:pPr>
        <w:spacing w:after="0" w:line="8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CLEAN HARBORS,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(Exact name of registrant as specified in its charter)</w:t>
      </w:r>
    </w:p>
    <w:p>
      <w:pPr>
        <w:spacing w:after="0" w:line="82" w:lineRule="exact"/>
        <w:rPr>
          <w:sz w:val="24"/>
          <w:szCs w:val="24"/>
          <w:color w:val="auto"/>
        </w:rPr>
      </w:pPr>
    </w:p>
    <w:tbl>
      <w:tblPr>
        <w:tblLayout w:type="fixed"/>
        <w:tblInd w:w="2620" w:type="dxa"/>
        <w:tblCellMar>
          <w:top w:w="0" w:type="dxa"/>
          <w:left w:w="0" w:type="dxa"/>
          <w:bottom w:w="0" w:type="dxa"/>
          <w:right w:w="0" w:type="dxa"/>
        </w:tblCellMar>
      </w:tblPr>
      <w:tr>
        <w:trPr>
          <w:trHeight w:val="157"/>
        </w:trPr>
        <w:tc>
          <w:tcPr>
            <w:tcW w:w="3640" w:type="dxa"/>
            <w:vAlign w:val="bottom"/>
          </w:tcPr>
          <w:p>
            <w:pPr>
              <w:ind w:left="1240"/>
              <w:spacing w:after="0"/>
              <w:rPr>
                <w:sz w:val="20"/>
                <w:szCs w:val="20"/>
                <w:color w:val="auto"/>
              </w:rPr>
            </w:pPr>
            <w:r>
              <w:rPr>
                <w:rFonts w:ascii="Arial" w:cs="Arial" w:eastAsia="Arial" w:hAnsi="Arial"/>
                <w:sz w:val="12"/>
                <w:szCs w:val="12"/>
                <w:b w:val="1"/>
                <w:bCs w:val="1"/>
                <w:color w:val="auto"/>
              </w:rPr>
              <w:t>Massachusetts</w:t>
            </w:r>
          </w:p>
        </w:tc>
        <w:tc>
          <w:tcPr>
            <w:tcW w:w="2380" w:type="dxa"/>
            <w:vAlign w:val="bottom"/>
          </w:tcPr>
          <w:p>
            <w:pPr>
              <w:jc w:val="center"/>
              <w:ind w:left="660"/>
              <w:spacing w:after="0"/>
              <w:rPr>
                <w:sz w:val="20"/>
                <w:szCs w:val="20"/>
                <w:color w:val="auto"/>
              </w:rPr>
            </w:pPr>
            <w:r>
              <w:rPr>
                <w:rFonts w:ascii="Arial" w:cs="Arial" w:eastAsia="Arial" w:hAnsi="Arial"/>
                <w:sz w:val="12"/>
                <w:szCs w:val="12"/>
                <w:b w:val="1"/>
                <w:bCs w:val="1"/>
                <w:color w:val="auto"/>
                <w:w w:val="90"/>
              </w:rPr>
              <w:t>04-2997780</w:t>
            </w:r>
          </w:p>
        </w:tc>
      </w:tr>
      <w:tr>
        <w:trPr>
          <w:trHeight w:val="149"/>
        </w:trPr>
        <w:tc>
          <w:tcPr>
            <w:tcW w:w="3640" w:type="dxa"/>
            <w:vAlign w:val="bottom"/>
          </w:tcPr>
          <w:p>
            <w:pPr>
              <w:spacing w:after="0"/>
              <w:rPr>
                <w:sz w:val="20"/>
                <w:szCs w:val="20"/>
                <w:color w:val="auto"/>
              </w:rPr>
            </w:pPr>
            <w:r>
              <w:rPr>
                <w:rFonts w:ascii="Arial" w:cs="Arial" w:eastAsia="Arial" w:hAnsi="Arial"/>
                <w:sz w:val="12"/>
                <w:szCs w:val="12"/>
                <w:color w:val="auto"/>
              </w:rPr>
              <w:t>(State or Other Jurisdiction of Incorporation or Organization)</w:t>
            </w:r>
          </w:p>
        </w:tc>
        <w:tc>
          <w:tcPr>
            <w:tcW w:w="2380" w:type="dxa"/>
            <w:vAlign w:val="bottom"/>
          </w:tcPr>
          <w:p>
            <w:pPr>
              <w:jc w:val="center"/>
              <w:ind w:left="660"/>
              <w:spacing w:after="0"/>
              <w:rPr>
                <w:sz w:val="20"/>
                <w:szCs w:val="20"/>
                <w:color w:val="auto"/>
              </w:rPr>
            </w:pPr>
            <w:r>
              <w:rPr>
                <w:rFonts w:ascii="Arial" w:cs="Arial" w:eastAsia="Arial" w:hAnsi="Arial"/>
                <w:sz w:val="12"/>
                <w:szCs w:val="12"/>
                <w:color w:val="auto"/>
                <w:w w:val="94"/>
              </w:rPr>
              <w:t>(IRS Employer Identification No.)</w:t>
            </w:r>
          </w:p>
        </w:tc>
      </w:tr>
      <w:tr>
        <w:trPr>
          <w:trHeight w:val="157"/>
        </w:trPr>
        <w:tc>
          <w:tcPr>
            <w:tcW w:w="3640" w:type="dxa"/>
            <w:vAlign w:val="bottom"/>
          </w:tcPr>
          <w:p>
            <w:pPr>
              <w:ind w:left="620"/>
              <w:spacing w:after="0"/>
              <w:rPr>
                <w:sz w:val="20"/>
                <w:szCs w:val="20"/>
                <w:color w:val="auto"/>
              </w:rPr>
            </w:pPr>
            <w:r>
              <w:rPr>
                <w:rFonts w:ascii="Arial" w:cs="Arial" w:eastAsia="Arial" w:hAnsi="Arial"/>
                <w:sz w:val="12"/>
                <w:szCs w:val="12"/>
                <w:b w:val="1"/>
                <w:bCs w:val="1"/>
                <w:color w:val="auto"/>
              </w:rPr>
              <w:t>42 Longwater Drive Norwell  MA</w:t>
            </w:r>
          </w:p>
        </w:tc>
        <w:tc>
          <w:tcPr>
            <w:tcW w:w="2380" w:type="dxa"/>
            <w:vAlign w:val="bottom"/>
          </w:tcPr>
          <w:p>
            <w:pPr>
              <w:jc w:val="center"/>
              <w:ind w:left="660"/>
              <w:spacing w:after="0"/>
              <w:rPr>
                <w:sz w:val="20"/>
                <w:szCs w:val="20"/>
                <w:color w:val="auto"/>
              </w:rPr>
            </w:pPr>
            <w:r>
              <w:rPr>
                <w:rFonts w:ascii="Arial" w:cs="Arial" w:eastAsia="Arial" w:hAnsi="Arial"/>
                <w:sz w:val="12"/>
                <w:szCs w:val="12"/>
                <w:b w:val="1"/>
                <w:bCs w:val="1"/>
                <w:color w:val="auto"/>
                <w:w w:val="90"/>
              </w:rPr>
              <w:t>02061-9149</w:t>
            </w:r>
          </w:p>
        </w:tc>
      </w:tr>
      <w:tr>
        <w:trPr>
          <w:trHeight w:val="153"/>
        </w:trPr>
        <w:tc>
          <w:tcPr>
            <w:tcW w:w="3640" w:type="dxa"/>
            <w:vAlign w:val="bottom"/>
          </w:tcPr>
          <w:p>
            <w:pPr>
              <w:ind w:left="620"/>
              <w:spacing w:after="0"/>
              <w:rPr>
                <w:sz w:val="20"/>
                <w:szCs w:val="20"/>
                <w:color w:val="auto"/>
              </w:rPr>
            </w:pPr>
            <w:r>
              <w:rPr>
                <w:rFonts w:ascii="Arial" w:cs="Arial" w:eastAsia="Arial" w:hAnsi="Arial"/>
                <w:sz w:val="12"/>
                <w:szCs w:val="12"/>
                <w:color w:val="auto"/>
              </w:rPr>
              <w:t>(Address of Principal Executive Offices)</w:t>
            </w:r>
          </w:p>
        </w:tc>
        <w:tc>
          <w:tcPr>
            <w:tcW w:w="2380" w:type="dxa"/>
            <w:vAlign w:val="bottom"/>
          </w:tcPr>
          <w:p>
            <w:pPr>
              <w:jc w:val="center"/>
              <w:ind w:left="640"/>
              <w:spacing w:after="0"/>
              <w:rPr>
                <w:sz w:val="20"/>
                <w:szCs w:val="20"/>
                <w:color w:val="auto"/>
              </w:rPr>
            </w:pPr>
            <w:r>
              <w:rPr>
                <w:rFonts w:ascii="Arial" w:cs="Arial" w:eastAsia="Arial" w:hAnsi="Arial"/>
                <w:sz w:val="12"/>
                <w:szCs w:val="12"/>
                <w:color w:val="auto"/>
                <w:w w:val="91"/>
              </w:rPr>
              <w:t>(Zip Code)</w:t>
            </w:r>
          </w:p>
        </w:tc>
      </w:tr>
    </w:tbl>
    <w:p>
      <w:pPr>
        <w:spacing w:after="0" w:line="113" w:lineRule="exact"/>
        <w:rPr>
          <w:sz w:val="24"/>
          <w:szCs w:val="24"/>
          <w:color w:val="auto"/>
        </w:rPr>
      </w:pPr>
    </w:p>
    <w:tbl>
      <w:tblPr>
        <w:tblLayout w:type="fixed"/>
        <w:tblInd w:w="800" w:type="dxa"/>
        <w:tblCellMar>
          <w:top w:w="0" w:type="dxa"/>
          <w:left w:w="0" w:type="dxa"/>
          <w:bottom w:w="0" w:type="dxa"/>
          <w:right w:w="0" w:type="dxa"/>
        </w:tblCellMar>
      </w:tblPr>
      <w:tr>
        <w:trPr>
          <w:trHeight w:val="157"/>
        </w:trPr>
        <w:tc>
          <w:tcPr>
            <w:tcW w:w="3160" w:type="dxa"/>
            <w:vAlign w:val="bottom"/>
          </w:tcPr>
          <w:p>
            <w:pPr>
              <w:spacing w:after="0"/>
              <w:rPr>
                <w:sz w:val="13"/>
                <w:szCs w:val="13"/>
                <w:color w:val="auto"/>
              </w:rPr>
            </w:pPr>
          </w:p>
        </w:tc>
        <w:tc>
          <w:tcPr>
            <w:tcW w:w="3580" w:type="dxa"/>
            <w:vAlign w:val="bottom"/>
            <w:gridSpan w:val="4"/>
          </w:tcPr>
          <w:p>
            <w:pPr>
              <w:jc w:val="center"/>
              <w:ind w:right="200"/>
              <w:spacing w:after="0"/>
              <w:rPr>
                <w:sz w:val="20"/>
                <w:szCs w:val="20"/>
                <w:color w:val="auto"/>
              </w:rPr>
            </w:pPr>
            <w:r>
              <w:rPr>
                <w:rFonts w:ascii="Arial" w:cs="Arial" w:eastAsia="Arial" w:hAnsi="Arial"/>
                <w:sz w:val="12"/>
                <w:szCs w:val="12"/>
                <w:color w:val="auto"/>
                <w:w w:val="90"/>
              </w:rPr>
              <w:t xml:space="preserve">Registrant’s Telephone Number, Including area code: </w:t>
            </w:r>
            <w:r>
              <w:rPr>
                <w:rFonts w:ascii="Arial" w:cs="Arial" w:eastAsia="Arial" w:hAnsi="Arial"/>
                <w:sz w:val="12"/>
                <w:szCs w:val="12"/>
                <w:b w:val="1"/>
                <w:bCs w:val="1"/>
                <w:color w:val="auto"/>
                <w:w w:val="90"/>
              </w:rPr>
              <w:t>(781) 792-5000</w:t>
            </w:r>
          </w:p>
        </w:tc>
        <w:tc>
          <w:tcPr>
            <w:tcW w:w="2940" w:type="dxa"/>
            <w:vAlign w:val="bottom"/>
          </w:tcPr>
          <w:p>
            <w:pPr>
              <w:spacing w:after="0"/>
              <w:rPr>
                <w:sz w:val="13"/>
                <w:szCs w:val="13"/>
                <w:color w:val="auto"/>
              </w:rPr>
            </w:pPr>
          </w:p>
        </w:tc>
      </w:tr>
      <w:tr>
        <w:trPr>
          <w:trHeight w:val="216"/>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gridSpan w:val="3"/>
          </w:tcPr>
          <w:p>
            <w:pPr>
              <w:jc w:val="center"/>
              <w:ind w:right="320"/>
              <w:spacing w:after="0"/>
              <w:rPr>
                <w:sz w:val="20"/>
                <w:szCs w:val="20"/>
                <w:color w:val="auto"/>
              </w:rPr>
            </w:pPr>
            <w:r>
              <w:rPr>
                <w:rFonts w:ascii="Arial" w:cs="Arial" w:eastAsia="Arial" w:hAnsi="Arial"/>
                <w:sz w:val="12"/>
                <w:szCs w:val="12"/>
                <w:color w:val="auto"/>
                <w:w w:val="90"/>
              </w:rPr>
              <w:t>Securities registered pursuant to Section 12(b) of the Act:</w:t>
            </w:r>
          </w:p>
        </w:tc>
        <w:tc>
          <w:tcPr>
            <w:tcW w:w="2940" w:type="dxa"/>
            <w:vAlign w:val="bottom"/>
          </w:tcPr>
          <w:p>
            <w:pPr>
              <w:spacing w:after="0"/>
              <w:rPr>
                <w:sz w:val="18"/>
                <w:szCs w:val="18"/>
                <w:color w:val="auto"/>
              </w:rPr>
            </w:pPr>
          </w:p>
        </w:tc>
      </w:tr>
      <w:tr>
        <w:trPr>
          <w:trHeight w:val="243"/>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Title of each class</w:t>
            </w:r>
          </w:p>
        </w:tc>
        <w:tc>
          <w:tcPr>
            <w:tcW w:w="100" w:type="dxa"/>
            <w:vAlign w:val="bottom"/>
          </w:tcPr>
          <w:p>
            <w:pPr>
              <w:spacing w:after="0"/>
              <w:rPr>
                <w:sz w:val="21"/>
                <w:szCs w:val="21"/>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Trading Symbol</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tcPr>
          <w:p>
            <w:pPr>
              <w:jc w:val="center"/>
              <w:ind w:right="160"/>
              <w:spacing w:after="0"/>
              <w:rPr>
                <w:sz w:val="20"/>
                <w:szCs w:val="20"/>
                <w:color w:val="auto"/>
              </w:rPr>
            </w:pPr>
            <w:r>
              <w:rPr>
                <w:rFonts w:ascii="Arial" w:cs="Arial" w:eastAsia="Arial" w:hAnsi="Arial"/>
                <w:sz w:val="12"/>
                <w:szCs w:val="12"/>
                <w:b w:val="1"/>
                <w:bCs w:val="1"/>
                <w:color w:val="auto"/>
                <w:w w:val="88"/>
              </w:rPr>
              <w:t>Name of each exchange on which registered</w:t>
            </w:r>
          </w:p>
        </w:tc>
      </w:tr>
      <w:tr>
        <w:trPr>
          <w:trHeight w:val="142"/>
        </w:trPr>
        <w:tc>
          <w:tcPr>
            <w:tcW w:w="3160" w:type="dxa"/>
            <w:vAlign w:val="bottom"/>
          </w:tcPr>
          <w:p>
            <w:pPr>
              <w:jc w:val="center"/>
              <w:spacing w:after="0"/>
              <w:rPr>
                <w:sz w:val="20"/>
                <w:szCs w:val="20"/>
                <w:color w:val="auto"/>
              </w:rPr>
            </w:pPr>
            <w:r>
              <w:rPr>
                <w:rFonts w:ascii="Arial" w:cs="Arial" w:eastAsia="Arial" w:hAnsi="Arial"/>
                <w:sz w:val="12"/>
                <w:szCs w:val="12"/>
                <w:color w:val="auto"/>
                <w:w w:val="90"/>
              </w:rPr>
              <w:t>Common Stock, $0.01 par value</w:t>
            </w:r>
          </w:p>
        </w:tc>
        <w:tc>
          <w:tcPr>
            <w:tcW w:w="100" w:type="dxa"/>
            <w:vAlign w:val="bottom"/>
          </w:tcPr>
          <w:p>
            <w:pPr>
              <w:spacing w:after="0"/>
              <w:rPr>
                <w:sz w:val="12"/>
                <w:szCs w:val="12"/>
                <w:color w:val="auto"/>
              </w:rPr>
            </w:pPr>
          </w:p>
        </w:tc>
        <w:tc>
          <w:tcPr>
            <w:tcW w:w="3480" w:type="dxa"/>
            <w:vAlign w:val="bottom"/>
            <w:gridSpan w:val="3"/>
          </w:tcPr>
          <w:p>
            <w:pPr>
              <w:jc w:val="center"/>
              <w:ind w:right="320"/>
              <w:spacing w:after="0"/>
              <w:rPr>
                <w:sz w:val="20"/>
                <w:szCs w:val="20"/>
                <w:color w:val="auto"/>
              </w:rPr>
            </w:pPr>
            <w:r>
              <w:rPr>
                <w:rFonts w:ascii="Arial" w:cs="Arial" w:eastAsia="Arial" w:hAnsi="Arial"/>
                <w:sz w:val="12"/>
                <w:szCs w:val="12"/>
                <w:color w:val="auto"/>
                <w:w w:val="99"/>
              </w:rPr>
              <w:t>CLH</w:t>
            </w:r>
          </w:p>
        </w:tc>
        <w:tc>
          <w:tcPr>
            <w:tcW w:w="2940" w:type="dxa"/>
            <w:vAlign w:val="bottom"/>
          </w:tcPr>
          <w:p>
            <w:pPr>
              <w:jc w:val="center"/>
              <w:ind w:right="180"/>
              <w:spacing w:after="0"/>
              <w:rPr>
                <w:sz w:val="20"/>
                <w:szCs w:val="20"/>
                <w:color w:val="auto"/>
              </w:rPr>
            </w:pPr>
            <w:r>
              <w:rPr>
                <w:rFonts w:ascii="Arial" w:cs="Arial" w:eastAsia="Arial" w:hAnsi="Arial"/>
                <w:sz w:val="12"/>
                <w:szCs w:val="12"/>
                <w:color w:val="auto"/>
                <w:w w:val="91"/>
              </w:rPr>
              <w:t>New York Stock Exchange</w:t>
            </w:r>
          </w:p>
        </w:tc>
      </w:tr>
    </w:tbl>
    <w:p>
      <w:pPr>
        <w:spacing w:after="0" w:line="126" w:lineRule="exact"/>
        <w:rPr>
          <w:sz w:val="24"/>
          <w:szCs w:val="24"/>
          <w:color w:val="auto"/>
        </w:rPr>
      </w:pPr>
    </w:p>
    <w:p>
      <w:pPr>
        <w:ind w:right="160" w:firstLine="120"/>
        <w:spacing w:after="0" w:line="155"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52" w:lineRule="exact"/>
        <w:rPr>
          <w:sz w:val="24"/>
          <w:szCs w:val="24"/>
          <w:color w:val="auto"/>
        </w:rPr>
      </w:pPr>
    </w:p>
    <w:p>
      <w:pPr>
        <w:ind w:firstLine="216"/>
        <w:spacing w:after="0" w:line="155"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52" w:lineRule="exact"/>
        <w:rPr>
          <w:sz w:val="24"/>
          <w:szCs w:val="24"/>
          <w:color w:val="auto"/>
        </w:rPr>
      </w:pPr>
    </w:p>
    <w:p>
      <w:pPr>
        <w:ind w:right="200" w:firstLine="216"/>
        <w:spacing w:after="0" w:line="27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47" w:lineRule="exact"/>
        <w:rPr>
          <w:sz w:val="24"/>
          <w:szCs w:val="24"/>
          <w:color w:val="auto"/>
        </w:rPr>
      </w:pPr>
    </w:p>
    <w:tbl>
      <w:tblPr>
        <w:tblLayout w:type="fixed"/>
        <w:tblInd w:w="2420" w:type="dxa"/>
        <w:tblCellMar>
          <w:top w:w="0" w:type="dxa"/>
          <w:left w:w="0" w:type="dxa"/>
          <w:bottom w:w="0" w:type="dxa"/>
          <w:right w:w="0" w:type="dxa"/>
        </w:tblCellMar>
      </w:tblPr>
      <w:tr>
        <w:trPr>
          <w:trHeight w:val="153"/>
        </w:trPr>
        <w:tc>
          <w:tcPr>
            <w:tcW w:w="1200" w:type="dxa"/>
            <w:vAlign w:val="bottom"/>
          </w:tcPr>
          <w:p>
            <w:pPr>
              <w:jc w:val="right"/>
              <w:ind w:right="60"/>
              <w:spacing w:after="0"/>
              <w:rPr>
                <w:sz w:val="20"/>
                <w:szCs w:val="20"/>
                <w:color w:val="auto"/>
              </w:rPr>
            </w:pPr>
            <w:r>
              <w:rPr>
                <w:rFonts w:ascii="Arial" w:cs="Arial" w:eastAsia="Arial" w:hAnsi="Arial"/>
                <w:sz w:val="12"/>
                <w:szCs w:val="12"/>
                <w:color w:val="auto"/>
                <w:w w:val="89"/>
              </w:rPr>
              <w:t>Large accelerated filer</w:t>
            </w:r>
          </w:p>
        </w:tc>
        <w:tc>
          <w:tcPr>
            <w:tcW w:w="2440" w:type="dxa"/>
            <w:vAlign w:val="bottom"/>
          </w:tcPr>
          <w:p>
            <w:pPr>
              <w:ind w:left="120"/>
              <w:spacing w:after="0" w:line="121" w:lineRule="exact"/>
              <w:rPr>
                <w:sz w:val="20"/>
                <w:szCs w:val="20"/>
                <w:color w:val="auto"/>
              </w:rPr>
            </w:pPr>
            <w:r>
              <w:rPr>
                <w:rFonts w:ascii="MS PGothic" w:cs="MS PGothic" w:eastAsia="MS PGothic" w:hAnsi="MS PGothic"/>
                <w:sz w:val="12"/>
                <w:szCs w:val="12"/>
                <w:color w:val="auto"/>
              </w:rPr>
              <w:t>☒</w:t>
            </w:r>
          </w:p>
        </w:tc>
        <w:tc>
          <w:tcPr>
            <w:tcW w:w="3660" w:type="dxa"/>
            <w:vAlign w:val="bottom"/>
          </w:tcPr>
          <w:p>
            <w:pPr>
              <w:jc w:val="right"/>
              <w:ind w:right="60"/>
              <w:spacing w:after="0"/>
              <w:rPr>
                <w:sz w:val="20"/>
                <w:szCs w:val="20"/>
                <w:color w:val="auto"/>
              </w:rPr>
            </w:pPr>
            <w:r>
              <w:rPr>
                <w:rFonts w:ascii="Arial" w:cs="Arial" w:eastAsia="Arial" w:hAnsi="Arial"/>
                <w:sz w:val="12"/>
                <w:szCs w:val="12"/>
                <w:color w:val="auto"/>
              </w:rPr>
              <w:t>Accelerated filer</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53"/>
        </w:trPr>
        <w:tc>
          <w:tcPr>
            <w:tcW w:w="1200" w:type="dxa"/>
            <w:vAlign w:val="bottom"/>
          </w:tcPr>
          <w:p>
            <w:pPr>
              <w:jc w:val="right"/>
              <w:ind w:right="60"/>
              <w:spacing w:after="0"/>
              <w:rPr>
                <w:sz w:val="20"/>
                <w:szCs w:val="20"/>
                <w:color w:val="auto"/>
              </w:rPr>
            </w:pPr>
            <w:r>
              <w:rPr>
                <w:rFonts w:ascii="Arial" w:cs="Arial" w:eastAsia="Arial" w:hAnsi="Arial"/>
                <w:sz w:val="12"/>
                <w:szCs w:val="12"/>
                <w:color w:val="auto"/>
                <w:w w:val="95"/>
              </w:rPr>
              <w:t>Non-accelerated filer</w:t>
            </w:r>
          </w:p>
        </w:tc>
        <w:tc>
          <w:tcPr>
            <w:tcW w:w="2440" w:type="dxa"/>
            <w:vAlign w:val="bottom"/>
          </w:tcPr>
          <w:p>
            <w:pPr>
              <w:ind w:left="120"/>
              <w:spacing w:after="0" w:line="121" w:lineRule="exact"/>
              <w:rPr>
                <w:sz w:val="20"/>
                <w:szCs w:val="20"/>
                <w:color w:val="auto"/>
              </w:rPr>
            </w:pPr>
            <w:r>
              <w:rPr>
                <w:rFonts w:ascii="MS PGothic" w:cs="MS PGothic" w:eastAsia="MS PGothic" w:hAnsi="MS PGothic"/>
                <w:sz w:val="12"/>
                <w:szCs w:val="12"/>
                <w:color w:val="auto"/>
              </w:rPr>
              <w:t>☐</w:t>
            </w:r>
          </w:p>
        </w:tc>
        <w:tc>
          <w:tcPr>
            <w:tcW w:w="3660" w:type="dxa"/>
            <w:vAlign w:val="bottom"/>
          </w:tcPr>
          <w:p>
            <w:pPr>
              <w:jc w:val="right"/>
              <w:ind w:right="60"/>
              <w:spacing w:after="0"/>
              <w:rPr>
                <w:sz w:val="20"/>
                <w:szCs w:val="20"/>
                <w:color w:val="auto"/>
              </w:rPr>
            </w:pPr>
            <w:r>
              <w:rPr>
                <w:rFonts w:ascii="Arial" w:cs="Arial" w:eastAsia="Arial" w:hAnsi="Arial"/>
                <w:sz w:val="12"/>
                <w:szCs w:val="12"/>
                <w:color w:val="auto"/>
              </w:rPr>
              <w:t>Smaller reporting company</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7"/>
        </w:trPr>
        <w:tc>
          <w:tcPr>
            <w:tcW w:w="12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660" w:type="dxa"/>
            <w:vAlign w:val="bottom"/>
          </w:tcPr>
          <w:p>
            <w:pPr>
              <w:jc w:val="right"/>
              <w:ind w:right="60"/>
              <w:spacing w:after="0"/>
              <w:rPr>
                <w:sz w:val="20"/>
                <w:szCs w:val="20"/>
                <w:color w:val="auto"/>
              </w:rPr>
            </w:pPr>
            <w:r>
              <w:rPr>
                <w:rFonts w:ascii="Arial" w:cs="Arial" w:eastAsia="Arial" w:hAnsi="Arial"/>
                <w:sz w:val="12"/>
                <w:szCs w:val="12"/>
                <w:color w:val="auto"/>
              </w:rPr>
              <w:t>Emerging growth company</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14" w:lineRule="exact"/>
        <w:rPr>
          <w:sz w:val="24"/>
          <w:szCs w:val="24"/>
          <w:color w:val="auto"/>
        </w:rPr>
      </w:pPr>
    </w:p>
    <w:p>
      <w:pPr>
        <w:ind w:firstLine="216"/>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9" w:lineRule="exact"/>
        <w:rPr>
          <w:sz w:val="24"/>
          <w:szCs w:val="24"/>
          <w:color w:val="auto"/>
        </w:rPr>
      </w:pPr>
    </w:p>
    <w:p>
      <w:pPr>
        <w:ind w:left="200" w:right="4920"/>
        <w:spacing w:after="0" w:line="196" w:lineRule="exact"/>
        <w:rPr>
          <w:sz w:val="20"/>
          <w:szCs w:val="20"/>
          <w:color w:val="auto"/>
        </w:rPr>
      </w:pPr>
      <w:r>
        <w:rPr>
          <w:rFonts w:ascii="Arial" w:cs="Arial" w:eastAsia="Arial" w:hAnsi="Arial"/>
          <w:sz w:val="11"/>
          <w:szCs w:val="11"/>
          <w:color w:val="auto"/>
        </w:rPr>
        <w:t xml:space="preserve">Indicate by check mark whether the registrant is a shell company (as defined by Rule 12b-2 of the Exchange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r>
        <w:rPr>
          <w:rFonts w:ascii="Arial" w:cs="Arial" w:eastAsia="Arial" w:hAnsi="Arial"/>
          <w:sz w:val="11"/>
          <w:szCs w:val="11"/>
          <w:color w:val="auto"/>
        </w:rPr>
        <w:t xml:space="preserve"> The number of shares of Common Stock, $0.01 par value, of the registrant outstanding at July 30, 2021 was 54,402,611.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490220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203"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140" w:type="dxa"/>
            <w:vAlign w:val="bottom"/>
            <w:gridSpan w:val="4"/>
          </w:tcPr>
          <w:p>
            <w:pPr>
              <w:jc w:val="center"/>
              <w:ind w:right="3460"/>
              <w:spacing w:after="0"/>
              <w:rPr>
                <w:sz w:val="20"/>
                <w:szCs w:val="20"/>
                <w:color w:val="auto"/>
              </w:rPr>
            </w:pPr>
            <w:r>
              <w:rPr>
                <w:rFonts w:ascii="Arial" w:cs="Arial" w:eastAsia="Arial" w:hAnsi="Arial"/>
                <w:sz w:val="12"/>
                <w:szCs w:val="12"/>
                <w:b w:val="1"/>
                <w:bCs w:val="1"/>
                <w:color w:val="auto"/>
                <w:w w:val="99"/>
              </w:rPr>
              <w:t>CLEAN HARBORS, INC.</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40" w:type="dxa"/>
            <w:vAlign w:val="bottom"/>
            <w:gridSpan w:val="4"/>
          </w:tcPr>
          <w:p>
            <w:pPr>
              <w:jc w:val="center"/>
              <w:ind w:right="3460"/>
              <w:spacing w:after="0"/>
              <w:rPr>
                <w:sz w:val="20"/>
                <w:szCs w:val="20"/>
                <w:color w:val="auto"/>
              </w:rPr>
            </w:pPr>
            <w:r>
              <w:rPr>
                <w:rFonts w:ascii="Arial" w:cs="Arial" w:eastAsia="Arial" w:hAnsi="Arial"/>
                <w:sz w:val="12"/>
                <w:szCs w:val="12"/>
                <w:b w:val="1"/>
                <w:bCs w:val="1"/>
                <w:color w:val="auto"/>
                <w:w w:val="99"/>
              </w:rPr>
              <w:t>QUARTERLY REPORT ON FORM 10-Q</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40" w:type="dxa"/>
            <w:vAlign w:val="bottom"/>
            <w:gridSpan w:val="4"/>
          </w:tcPr>
          <w:p>
            <w:pPr>
              <w:jc w:val="center"/>
              <w:ind w:right="3460"/>
              <w:spacing w:after="0"/>
              <w:rPr>
                <w:sz w:val="20"/>
                <w:szCs w:val="20"/>
                <w:color w:val="auto"/>
              </w:rPr>
            </w:pPr>
            <w:r>
              <w:rPr>
                <w:rFonts w:ascii="Arial" w:cs="Arial" w:eastAsia="Arial" w:hAnsi="Arial"/>
                <w:sz w:val="12"/>
                <w:szCs w:val="12"/>
                <w:b w:val="1"/>
                <w:bCs w:val="1"/>
                <w:color w:val="auto"/>
                <w:w w:val="98"/>
              </w:rPr>
              <w:t>TABLE OF CONTENTS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860" w:type="dxa"/>
            <w:vAlign w:val="bottom"/>
            <w:gridSpan w:val="3"/>
          </w:tcPr>
          <w:p>
            <w:pPr>
              <w:ind w:left="240"/>
              <w:spacing w:after="0"/>
              <w:rPr>
                <w:sz w:val="20"/>
                <w:szCs w:val="20"/>
                <w:color w:val="auto"/>
              </w:rPr>
            </w:pPr>
            <w:r>
              <w:rPr>
                <w:rFonts w:ascii="Arial" w:cs="Arial" w:eastAsia="Arial" w:hAnsi="Arial"/>
                <w:sz w:val="10"/>
                <w:szCs w:val="10"/>
                <w:b w:val="1"/>
                <w:bCs w:val="1"/>
                <w:color w:val="auto"/>
              </w:rPr>
              <w:t>Page No.</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40" w:type="dxa"/>
            <w:vAlign w:val="bottom"/>
            <w:gridSpan w:val="6"/>
          </w:tcPr>
          <w:p>
            <w:pPr>
              <w:jc w:val="center"/>
              <w:ind w:right="3580"/>
              <w:spacing w:after="0"/>
              <w:rPr>
                <w:rFonts w:ascii="Arial" w:cs="Arial" w:eastAsia="Arial" w:hAnsi="Arial"/>
                <w:sz w:val="12"/>
                <w:szCs w:val="12"/>
                <w:b w:val="1"/>
                <w:bCs w:val="1"/>
                <w:color w:val="0000FF"/>
              </w:rPr>
            </w:pPr>
            <w:hyperlink w:anchor="page2">
              <w:r>
                <w:rPr>
                  <w:rFonts w:ascii="Arial" w:cs="Arial" w:eastAsia="Arial" w:hAnsi="Arial"/>
                  <w:sz w:val="12"/>
                  <w:szCs w:val="12"/>
                  <w:b w:val="1"/>
                  <w:bCs w:val="1"/>
                  <w:color w:val="0000FF"/>
                </w:rPr>
                <w:t>PART I: FINANCIAL INFORMATION</w:t>
              </w:r>
            </w:hyperlink>
          </w:p>
        </w:tc>
        <w:tc>
          <w:tcPr>
            <w:tcW w:w="7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180" w:type="dxa"/>
            <w:vAlign w:val="bottom"/>
            <w:gridSpan w:val="18"/>
          </w:tcPr>
          <w:p>
            <w:pPr>
              <w:spacing w:after="0"/>
              <w:rPr>
                <w:rFonts w:ascii="Arial" w:cs="Arial" w:eastAsia="Arial" w:hAnsi="Arial"/>
                <w:sz w:val="14"/>
                <w:szCs w:val="14"/>
                <w:b w:val="1"/>
                <w:bCs w:val="1"/>
                <w:color w:val="0000FF"/>
              </w:rPr>
            </w:pPr>
            <w:hyperlink w:anchor="page2">
              <w:r>
                <w:rPr>
                  <w:rFonts w:ascii="Arial" w:cs="Arial" w:eastAsia="Arial" w:hAnsi="Arial"/>
                  <w:sz w:val="14"/>
                  <w:szCs w:val="14"/>
                  <w:b w:val="1"/>
                  <w:bCs w:val="1"/>
                  <w:color w:val="0000FF"/>
                </w:rPr>
                <w:t>ITEM 1: Unaudited Financial Statements</w:t>
              </w:r>
            </w:hyperlink>
          </w:p>
        </w:tc>
        <w:tc>
          <w:tcPr>
            <w:tcW w:w="2060" w:type="dxa"/>
            <w:vAlign w:val="bottom"/>
            <w:tcBorders>
              <w:top w:val="single" w:sz="8" w:color="0000FF"/>
            </w:tcBorders>
            <w:gridSpan w:val="4"/>
          </w:tcPr>
          <w:p>
            <w:pPr>
              <w:spacing w:after="0"/>
              <w:rPr>
                <w:sz w:val="16"/>
                <w:szCs w:val="16"/>
                <w:color w:val="auto"/>
              </w:rPr>
            </w:pPr>
          </w:p>
        </w:tc>
        <w:tc>
          <w:tcPr>
            <w:tcW w:w="4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Borders>
              <w:top w:val="single" w:sz="8" w:color="0000FF"/>
            </w:tcBorders>
            <w:gridSpan w:val="12"/>
          </w:tcPr>
          <w:p>
            <w:pPr>
              <w:spacing w:after="0"/>
              <w:rPr>
                <w:rFonts w:ascii="Arial" w:cs="Arial" w:eastAsia="Arial" w:hAnsi="Arial"/>
                <w:sz w:val="12"/>
                <w:szCs w:val="12"/>
                <w:color w:val="0000FF"/>
              </w:rPr>
            </w:pPr>
            <w:hyperlink w:anchor="page2">
              <w:r>
                <w:rPr>
                  <w:rFonts w:ascii="Arial" w:cs="Arial" w:eastAsia="Arial" w:hAnsi="Arial"/>
                  <w:sz w:val="12"/>
                  <w:szCs w:val="12"/>
                  <w:color w:val="0000FF"/>
                </w:rPr>
                <w:t>Consolidated Balance Sheets</w:t>
              </w:r>
            </w:hyperlink>
          </w:p>
        </w:tc>
        <w:tc>
          <w:tcPr>
            <w:tcW w:w="7880" w:type="dxa"/>
            <w:vAlign w:val="bottom"/>
            <w:gridSpan w:val="11"/>
          </w:tcPr>
          <w:p>
            <w:pPr>
              <w:spacing w:after="0"/>
              <w:rPr>
                <w:sz w:val="12"/>
                <w:szCs w:val="12"/>
                <w:color w:val="auto"/>
              </w:rPr>
            </w:pPr>
          </w:p>
        </w:tc>
        <w:tc>
          <w:tcPr>
            <w:tcW w:w="840" w:type="dxa"/>
            <w:vAlign w:val="bottom"/>
            <w:gridSpan w:val="2"/>
          </w:tcPr>
          <w:p>
            <w:pPr>
              <w:jc w:val="right"/>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1</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Borders>
              <w:bottom w:val="single" w:sz="8" w:color="0000FF"/>
            </w:tcBorders>
            <w:gridSpan w:val="10"/>
          </w:tcPr>
          <w:p>
            <w:pPr>
              <w:spacing w:after="0" w:line="133" w:lineRule="exact"/>
              <w:rPr>
                <w:rFonts w:ascii="Arial" w:cs="Arial" w:eastAsia="Arial" w:hAnsi="Arial"/>
                <w:sz w:val="12"/>
                <w:szCs w:val="12"/>
                <w:color w:val="0000FF"/>
                <w:w w:val="88"/>
              </w:rPr>
            </w:pPr>
            <w:hyperlink w:anchor="page3">
              <w:r>
                <w:rPr>
                  <w:rFonts w:ascii="Arial" w:cs="Arial" w:eastAsia="Arial" w:hAnsi="Arial"/>
                  <w:sz w:val="12"/>
                  <w:szCs w:val="12"/>
                  <w:color w:val="0000FF"/>
                  <w:w w:val="88"/>
                </w:rPr>
                <w:t>Unaudited Consolidated Statements of Operations</w:t>
              </w:r>
            </w:hyperlink>
          </w:p>
        </w:tc>
        <w:tc>
          <w:tcPr>
            <w:tcW w:w="8020" w:type="dxa"/>
            <w:vAlign w:val="bottom"/>
            <w:gridSpan w:val="13"/>
          </w:tcPr>
          <w:p>
            <w:pPr>
              <w:spacing w:after="0"/>
              <w:rPr>
                <w:sz w:val="11"/>
                <w:szCs w:val="11"/>
                <w:color w:val="auto"/>
              </w:rPr>
            </w:pPr>
          </w:p>
        </w:tc>
        <w:tc>
          <w:tcPr>
            <w:tcW w:w="840" w:type="dxa"/>
            <w:vAlign w:val="bottom"/>
            <w:gridSpan w:val="2"/>
          </w:tcPr>
          <w:p>
            <w:pPr>
              <w:jc w:val="right"/>
              <w:spacing w:after="0" w:line="133" w:lineRule="exact"/>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2</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60" w:type="dxa"/>
            <w:vAlign w:val="bottom"/>
            <w:tcBorders>
              <w:bottom w:val="single" w:sz="8" w:color="0000FF"/>
            </w:tcBorders>
            <w:gridSpan w:val="15"/>
          </w:tcPr>
          <w:p>
            <w:pPr>
              <w:spacing w:after="0" w:line="133" w:lineRule="exact"/>
              <w:rPr>
                <w:rFonts w:ascii="Arial" w:cs="Arial" w:eastAsia="Arial" w:hAnsi="Arial"/>
                <w:sz w:val="12"/>
                <w:szCs w:val="12"/>
                <w:color w:val="0000FF"/>
                <w:w w:val="89"/>
              </w:rPr>
            </w:pPr>
            <w:hyperlink w:anchor="page4">
              <w:r>
                <w:rPr>
                  <w:rFonts w:ascii="Arial" w:cs="Arial" w:eastAsia="Arial" w:hAnsi="Arial"/>
                  <w:sz w:val="12"/>
                  <w:szCs w:val="12"/>
                  <w:color w:val="0000FF"/>
                  <w:w w:val="89"/>
                </w:rPr>
                <w:t>Unaudited Consolidated Statements of Comprehensive Income (Loss)</w:t>
              </w:r>
            </w:hyperlink>
          </w:p>
        </w:tc>
        <w:tc>
          <w:tcPr>
            <w:tcW w:w="7060" w:type="dxa"/>
            <w:vAlign w:val="bottom"/>
            <w:gridSpan w:val="8"/>
          </w:tcPr>
          <w:p>
            <w:pPr>
              <w:spacing w:after="0"/>
              <w:rPr>
                <w:sz w:val="11"/>
                <w:szCs w:val="11"/>
                <w:color w:val="auto"/>
              </w:rPr>
            </w:pPr>
          </w:p>
        </w:tc>
        <w:tc>
          <w:tcPr>
            <w:tcW w:w="840" w:type="dxa"/>
            <w:vAlign w:val="bottom"/>
            <w:gridSpan w:val="2"/>
          </w:tcPr>
          <w:p>
            <w:pPr>
              <w:jc w:val="right"/>
              <w:spacing w:after="0" w:line="133" w:lineRule="exact"/>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3</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Borders>
              <w:bottom w:val="single" w:sz="8" w:color="0000FF"/>
            </w:tcBorders>
            <w:gridSpan w:val="11"/>
          </w:tcPr>
          <w:p>
            <w:pPr>
              <w:spacing w:after="0" w:line="133" w:lineRule="exact"/>
              <w:rPr>
                <w:rFonts w:ascii="Arial" w:cs="Arial" w:eastAsia="Arial" w:hAnsi="Arial"/>
                <w:sz w:val="12"/>
                <w:szCs w:val="12"/>
                <w:color w:val="0000FF"/>
                <w:w w:val="89"/>
              </w:rPr>
            </w:pPr>
            <w:hyperlink w:anchor="page5">
              <w:r>
                <w:rPr>
                  <w:rFonts w:ascii="Arial" w:cs="Arial" w:eastAsia="Arial" w:hAnsi="Arial"/>
                  <w:sz w:val="12"/>
                  <w:szCs w:val="12"/>
                  <w:color w:val="0000FF"/>
                  <w:w w:val="89"/>
                </w:rPr>
                <w:t>Unaudited Consolidated Statements of Cash Flows</w:t>
              </w:r>
            </w:hyperlink>
          </w:p>
        </w:tc>
        <w:tc>
          <w:tcPr>
            <w:tcW w:w="7980" w:type="dxa"/>
            <w:vAlign w:val="bottom"/>
            <w:gridSpan w:val="12"/>
          </w:tcPr>
          <w:p>
            <w:pPr>
              <w:spacing w:after="0"/>
              <w:rPr>
                <w:sz w:val="11"/>
                <w:szCs w:val="11"/>
                <w:color w:val="auto"/>
              </w:rPr>
            </w:pPr>
          </w:p>
        </w:tc>
        <w:tc>
          <w:tcPr>
            <w:tcW w:w="840" w:type="dxa"/>
            <w:vAlign w:val="bottom"/>
            <w:gridSpan w:val="2"/>
          </w:tcPr>
          <w:p>
            <w:pPr>
              <w:jc w:val="right"/>
              <w:spacing w:after="0" w:line="133" w:lineRule="exact"/>
              <w:rPr>
                <w:rFonts w:ascii="Arial" w:cs="Arial" w:eastAsia="Arial" w:hAnsi="Arial"/>
                <w:sz w:val="12"/>
                <w:szCs w:val="12"/>
                <w:u w:val="single" w:color="auto"/>
                <w:color w:val="0000FF"/>
              </w:rPr>
            </w:pPr>
            <w:hyperlink w:anchor="page5">
              <w:r>
                <w:rPr>
                  <w:rFonts w:ascii="Arial" w:cs="Arial" w:eastAsia="Arial" w:hAnsi="Arial"/>
                  <w:sz w:val="12"/>
                  <w:szCs w:val="12"/>
                  <w:u w:val="single" w:color="auto"/>
                  <w:color w:val="0000FF"/>
                </w:rPr>
                <w:t>4</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420" w:type="dxa"/>
            <w:vAlign w:val="bottom"/>
            <w:gridSpan w:val="23"/>
          </w:tcPr>
          <w:p>
            <w:pPr>
              <w:spacing w:after="0" w:line="133" w:lineRule="exact"/>
              <w:rPr>
                <w:rFonts w:ascii="Arial" w:cs="Arial" w:eastAsia="Arial" w:hAnsi="Arial"/>
                <w:sz w:val="12"/>
                <w:szCs w:val="12"/>
                <w:color w:val="0000FF"/>
              </w:rPr>
            </w:pPr>
            <w:hyperlink w:anchor="page6">
              <w:r>
                <w:rPr>
                  <w:rFonts w:ascii="Arial" w:cs="Arial" w:eastAsia="Arial" w:hAnsi="Arial"/>
                  <w:sz w:val="12"/>
                  <w:szCs w:val="12"/>
                  <w:color w:val="0000FF"/>
                </w:rPr>
                <w:t>Unaudited Consolidated Statements of Stockholders’ Equity</w:t>
              </w:r>
            </w:hyperlink>
          </w:p>
        </w:tc>
        <w:tc>
          <w:tcPr>
            <w:tcW w:w="840" w:type="dxa"/>
            <w:vAlign w:val="bottom"/>
            <w:gridSpan w:val="2"/>
          </w:tcPr>
          <w:p>
            <w:pPr>
              <w:jc w:val="right"/>
              <w:spacing w:after="0" w:line="133" w:lineRule="exact"/>
              <w:rPr>
                <w:rFonts w:ascii="Arial" w:cs="Arial" w:eastAsia="Arial" w:hAnsi="Arial"/>
                <w:sz w:val="12"/>
                <w:szCs w:val="12"/>
                <w:u w:val="single" w:color="auto"/>
                <w:color w:val="0000FF"/>
              </w:rPr>
            </w:pPr>
            <w:hyperlink w:anchor="page6">
              <w:r>
                <w:rPr>
                  <w:rFonts w:ascii="Arial" w:cs="Arial" w:eastAsia="Arial" w:hAnsi="Arial"/>
                  <w:sz w:val="12"/>
                  <w:szCs w:val="12"/>
                  <w:u w:val="single" w:color="auto"/>
                  <w:color w:val="0000FF"/>
                </w:rPr>
                <w:t>5</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80" w:type="dxa"/>
            <w:vAlign w:val="bottom"/>
            <w:tcBorders>
              <w:top w:val="single" w:sz="8" w:color="0000FF"/>
            </w:tcBorders>
            <w:gridSpan w:val="14"/>
          </w:tcPr>
          <w:p>
            <w:pPr>
              <w:spacing w:after="0" w:line="133" w:lineRule="exact"/>
              <w:rPr>
                <w:rFonts w:ascii="Arial" w:cs="Arial" w:eastAsia="Arial" w:hAnsi="Arial"/>
                <w:sz w:val="12"/>
                <w:szCs w:val="12"/>
                <w:color w:val="0000FF"/>
                <w:w w:val="98"/>
              </w:rPr>
            </w:pPr>
            <w:hyperlink w:anchor="page7">
              <w:r>
                <w:rPr>
                  <w:rFonts w:ascii="Arial" w:cs="Arial" w:eastAsia="Arial" w:hAnsi="Arial"/>
                  <w:sz w:val="12"/>
                  <w:szCs w:val="12"/>
                  <w:color w:val="0000FF"/>
                  <w:w w:val="98"/>
                </w:rPr>
                <w:t>Notes to Unaudited Consolidated Financial Statements</w:t>
              </w:r>
            </w:hyperlink>
          </w:p>
        </w:tc>
        <w:tc>
          <w:tcPr>
            <w:tcW w:w="7540" w:type="dxa"/>
            <w:vAlign w:val="bottom"/>
            <w:gridSpan w:val="9"/>
          </w:tcPr>
          <w:p>
            <w:pPr>
              <w:spacing w:after="0"/>
              <w:rPr>
                <w:sz w:val="11"/>
                <w:szCs w:val="11"/>
                <w:color w:val="auto"/>
              </w:rPr>
            </w:pPr>
          </w:p>
        </w:tc>
        <w:tc>
          <w:tcPr>
            <w:tcW w:w="840" w:type="dxa"/>
            <w:vAlign w:val="bottom"/>
            <w:gridSpan w:val="2"/>
          </w:tcPr>
          <w:p>
            <w:pPr>
              <w:jc w:val="right"/>
              <w:spacing w:after="0" w:line="133" w:lineRule="exact"/>
              <w:rPr>
                <w:rFonts w:ascii="Arial" w:cs="Arial" w:eastAsia="Arial" w:hAnsi="Arial"/>
                <w:sz w:val="12"/>
                <w:szCs w:val="12"/>
                <w:u w:val="single" w:color="auto"/>
                <w:color w:val="0000FF"/>
              </w:rPr>
            </w:pPr>
            <w:hyperlink w:anchor="page7">
              <w:r>
                <w:rPr>
                  <w:rFonts w:ascii="Arial" w:cs="Arial" w:eastAsia="Arial" w:hAnsi="Arial"/>
                  <w:sz w:val="12"/>
                  <w:szCs w:val="12"/>
                  <w:u w:val="single" w:color="auto"/>
                  <w:color w:val="0000FF"/>
                </w:rPr>
                <w:t>6</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0420" w:type="dxa"/>
            <w:vAlign w:val="bottom"/>
            <w:gridSpan w:val="23"/>
          </w:tcPr>
          <w:p>
            <w:pPr>
              <w:spacing w:after="0"/>
              <w:rPr>
                <w:rFonts w:ascii="Arial" w:cs="Arial" w:eastAsia="Arial" w:hAnsi="Arial"/>
                <w:sz w:val="12"/>
                <w:szCs w:val="12"/>
                <w:b w:val="1"/>
                <w:bCs w:val="1"/>
                <w:color w:val="0000FF"/>
              </w:rPr>
            </w:pPr>
            <w:hyperlink w:anchor="page23">
              <w:r>
                <w:rPr>
                  <w:rFonts w:ascii="Arial" w:cs="Arial" w:eastAsia="Arial" w:hAnsi="Arial"/>
                  <w:sz w:val="12"/>
                  <w:szCs w:val="12"/>
                  <w:b w:val="1"/>
                  <w:bCs w:val="1"/>
                  <w:color w:val="0000FF"/>
                </w:rPr>
                <w:t>ITEM 2: Management’s Discussion and Analysis of Financial Condition and Results of Operations</w:t>
              </w:r>
            </w:hyperlink>
          </w:p>
        </w:tc>
        <w:tc>
          <w:tcPr>
            <w:tcW w:w="840" w:type="dxa"/>
            <w:vAlign w:val="bottom"/>
            <w:gridSpan w:val="2"/>
          </w:tcPr>
          <w:p>
            <w:pPr>
              <w:jc w:val="right"/>
              <w:spacing w:after="0"/>
              <w:rPr>
                <w:rFonts w:ascii="Arial" w:cs="Arial" w:eastAsia="Arial" w:hAnsi="Arial"/>
                <w:sz w:val="12"/>
                <w:szCs w:val="12"/>
                <w:color w:val="0000FF"/>
              </w:rPr>
            </w:pPr>
            <w:hyperlink w:anchor="page23">
              <w:r>
                <w:rPr>
                  <w:rFonts w:ascii="Arial" w:cs="Arial" w:eastAsia="Arial" w:hAnsi="Arial"/>
                  <w:sz w:val="12"/>
                  <w:szCs w:val="12"/>
                  <w:color w:val="0000FF"/>
                </w:rPr>
                <w:t>21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20" w:type="dxa"/>
            <w:vAlign w:val="bottom"/>
            <w:gridSpan w:val="7"/>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020" w:type="dxa"/>
            <w:vAlign w:val="bottom"/>
            <w:gridSpan w:val="20"/>
          </w:tcPr>
          <w:p>
            <w:pPr>
              <w:spacing w:after="0"/>
              <w:rPr>
                <w:rFonts w:ascii="Arial" w:cs="Arial" w:eastAsia="Arial" w:hAnsi="Arial"/>
                <w:sz w:val="12"/>
                <w:szCs w:val="12"/>
                <w:b w:val="1"/>
                <w:bCs w:val="1"/>
                <w:color w:val="0000FF"/>
              </w:rPr>
            </w:pPr>
            <w:hyperlink w:anchor="page36">
              <w:r>
                <w:rPr>
                  <w:rFonts w:ascii="Arial" w:cs="Arial" w:eastAsia="Arial" w:hAnsi="Arial"/>
                  <w:sz w:val="12"/>
                  <w:szCs w:val="12"/>
                  <w:b w:val="1"/>
                  <w:bCs w:val="1"/>
                  <w:color w:val="0000FF"/>
                </w:rPr>
                <w:t>ITEM 3: Quantitative and Qualitative Disclosures About Market Risk</w:t>
              </w:r>
            </w:hyperlink>
          </w:p>
        </w:tc>
        <w:tc>
          <w:tcPr>
            <w:tcW w:w="5400" w:type="dxa"/>
            <w:vAlign w:val="bottom"/>
            <w:gridSpan w:val="3"/>
          </w:tcPr>
          <w:p>
            <w:pPr>
              <w:spacing w:after="0"/>
              <w:rPr>
                <w:sz w:val="14"/>
                <w:szCs w:val="14"/>
                <w:color w:val="auto"/>
              </w:rPr>
            </w:pPr>
          </w:p>
        </w:tc>
        <w:tc>
          <w:tcPr>
            <w:tcW w:w="840" w:type="dxa"/>
            <w:vAlign w:val="bottom"/>
            <w:gridSpan w:val="2"/>
          </w:tcPr>
          <w:p>
            <w:pPr>
              <w:jc w:val="right"/>
              <w:spacing w:after="0"/>
              <w:rPr>
                <w:rFonts w:ascii="Arial" w:cs="Arial" w:eastAsia="Arial" w:hAnsi="Arial"/>
                <w:sz w:val="12"/>
                <w:szCs w:val="12"/>
                <w:color w:val="0000FF"/>
              </w:rPr>
            </w:pPr>
            <w:hyperlink w:anchor="page36">
              <w:r>
                <w:rPr>
                  <w:rFonts w:ascii="Arial" w:cs="Arial" w:eastAsia="Arial" w:hAnsi="Arial"/>
                  <w:sz w:val="12"/>
                  <w:szCs w:val="12"/>
                  <w:color w:val="0000FF"/>
                </w:rPr>
                <w:t>34</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Borders>
              <w:top w:val="single" w:sz="8" w:color="0000FF"/>
            </w:tcBorders>
            <w:gridSpan w:val="17"/>
            <w:vMerge w:val="restart"/>
          </w:tcPr>
          <w:p>
            <w:pPr>
              <w:spacing w:after="0"/>
              <w:rPr>
                <w:rFonts w:ascii="Arial" w:cs="Arial" w:eastAsia="Arial" w:hAnsi="Arial"/>
                <w:sz w:val="12"/>
                <w:szCs w:val="12"/>
                <w:b w:val="1"/>
                <w:bCs w:val="1"/>
                <w:color w:val="0000FF"/>
              </w:rPr>
            </w:pPr>
            <w:hyperlink w:anchor="page36">
              <w:r>
                <w:rPr>
                  <w:rFonts w:ascii="Arial" w:cs="Arial" w:eastAsia="Arial" w:hAnsi="Arial"/>
                  <w:sz w:val="12"/>
                  <w:szCs w:val="12"/>
                  <w:b w:val="1"/>
                  <w:bCs w:val="1"/>
                  <w:color w:val="0000FF"/>
                </w:rPr>
                <w:t>ITEM 4: Controls and Procedures</w:t>
              </w:r>
            </w:hyperlink>
          </w:p>
        </w:tc>
        <w:tc>
          <w:tcPr>
            <w:tcW w:w="6840" w:type="dxa"/>
            <w:vAlign w:val="bottom"/>
            <w:gridSpan w:val="6"/>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gridSpan w:val="17"/>
            <w:vMerge w:val="continue"/>
          </w:tcPr>
          <w:p>
            <w:pPr>
              <w:spacing w:after="0"/>
              <w:rPr>
                <w:sz w:val="12"/>
                <w:szCs w:val="12"/>
                <w:color w:val="auto"/>
              </w:rPr>
            </w:pPr>
          </w:p>
        </w:tc>
        <w:tc>
          <w:tcPr>
            <w:tcW w:w="6840" w:type="dxa"/>
            <w:vAlign w:val="bottom"/>
            <w:gridSpan w:val="6"/>
            <w:vMerge w:val="continue"/>
          </w:tcPr>
          <w:p>
            <w:pPr>
              <w:spacing w:after="0"/>
              <w:rPr>
                <w:sz w:val="12"/>
                <w:szCs w:val="12"/>
                <w:color w:val="auto"/>
              </w:rPr>
            </w:pPr>
          </w:p>
        </w:tc>
        <w:tc>
          <w:tcPr>
            <w:tcW w:w="840" w:type="dxa"/>
            <w:vAlign w:val="bottom"/>
            <w:gridSpan w:val="2"/>
          </w:tcPr>
          <w:p>
            <w:pPr>
              <w:jc w:val="right"/>
              <w:spacing w:after="0"/>
              <w:rPr>
                <w:rFonts w:ascii="Arial" w:cs="Arial" w:eastAsia="Arial" w:hAnsi="Arial"/>
                <w:sz w:val="12"/>
                <w:szCs w:val="12"/>
                <w:color w:val="0000FF"/>
              </w:rPr>
            </w:pPr>
            <w:hyperlink w:anchor="page36">
              <w:r>
                <w:rPr>
                  <w:rFonts w:ascii="Arial" w:cs="Arial" w:eastAsia="Arial" w:hAnsi="Arial"/>
                  <w:sz w:val="12"/>
                  <w:szCs w:val="12"/>
                  <w:color w:val="0000FF"/>
                </w:rPr>
                <w:t>34</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40" w:type="dxa"/>
            <w:vAlign w:val="bottom"/>
            <w:gridSpan w:val="5"/>
          </w:tcPr>
          <w:p>
            <w:pPr>
              <w:jc w:val="center"/>
              <w:ind w:right="4180"/>
              <w:spacing w:after="0"/>
              <w:rPr>
                <w:rFonts w:ascii="Arial" w:cs="Arial" w:eastAsia="Arial" w:hAnsi="Arial"/>
                <w:sz w:val="12"/>
                <w:szCs w:val="12"/>
                <w:b w:val="1"/>
                <w:bCs w:val="1"/>
                <w:color w:val="0000FF"/>
              </w:rPr>
            </w:pPr>
            <w:hyperlink w:anchor="page36">
              <w:r>
                <w:rPr>
                  <w:rFonts w:ascii="Arial" w:cs="Arial" w:eastAsia="Arial" w:hAnsi="Arial"/>
                  <w:sz w:val="12"/>
                  <w:szCs w:val="12"/>
                  <w:b w:val="1"/>
                  <w:bCs w:val="1"/>
                  <w:color w:val="0000FF"/>
                </w:rPr>
                <w:t>PART II: OTHER INFORMATION</w:t>
              </w:r>
            </w:hyperlink>
          </w:p>
        </w:tc>
        <w:tc>
          <w:tcPr>
            <w:tcW w:w="720" w:type="dxa"/>
            <w:vAlign w:val="bottom"/>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80" w:type="dxa"/>
            <w:vAlign w:val="bottom"/>
            <w:gridSpan w:val="19"/>
          </w:tcPr>
          <w:p>
            <w:pPr>
              <w:spacing w:after="0"/>
              <w:rPr>
                <w:rFonts w:ascii="Arial" w:cs="Arial" w:eastAsia="Arial" w:hAnsi="Arial"/>
                <w:sz w:val="12"/>
                <w:szCs w:val="12"/>
                <w:b w:val="1"/>
                <w:bCs w:val="1"/>
                <w:color w:val="0000FF"/>
              </w:rPr>
            </w:pPr>
            <w:hyperlink w:anchor="page37">
              <w:r>
                <w:rPr>
                  <w:rFonts w:ascii="Arial" w:cs="Arial" w:eastAsia="Arial" w:hAnsi="Arial"/>
                  <w:sz w:val="12"/>
                  <w:szCs w:val="12"/>
                  <w:b w:val="1"/>
                  <w:bCs w:val="1"/>
                  <w:color w:val="0000FF"/>
                </w:rPr>
                <w:t>ITEM 1: Legal Proceedings</w:t>
              </w:r>
            </w:hyperlink>
          </w:p>
        </w:tc>
        <w:tc>
          <w:tcPr>
            <w:tcW w:w="1860" w:type="dxa"/>
            <w:vAlign w:val="bottom"/>
            <w:tcBorders>
              <w:top w:val="single" w:sz="8" w:color="0000FF"/>
            </w:tcBorders>
            <w:gridSpan w:val="2"/>
          </w:tcPr>
          <w:p>
            <w:pPr>
              <w:spacing w:after="0"/>
              <w:rPr>
                <w:sz w:val="14"/>
                <w:szCs w:val="14"/>
                <w:color w:val="auto"/>
              </w:rPr>
            </w:pPr>
          </w:p>
        </w:tc>
        <w:tc>
          <w:tcPr>
            <w:tcW w:w="4280" w:type="dxa"/>
            <w:vAlign w:val="bottom"/>
            <w:gridSpan w:val="2"/>
          </w:tcPr>
          <w:p>
            <w:pPr>
              <w:spacing w:after="0"/>
              <w:rPr>
                <w:sz w:val="14"/>
                <w:szCs w:val="14"/>
                <w:color w:val="auto"/>
              </w:rPr>
            </w:pPr>
          </w:p>
        </w:tc>
        <w:tc>
          <w:tcPr>
            <w:tcW w:w="840" w:type="dxa"/>
            <w:vAlign w:val="bottom"/>
            <w:gridSpan w:val="2"/>
          </w:tcPr>
          <w:p>
            <w:pPr>
              <w:jc w:val="right"/>
              <w:spacing w:after="0"/>
              <w:rPr>
                <w:rFonts w:ascii="Arial" w:cs="Arial" w:eastAsia="Arial" w:hAnsi="Arial"/>
                <w:sz w:val="12"/>
                <w:szCs w:val="12"/>
                <w:color w:val="0000FF"/>
              </w:rPr>
            </w:pPr>
            <w:hyperlink w:anchor="page37">
              <w:r>
                <w:rPr>
                  <w:rFonts w:ascii="Arial" w:cs="Arial" w:eastAsia="Arial" w:hAnsi="Arial"/>
                  <w:sz w:val="12"/>
                  <w:szCs w:val="12"/>
                  <w:color w:val="0000FF"/>
                </w:rPr>
                <w:t>35</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top w:val="single" w:sz="8" w:color="0000FF"/>
            </w:tcBorders>
            <w:gridSpan w:val="5"/>
            <w:vMerge w:val="restart"/>
          </w:tcPr>
          <w:p>
            <w:pPr>
              <w:spacing w:after="0" w:line="133" w:lineRule="exact"/>
              <w:rPr>
                <w:rFonts w:ascii="Arial" w:cs="Arial" w:eastAsia="Arial" w:hAnsi="Arial"/>
                <w:sz w:val="12"/>
                <w:szCs w:val="12"/>
                <w:b w:val="1"/>
                <w:bCs w:val="1"/>
                <w:color w:val="0000FF"/>
              </w:rPr>
            </w:pPr>
            <w:hyperlink w:anchor="page37">
              <w:r>
                <w:rPr>
                  <w:rFonts w:ascii="Arial" w:cs="Arial" w:eastAsia="Arial" w:hAnsi="Arial"/>
                  <w:sz w:val="12"/>
                  <w:szCs w:val="12"/>
                  <w:b w:val="1"/>
                  <w:bCs w:val="1"/>
                  <w:color w:val="0000FF"/>
                </w:rPr>
                <w:t>ITEM 1A: Risk Factors</w:t>
              </w:r>
            </w:hyperlink>
          </w:p>
        </w:tc>
        <w:tc>
          <w:tcPr>
            <w:tcW w:w="9020" w:type="dxa"/>
            <w:vAlign w:val="bottom"/>
            <w:gridSpan w:val="18"/>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0" w:type="dxa"/>
            <w:vAlign w:val="bottom"/>
          </w:tcPr>
          <w:p>
            <w:pPr>
              <w:spacing w:after="0"/>
              <w:rPr>
                <w:sz w:val="9"/>
                <w:szCs w:val="9"/>
                <w:color w:val="auto"/>
              </w:rPr>
            </w:pPr>
          </w:p>
        </w:tc>
        <w:tc>
          <w:tcPr>
            <w:tcW w:w="1400" w:type="dxa"/>
            <w:vAlign w:val="bottom"/>
            <w:gridSpan w:val="5"/>
            <w:vMerge w:val="continue"/>
          </w:tcPr>
          <w:p>
            <w:pPr>
              <w:spacing w:after="0"/>
              <w:rPr>
                <w:sz w:val="9"/>
                <w:szCs w:val="9"/>
                <w:color w:val="auto"/>
              </w:rPr>
            </w:pPr>
          </w:p>
        </w:tc>
        <w:tc>
          <w:tcPr>
            <w:tcW w:w="9020" w:type="dxa"/>
            <w:vAlign w:val="bottom"/>
            <w:gridSpan w:val="18"/>
            <w:vMerge w:val="continue"/>
          </w:tcPr>
          <w:p>
            <w:pPr>
              <w:spacing w:after="0"/>
              <w:rPr>
                <w:sz w:val="9"/>
                <w:szCs w:val="9"/>
                <w:color w:val="auto"/>
              </w:rPr>
            </w:pPr>
          </w:p>
        </w:tc>
        <w:tc>
          <w:tcPr>
            <w:tcW w:w="840" w:type="dxa"/>
            <w:vAlign w:val="bottom"/>
            <w:gridSpan w:val="2"/>
          </w:tcPr>
          <w:p>
            <w:pPr>
              <w:jc w:val="right"/>
              <w:spacing w:after="0" w:line="113" w:lineRule="exact"/>
              <w:rPr>
                <w:rFonts w:ascii="Arial" w:cs="Arial" w:eastAsia="Arial" w:hAnsi="Arial"/>
                <w:sz w:val="12"/>
                <w:szCs w:val="12"/>
                <w:color w:val="0000FF"/>
              </w:rPr>
            </w:pPr>
            <w:hyperlink w:anchor="page37">
              <w:r>
                <w:rPr>
                  <w:rFonts w:ascii="Arial" w:cs="Arial" w:eastAsia="Arial" w:hAnsi="Arial"/>
                  <w:sz w:val="12"/>
                  <w:szCs w:val="12"/>
                  <w:color w:val="0000FF"/>
                </w:rPr>
                <w:t>35</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690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3520" w:type="dxa"/>
            <w:vAlign w:val="bottom"/>
            <w:gridSpan w:val="16"/>
          </w:tcPr>
          <w:p>
            <w:pPr>
              <w:spacing w:after="0" w:line="133" w:lineRule="exact"/>
              <w:rPr>
                <w:rFonts w:ascii="Arial" w:cs="Arial" w:eastAsia="Arial" w:hAnsi="Arial"/>
                <w:sz w:val="12"/>
                <w:szCs w:val="12"/>
                <w:b w:val="1"/>
                <w:bCs w:val="1"/>
                <w:color w:val="0000FF"/>
                <w:w w:val="89"/>
              </w:rPr>
            </w:pPr>
            <w:hyperlink w:anchor="page37">
              <w:r>
                <w:rPr>
                  <w:rFonts w:ascii="Arial" w:cs="Arial" w:eastAsia="Arial" w:hAnsi="Arial"/>
                  <w:sz w:val="12"/>
                  <w:szCs w:val="12"/>
                  <w:b w:val="1"/>
                  <w:bCs w:val="1"/>
                  <w:color w:val="0000FF"/>
                  <w:w w:val="89"/>
                </w:rPr>
                <w:t>ITEM 2: Unregistered Sales of Equity Securities and Use of Proceeds</w:t>
              </w:r>
            </w:hyperlink>
          </w:p>
        </w:tc>
        <w:tc>
          <w:tcPr>
            <w:tcW w:w="6900" w:type="dxa"/>
            <w:vAlign w:val="bottom"/>
            <w:gridSpan w:val="7"/>
          </w:tcPr>
          <w:p>
            <w:pPr>
              <w:spacing w:after="0"/>
              <w:rPr>
                <w:sz w:val="11"/>
                <w:szCs w:val="11"/>
                <w:color w:val="auto"/>
              </w:rPr>
            </w:pPr>
          </w:p>
        </w:tc>
        <w:tc>
          <w:tcPr>
            <w:tcW w:w="840" w:type="dxa"/>
            <w:vAlign w:val="bottom"/>
            <w:gridSpan w:val="2"/>
          </w:tcPr>
          <w:p>
            <w:pPr>
              <w:jc w:val="right"/>
              <w:spacing w:after="0" w:line="133" w:lineRule="exact"/>
              <w:rPr>
                <w:rFonts w:ascii="Arial" w:cs="Arial" w:eastAsia="Arial" w:hAnsi="Arial"/>
                <w:sz w:val="12"/>
                <w:szCs w:val="12"/>
                <w:color w:val="0000FF"/>
              </w:rPr>
            </w:pPr>
            <w:hyperlink w:anchor="page37">
              <w:r>
                <w:rPr>
                  <w:rFonts w:ascii="Arial" w:cs="Arial" w:eastAsia="Arial" w:hAnsi="Arial"/>
                  <w:sz w:val="12"/>
                  <w:szCs w:val="12"/>
                  <w:color w:val="0000FF"/>
                </w:rPr>
                <w:t>35</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20" w:type="dxa"/>
            <w:vAlign w:val="bottom"/>
            <w:gridSpan w:val="7"/>
            <w:shd w:val="clear" w:color="auto" w:fill="0000FF"/>
          </w:tcPr>
          <w:p>
            <w:pPr>
              <w:spacing w:after="0" w:line="20" w:lineRule="exact"/>
              <w:rPr>
                <w:sz w:val="1"/>
                <w:szCs w:val="1"/>
                <w:color w:val="auto"/>
              </w:rPr>
            </w:pPr>
          </w:p>
        </w:tc>
        <w:tc>
          <w:tcPr>
            <w:tcW w:w="690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3520" w:type="dxa"/>
            <w:vAlign w:val="bottom"/>
            <w:gridSpan w:val="16"/>
          </w:tcPr>
          <w:p>
            <w:pPr>
              <w:spacing w:after="0" w:line="133" w:lineRule="exact"/>
              <w:rPr>
                <w:rFonts w:ascii="Arial" w:cs="Arial" w:eastAsia="Arial" w:hAnsi="Arial"/>
                <w:sz w:val="12"/>
                <w:szCs w:val="12"/>
                <w:b w:val="1"/>
                <w:bCs w:val="1"/>
                <w:color w:val="0000FF"/>
              </w:rPr>
            </w:pPr>
            <w:hyperlink w:anchor="page38">
              <w:r>
                <w:rPr>
                  <w:rFonts w:ascii="Arial" w:cs="Arial" w:eastAsia="Arial" w:hAnsi="Arial"/>
                  <w:sz w:val="12"/>
                  <w:szCs w:val="12"/>
                  <w:b w:val="1"/>
                  <w:bCs w:val="1"/>
                  <w:color w:val="0000FF"/>
                </w:rPr>
                <w:t>ITEM 3: Defaults Upon Senior Securities</w:t>
              </w:r>
            </w:hyperlink>
          </w:p>
        </w:tc>
        <w:tc>
          <w:tcPr>
            <w:tcW w:w="6900" w:type="dxa"/>
            <w:vAlign w:val="bottom"/>
            <w:gridSpan w:val="7"/>
          </w:tcPr>
          <w:p>
            <w:pPr>
              <w:spacing w:after="0"/>
              <w:rPr>
                <w:sz w:val="11"/>
                <w:szCs w:val="11"/>
                <w:color w:val="auto"/>
              </w:rPr>
            </w:pPr>
          </w:p>
        </w:tc>
        <w:tc>
          <w:tcPr>
            <w:tcW w:w="840" w:type="dxa"/>
            <w:vAlign w:val="bottom"/>
            <w:gridSpan w:val="2"/>
          </w:tcPr>
          <w:p>
            <w:pPr>
              <w:jc w:val="right"/>
              <w:spacing w:after="0" w:line="133" w:lineRule="exact"/>
              <w:rPr>
                <w:rFonts w:ascii="Arial" w:cs="Arial" w:eastAsia="Arial" w:hAnsi="Arial"/>
                <w:sz w:val="12"/>
                <w:szCs w:val="12"/>
                <w:color w:val="0000FF"/>
              </w:rPr>
            </w:pPr>
            <w:hyperlink w:anchor="page38">
              <w:r>
                <w:rPr>
                  <w:rFonts w:ascii="Arial" w:cs="Arial" w:eastAsia="Arial" w:hAnsi="Arial"/>
                  <w:sz w:val="12"/>
                  <w:szCs w:val="12"/>
                  <w:color w:val="0000FF"/>
                </w:rPr>
                <w:t>36</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320" w:type="dxa"/>
            <w:vAlign w:val="bottom"/>
            <w:gridSpan w:val="1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700" w:type="dxa"/>
            <w:vAlign w:val="bottom"/>
            <w:gridSpan w:val="7"/>
          </w:tcPr>
          <w:p>
            <w:pPr>
              <w:spacing w:after="0" w:line="133" w:lineRule="exact"/>
              <w:rPr>
                <w:rFonts w:ascii="Arial" w:cs="Arial" w:eastAsia="Arial" w:hAnsi="Arial"/>
                <w:sz w:val="12"/>
                <w:szCs w:val="12"/>
                <w:b w:val="1"/>
                <w:bCs w:val="1"/>
                <w:color w:val="0000FF"/>
                <w:w w:val="91"/>
              </w:rPr>
            </w:pPr>
            <w:hyperlink w:anchor="page38">
              <w:r>
                <w:rPr>
                  <w:rFonts w:ascii="Arial" w:cs="Arial" w:eastAsia="Arial" w:hAnsi="Arial"/>
                  <w:sz w:val="12"/>
                  <w:szCs w:val="12"/>
                  <w:b w:val="1"/>
                  <w:bCs w:val="1"/>
                  <w:color w:val="0000FF"/>
                  <w:w w:val="91"/>
                </w:rPr>
                <w:t>ITEM 4: Mine Safety Disclosures</w:t>
              </w:r>
            </w:hyperlink>
          </w:p>
        </w:tc>
        <w:tc>
          <w:tcPr>
            <w:tcW w:w="400" w:type="dxa"/>
            <w:vAlign w:val="bottom"/>
            <w:gridSpan w:val="2"/>
          </w:tcPr>
          <w:p>
            <w:pPr>
              <w:spacing w:after="0"/>
              <w:rPr>
                <w:sz w:val="11"/>
                <w:szCs w:val="11"/>
                <w:color w:val="auto"/>
              </w:rPr>
            </w:pPr>
          </w:p>
        </w:tc>
        <w:tc>
          <w:tcPr>
            <w:tcW w:w="8320" w:type="dxa"/>
            <w:vAlign w:val="bottom"/>
            <w:gridSpan w:val="14"/>
          </w:tcPr>
          <w:p>
            <w:pPr>
              <w:spacing w:after="0"/>
              <w:rPr>
                <w:sz w:val="11"/>
                <w:szCs w:val="11"/>
                <w:color w:val="auto"/>
              </w:rPr>
            </w:pPr>
          </w:p>
        </w:tc>
        <w:tc>
          <w:tcPr>
            <w:tcW w:w="840" w:type="dxa"/>
            <w:vAlign w:val="bottom"/>
            <w:gridSpan w:val="2"/>
          </w:tcPr>
          <w:p>
            <w:pPr>
              <w:jc w:val="right"/>
              <w:spacing w:after="0" w:line="133" w:lineRule="exact"/>
              <w:rPr>
                <w:rFonts w:ascii="Arial" w:cs="Arial" w:eastAsia="Arial" w:hAnsi="Arial"/>
                <w:sz w:val="12"/>
                <w:szCs w:val="12"/>
                <w:color w:val="0000FF"/>
              </w:rPr>
            </w:pPr>
            <w:hyperlink w:anchor="page38">
              <w:r>
                <w:rPr>
                  <w:rFonts w:ascii="Arial" w:cs="Arial" w:eastAsia="Arial" w:hAnsi="Arial"/>
                  <w:sz w:val="12"/>
                  <w:szCs w:val="12"/>
                  <w:color w:val="0000FF"/>
                </w:rPr>
                <w:t>36</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720" w:type="dxa"/>
            <w:vAlign w:val="bottom"/>
            <w:gridSpan w:val="1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440" w:type="dxa"/>
            <w:vAlign w:val="bottom"/>
            <w:gridSpan w:val="6"/>
          </w:tcPr>
          <w:p>
            <w:pPr>
              <w:spacing w:after="0" w:line="133" w:lineRule="exact"/>
              <w:rPr>
                <w:rFonts w:ascii="Arial" w:cs="Arial" w:eastAsia="Arial" w:hAnsi="Arial"/>
                <w:sz w:val="12"/>
                <w:szCs w:val="12"/>
                <w:b w:val="1"/>
                <w:bCs w:val="1"/>
                <w:color w:val="0000FF"/>
                <w:w w:val="96"/>
              </w:rPr>
            </w:pPr>
            <w:hyperlink w:anchor="page38">
              <w:r>
                <w:rPr>
                  <w:rFonts w:ascii="Arial" w:cs="Arial" w:eastAsia="Arial" w:hAnsi="Arial"/>
                  <w:sz w:val="12"/>
                  <w:szCs w:val="12"/>
                  <w:b w:val="1"/>
                  <w:bCs w:val="1"/>
                  <w:color w:val="0000FF"/>
                  <w:w w:val="96"/>
                </w:rPr>
                <w:t>ITEM 5: Other Information</w:t>
              </w:r>
            </w:hyperlink>
          </w:p>
        </w:tc>
        <w:tc>
          <w:tcPr>
            <w:tcW w:w="260" w:type="dxa"/>
            <w:vAlign w:val="bottom"/>
          </w:tcPr>
          <w:p>
            <w:pPr>
              <w:spacing w:after="0"/>
              <w:rPr>
                <w:sz w:val="11"/>
                <w:szCs w:val="11"/>
                <w:color w:val="auto"/>
              </w:rPr>
            </w:pPr>
          </w:p>
        </w:tc>
        <w:tc>
          <w:tcPr>
            <w:tcW w:w="8720" w:type="dxa"/>
            <w:vAlign w:val="bottom"/>
            <w:gridSpan w:val="16"/>
          </w:tcPr>
          <w:p>
            <w:pPr>
              <w:spacing w:after="0"/>
              <w:rPr>
                <w:sz w:val="11"/>
                <w:szCs w:val="11"/>
                <w:color w:val="auto"/>
              </w:rPr>
            </w:pPr>
          </w:p>
        </w:tc>
        <w:tc>
          <w:tcPr>
            <w:tcW w:w="840" w:type="dxa"/>
            <w:vAlign w:val="bottom"/>
            <w:gridSpan w:val="2"/>
          </w:tcPr>
          <w:p>
            <w:pPr>
              <w:jc w:val="right"/>
              <w:spacing w:after="0" w:line="133" w:lineRule="exact"/>
              <w:rPr>
                <w:rFonts w:ascii="Arial" w:cs="Arial" w:eastAsia="Arial" w:hAnsi="Arial"/>
                <w:sz w:val="12"/>
                <w:szCs w:val="12"/>
                <w:color w:val="0000FF"/>
              </w:rPr>
            </w:pPr>
            <w:hyperlink w:anchor="page38">
              <w:r>
                <w:rPr>
                  <w:rFonts w:ascii="Arial" w:cs="Arial" w:eastAsia="Arial" w:hAnsi="Arial"/>
                  <w:sz w:val="12"/>
                  <w:szCs w:val="12"/>
                  <w:color w:val="0000FF"/>
                </w:rPr>
                <w:t>36</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8980" w:type="dxa"/>
            <w:vAlign w:val="bottom"/>
            <w:gridSpan w:val="1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gridSpan w:val="2"/>
          </w:tcPr>
          <w:p>
            <w:pPr>
              <w:spacing w:after="0" w:line="133" w:lineRule="exact"/>
              <w:rPr>
                <w:rFonts w:ascii="Arial" w:cs="Arial" w:eastAsia="Arial" w:hAnsi="Arial"/>
                <w:sz w:val="12"/>
                <w:szCs w:val="12"/>
                <w:b w:val="1"/>
                <w:bCs w:val="1"/>
                <w:color w:val="0000FF"/>
                <w:w w:val="94"/>
              </w:rPr>
            </w:pPr>
            <w:hyperlink w:anchor="page38">
              <w:r>
                <w:rPr>
                  <w:rFonts w:ascii="Arial" w:cs="Arial" w:eastAsia="Arial" w:hAnsi="Arial"/>
                  <w:sz w:val="12"/>
                  <w:szCs w:val="12"/>
                  <w:b w:val="1"/>
                  <w:bCs w:val="1"/>
                  <w:color w:val="0000FF"/>
                  <w:w w:val="94"/>
                </w:rPr>
                <w:t>ITEM 6: Exhibits</w:t>
              </w:r>
            </w:hyperlink>
          </w:p>
        </w:tc>
        <w:tc>
          <w:tcPr>
            <w:tcW w:w="540" w:type="dxa"/>
            <w:vAlign w:val="bottom"/>
            <w:gridSpan w:val="4"/>
          </w:tcPr>
          <w:p>
            <w:pPr>
              <w:spacing w:after="0"/>
              <w:rPr>
                <w:sz w:val="11"/>
                <w:szCs w:val="11"/>
                <w:color w:val="auto"/>
              </w:rPr>
            </w:pPr>
          </w:p>
        </w:tc>
        <w:tc>
          <w:tcPr>
            <w:tcW w:w="8980" w:type="dxa"/>
            <w:vAlign w:val="bottom"/>
            <w:gridSpan w:val="17"/>
          </w:tcPr>
          <w:p>
            <w:pPr>
              <w:spacing w:after="0"/>
              <w:rPr>
                <w:sz w:val="11"/>
                <w:szCs w:val="11"/>
                <w:color w:val="auto"/>
              </w:rPr>
            </w:pPr>
          </w:p>
        </w:tc>
        <w:tc>
          <w:tcPr>
            <w:tcW w:w="840" w:type="dxa"/>
            <w:vAlign w:val="bottom"/>
            <w:gridSpan w:val="2"/>
          </w:tcPr>
          <w:p>
            <w:pPr>
              <w:jc w:val="right"/>
              <w:spacing w:after="0" w:line="133" w:lineRule="exact"/>
              <w:rPr>
                <w:rFonts w:ascii="Arial" w:cs="Arial" w:eastAsia="Arial" w:hAnsi="Arial"/>
                <w:sz w:val="12"/>
                <w:szCs w:val="12"/>
                <w:color w:val="0000FF"/>
              </w:rPr>
            </w:pPr>
            <w:hyperlink w:anchor="page38">
              <w:r>
                <w:rPr>
                  <w:rFonts w:ascii="Arial" w:cs="Arial" w:eastAsia="Arial" w:hAnsi="Arial"/>
                  <w:sz w:val="12"/>
                  <w:szCs w:val="12"/>
                  <w:color w:val="0000FF"/>
                </w:rPr>
                <w:t>36</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520" w:type="dxa"/>
            <w:vAlign w:val="bottom"/>
            <w:gridSpan w:val="21"/>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900" w:type="dxa"/>
            <w:vAlign w:val="bottom"/>
            <w:gridSpan w:val="2"/>
          </w:tcPr>
          <w:p>
            <w:pPr>
              <w:spacing w:after="0" w:line="133" w:lineRule="exact"/>
              <w:rPr>
                <w:rFonts w:ascii="Arial" w:cs="Arial" w:eastAsia="Arial" w:hAnsi="Arial"/>
                <w:sz w:val="12"/>
                <w:szCs w:val="12"/>
                <w:b w:val="1"/>
                <w:bCs w:val="1"/>
                <w:color w:val="0000FF"/>
              </w:rPr>
            </w:pPr>
            <w:hyperlink w:anchor="page38">
              <w:r>
                <w:rPr>
                  <w:rFonts w:ascii="Arial" w:cs="Arial" w:eastAsia="Arial" w:hAnsi="Arial"/>
                  <w:sz w:val="12"/>
                  <w:szCs w:val="12"/>
                  <w:b w:val="1"/>
                  <w:bCs w:val="1"/>
                  <w:color w:val="0000FF"/>
                </w:rPr>
                <w:t>Signatures</w:t>
              </w:r>
            </w:hyperlink>
          </w:p>
        </w:tc>
        <w:tc>
          <w:tcPr>
            <w:tcW w:w="9520" w:type="dxa"/>
            <w:vAlign w:val="bottom"/>
            <w:gridSpan w:val="21"/>
          </w:tcPr>
          <w:p>
            <w:pPr>
              <w:spacing w:after="0"/>
              <w:rPr>
                <w:sz w:val="11"/>
                <w:szCs w:val="11"/>
                <w:color w:val="auto"/>
              </w:rPr>
            </w:pPr>
          </w:p>
        </w:tc>
        <w:tc>
          <w:tcPr>
            <w:tcW w:w="840" w:type="dxa"/>
            <w:vAlign w:val="bottom"/>
            <w:gridSpan w:val="2"/>
          </w:tcPr>
          <w:p>
            <w:pPr>
              <w:jc w:val="right"/>
              <w:spacing w:after="0" w:line="133" w:lineRule="exact"/>
              <w:rPr>
                <w:rFonts w:ascii="Arial" w:cs="Arial" w:eastAsia="Arial" w:hAnsi="Arial"/>
                <w:sz w:val="12"/>
                <w:szCs w:val="12"/>
                <w:color w:val="0000FF"/>
              </w:rPr>
            </w:pPr>
            <w:hyperlink w:anchor="page38">
              <w:r>
                <w:rPr>
                  <w:rFonts w:ascii="Arial" w:cs="Arial" w:eastAsia="Arial" w:hAnsi="Arial"/>
                  <w:sz w:val="12"/>
                  <w:szCs w:val="12"/>
                  <w:color w:val="0000FF"/>
                </w:rPr>
                <w:t>37</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4"/>
        </w:trPr>
        <w:tc>
          <w:tcPr>
            <w:tcW w:w="2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75" w:right="299" w:bottom="1440" w:gutter="0" w:footer="0" w:header="0"/>
        </w:sectPr>
      </w:pPr>
    </w:p>
    <w:bookmarkStart w:id="2" w:name="page3"/>
    <w:bookmarkEnd w:id="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06" w:lineRule="exact"/>
        <w:rPr>
          <w:sz w:val="20"/>
          <w:szCs w:val="20"/>
          <w:color w:val="auto"/>
        </w:rPr>
      </w:pPr>
    </w:p>
    <w:p>
      <w:pPr>
        <w:ind w:left="4380"/>
        <w:spacing w:after="0"/>
        <w:rPr>
          <w:sz w:val="20"/>
          <w:szCs w:val="20"/>
          <w:color w:val="auto"/>
        </w:rPr>
      </w:pPr>
      <w:r>
        <w:rPr>
          <w:rFonts w:ascii="Arial" w:cs="Arial" w:eastAsia="Arial" w:hAnsi="Arial"/>
          <w:sz w:val="12"/>
          <w:szCs w:val="12"/>
          <w:b w:val="1"/>
          <w:bCs w:val="1"/>
          <w:color w:val="auto"/>
        </w:rPr>
        <w:t>CLEAN HARBORS, INC. AND SUBSIDIARIES</w:t>
      </w:r>
    </w:p>
    <w:p>
      <w:pPr>
        <w:spacing w:after="0" w:line="78" w:lineRule="exact"/>
        <w:rPr>
          <w:sz w:val="20"/>
          <w:szCs w:val="20"/>
          <w:color w:val="auto"/>
        </w:rPr>
      </w:pPr>
    </w:p>
    <w:p>
      <w:pPr>
        <w:ind w:left="4600"/>
        <w:spacing w:after="0"/>
        <w:rPr>
          <w:sz w:val="20"/>
          <w:szCs w:val="20"/>
          <w:color w:val="auto"/>
        </w:rPr>
      </w:pPr>
      <w:r>
        <w:rPr>
          <w:rFonts w:ascii="Arial" w:cs="Arial" w:eastAsia="Arial" w:hAnsi="Arial"/>
          <w:sz w:val="12"/>
          <w:szCs w:val="12"/>
          <w:b w:val="1"/>
          <w:bCs w:val="1"/>
          <w:color w:val="auto"/>
        </w:rPr>
        <w:t>CONSOLIDATED BALANCE SHEETS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3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center"/>
              <w:ind w:right="161"/>
              <w:spacing w:after="0"/>
              <w:rPr>
                <w:sz w:val="20"/>
                <w:szCs w:val="20"/>
                <w:color w:val="auto"/>
              </w:rPr>
            </w:pPr>
            <w:r>
              <w:rPr>
                <w:rFonts w:ascii="Arial" w:cs="Arial" w:eastAsia="Arial" w:hAnsi="Arial"/>
                <w:sz w:val="10"/>
                <w:szCs w:val="10"/>
                <w:b w:val="1"/>
                <w:bCs w:val="1"/>
                <w:color w:val="auto"/>
                <w:w w:val="86"/>
              </w:rPr>
              <w:t>June 30, 2021</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300"/>
              <w:spacing w:after="0"/>
              <w:rPr>
                <w:sz w:val="20"/>
                <w:szCs w:val="20"/>
                <w:color w:val="auto"/>
              </w:rPr>
            </w:pPr>
            <w:r>
              <w:rPr>
                <w:rFonts w:ascii="Arial" w:cs="Arial" w:eastAsia="Arial" w:hAnsi="Arial"/>
                <w:sz w:val="10"/>
                <w:szCs w:val="10"/>
                <w:b w:val="1"/>
                <w:bCs w:val="1"/>
                <w:color w:val="auto"/>
                <w:w w:val="99"/>
              </w:rPr>
              <w:t>December 31, 2020</w:t>
            </w:r>
          </w:p>
        </w:tc>
      </w:tr>
      <w:tr>
        <w:trPr>
          <w:trHeight w:val="137"/>
        </w:trPr>
        <w:tc>
          <w:tcPr>
            <w:tcW w:w="838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ASSETS</w:t>
            </w:r>
          </w:p>
        </w:tc>
        <w:tc>
          <w:tcPr>
            <w:tcW w:w="22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center"/>
              <w:ind w:right="320"/>
              <w:spacing w:after="0"/>
              <w:rPr>
                <w:sz w:val="20"/>
                <w:szCs w:val="20"/>
                <w:color w:val="auto"/>
              </w:rPr>
            </w:pPr>
            <w:r>
              <w:rPr>
                <w:rFonts w:ascii="Arial" w:cs="Arial" w:eastAsia="Arial" w:hAnsi="Arial"/>
                <w:sz w:val="10"/>
                <w:szCs w:val="10"/>
                <w:b w:val="1"/>
                <w:bCs w:val="1"/>
                <w:color w:val="auto"/>
                <w:w w:val="88"/>
              </w:rPr>
              <w:t>(unaudited)</w:t>
            </w: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153"/>
        </w:trPr>
        <w:tc>
          <w:tcPr>
            <w:tcW w:w="8380" w:type="dxa"/>
            <w:vAlign w:val="bottom"/>
          </w:tcPr>
          <w:p>
            <w:pPr>
              <w:ind w:left="80"/>
              <w:spacing w:after="0"/>
              <w:rPr>
                <w:sz w:val="20"/>
                <w:szCs w:val="20"/>
                <w:color w:val="auto"/>
              </w:rPr>
            </w:pPr>
            <w:r>
              <w:rPr>
                <w:rFonts w:ascii="Arial" w:cs="Arial" w:eastAsia="Arial" w:hAnsi="Arial"/>
                <w:sz w:val="12"/>
                <w:szCs w:val="12"/>
                <w:b w:val="1"/>
                <w:bCs w:val="1"/>
                <w:color w:val="auto"/>
              </w:rPr>
              <w:t>Current assets:</w:t>
            </w: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53"/>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Cash and cash equivalents</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595,574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519,101</w:t>
            </w:r>
          </w:p>
        </w:tc>
      </w:tr>
      <w:tr>
        <w:trPr>
          <w:trHeight w:val="153"/>
        </w:trPr>
        <w:tc>
          <w:tcPr>
            <w:tcW w:w="8380" w:type="dxa"/>
            <w:vAlign w:val="bottom"/>
          </w:tcPr>
          <w:p>
            <w:pPr>
              <w:ind w:left="220"/>
              <w:spacing w:after="0"/>
              <w:rPr>
                <w:sz w:val="20"/>
                <w:szCs w:val="20"/>
                <w:color w:val="auto"/>
              </w:rPr>
            </w:pPr>
            <w:r>
              <w:rPr>
                <w:rFonts w:ascii="Arial" w:cs="Arial" w:eastAsia="Arial" w:hAnsi="Arial"/>
                <w:sz w:val="12"/>
                <w:szCs w:val="12"/>
                <w:color w:val="auto"/>
              </w:rPr>
              <w:t>Short-term marketable securities</w:t>
            </w: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70,683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51,857</w:t>
            </w:r>
          </w:p>
        </w:tc>
      </w:tr>
      <w:tr>
        <w:trPr>
          <w:trHeight w:val="153"/>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Accounts receivable, net of allowances aggregating $40,009 and $44,749, respectively</w:t>
            </w: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659,364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611,534</w:t>
            </w:r>
          </w:p>
        </w:tc>
      </w:tr>
      <w:tr>
        <w:trPr>
          <w:trHeight w:val="153"/>
        </w:trPr>
        <w:tc>
          <w:tcPr>
            <w:tcW w:w="8380" w:type="dxa"/>
            <w:vAlign w:val="bottom"/>
          </w:tcPr>
          <w:p>
            <w:pPr>
              <w:ind w:left="220"/>
              <w:spacing w:after="0"/>
              <w:rPr>
                <w:sz w:val="20"/>
                <w:szCs w:val="20"/>
                <w:color w:val="auto"/>
              </w:rPr>
            </w:pPr>
            <w:r>
              <w:rPr>
                <w:rFonts w:ascii="Arial" w:cs="Arial" w:eastAsia="Arial" w:hAnsi="Arial"/>
                <w:sz w:val="12"/>
                <w:szCs w:val="12"/>
                <w:color w:val="auto"/>
              </w:rPr>
              <w:t>Unbilled accounts receivable</w:t>
            </w: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59,446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55,681</w:t>
            </w:r>
          </w:p>
        </w:tc>
      </w:tr>
      <w:tr>
        <w:trPr>
          <w:trHeight w:val="153"/>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Inventories and supplies</w:t>
            </w: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215,725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220,498</w:t>
            </w:r>
          </w:p>
        </w:tc>
      </w:tr>
      <w:tr>
        <w:trPr>
          <w:trHeight w:val="153"/>
        </w:trPr>
        <w:tc>
          <w:tcPr>
            <w:tcW w:w="838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Prepaid expenses and other current assets</w:t>
            </w: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76,524</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67,051</w:t>
            </w:r>
          </w:p>
        </w:tc>
      </w:tr>
      <w:tr>
        <w:trPr>
          <w:trHeight w:val="142"/>
        </w:trPr>
        <w:tc>
          <w:tcPr>
            <w:tcW w:w="83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Total current assets</w:t>
            </w:r>
          </w:p>
        </w:tc>
        <w:tc>
          <w:tcPr>
            <w:tcW w:w="2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1,677,316</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1,525,722</w:t>
            </w:r>
          </w:p>
        </w:tc>
      </w:tr>
      <w:tr>
        <w:trPr>
          <w:trHeight w:val="142"/>
        </w:trPr>
        <w:tc>
          <w:tcPr>
            <w:tcW w:w="838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Property, plant and equipment, net</w:t>
            </w: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1,531,289</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1,525,298</w:t>
            </w:r>
          </w:p>
        </w:tc>
      </w:tr>
      <w:tr>
        <w:trPr>
          <w:trHeight w:val="133"/>
        </w:trPr>
        <w:tc>
          <w:tcPr>
            <w:tcW w:w="8380" w:type="dxa"/>
            <w:vAlign w:val="bottom"/>
            <w:shd w:val="clear" w:color="auto" w:fill="CCEEFF"/>
          </w:tcPr>
          <w:p>
            <w:pPr>
              <w:ind w:left="80"/>
              <w:spacing w:after="0" w:line="133" w:lineRule="exact"/>
              <w:rPr>
                <w:sz w:val="20"/>
                <w:szCs w:val="20"/>
                <w:color w:val="auto"/>
              </w:rPr>
            </w:pPr>
            <w:r>
              <w:rPr>
                <w:rFonts w:ascii="Arial" w:cs="Arial" w:eastAsia="Arial" w:hAnsi="Arial"/>
                <w:sz w:val="12"/>
                <w:szCs w:val="12"/>
                <w:b w:val="1"/>
                <w:bCs w:val="1"/>
                <w:color w:val="auto"/>
              </w:rPr>
              <w:t>Other assets:</w:t>
            </w: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153"/>
        </w:trPr>
        <w:tc>
          <w:tcPr>
            <w:tcW w:w="8380" w:type="dxa"/>
            <w:vAlign w:val="bottom"/>
          </w:tcPr>
          <w:p>
            <w:pPr>
              <w:ind w:left="220"/>
              <w:spacing w:after="0"/>
              <w:rPr>
                <w:sz w:val="20"/>
                <w:szCs w:val="20"/>
                <w:color w:val="auto"/>
              </w:rPr>
            </w:pPr>
            <w:r>
              <w:rPr>
                <w:rFonts w:ascii="Arial" w:cs="Arial" w:eastAsia="Arial" w:hAnsi="Arial"/>
                <w:sz w:val="12"/>
                <w:szCs w:val="12"/>
                <w:color w:val="auto"/>
              </w:rPr>
              <w:t>Operating lease right-of-use assets</w:t>
            </w: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135,363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150,341</w:t>
            </w:r>
          </w:p>
        </w:tc>
      </w:tr>
      <w:tr>
        <w:trPr>
          <w:trHeight w:val="153"/>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Goodwill</w:t>
            </w: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544,639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527,023</w:t>
            </w:r>
          </w:p>
        </w:tc>
      </w:tr>
      <w:tr>
        <w:trPr>
          <w:trHeight w:val="153"/>
        </w:trPr>
        <w:tc>
          <w:tcPr>
            <w:tcW w:w="8380" w:type="dxa"/>
            <w:vAlign w:val="bottom"/>
          </w:tcPr>
          <w:p>
            <w:pPr>
              <w:ind w:left="220"/>
              <w:spacing w:after="0"/>
              <w:rPr>
                <w:sz w:val="20"/>
                <w:szCs w:val="20"/>
                <w:color w:val="auto"/>
              </w:rPr>
            </w:pPr>
            <w:r>
              <w:rPr>
                <w:rFonts w:ascii="Arial" w:cs="Arial" w:eastAsia="Arial" w:hAnsi="Arial"/>
                <w:sz w:val="12"/>
                <w:szCs w:val="12"/>
                <w:color w:val="auto"/>
              </w:rPr>
              <w:t>Permits and other intangibles, net</w:t>
            </w: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374,230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386,620</w:t>
            </w:r>
          </w:p>
        </w:tc>
      </w:tr>
      <w:tr>
        <w:trPr>
          <w:trHeight w:val="153"/>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w:t>
            </w:r>
          </w:p>
        </w:tc>
        <w:tc>
          <w:tcPr>
            <w:tcW w:w="2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13,042</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16,516</w:t>
            </w:r>
          </w:p>
        </w:tc>
      </w:tr>
      <w:tr>
        <w:trPr>
          <w:trHeight w:val="142"/>
        </w:trPr>
        <w:tc>
          <w:tcPr>
            <w:tcW w:w="838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Total other assets</w:t>
            </w: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1,067,274</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1,080,500</w:t>
            </w:r>
          </w:p>
        </w:tc>
      </w:tr>
      <w:tr>
        <w:trPr>
          <w:trHeight w:val="158"/>
        </w:trPr>
        <w:tc>
          <w:tcPr>
            <w:tcW w:w="8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Total assets</w:t>
            </w: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4,275,879</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4,131,520</w:t>
            </w:r>
          </w:p>
        </w:tc>
      </w:tr>
      <w:tr>
        <w:trPr>
          <w:trHeight w:val="126"/>
        </w:trPr>
        <w:tc>
          <w:tcPr>
            <w:tcW w:w="8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53"/>
        </w:trPr>
        <w:tc>
          <w:tcPr>
            <w:tcW w:w="838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LIABILITIES AND STOCKHOLDERS' EQUITY</w:t>
            </w: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53"/>
        </w:trPr>
        <w:tc>
          <w:tcPr>
            <w:tcW w:w="8380" w:type="dxa"/>
            <w:vAlign w:val="bottom"/>
          </w:tcPr>
          <w:p>
            <w:pPr>
              <w:ind w:left="80"/>
              <w:spacing w:after="0"/>
              <w:rPr>
                <w:sz w:val="20"/>
                <w:szCs w:val="20"/>
                <w:color w:val="auto"/>
              </w:rPr>
            </w:pPr>
            <w:r>
              <w:rPr>
                <w:rFonts w:ascii="Arial" w:cs="Arial" w:eastAsia="Arial" w:hAnsi="Arial"/>
                <w:sz w:val="12"/>
                <w:szCs w:val="12"/>
                <w:b w:val="1"/>
                <w:bCs w:val="1"/>
                <w:color w:val="auto"/>
              </w:rPr>
              <w:t>Current liabilities:</w:t>
            </w: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53"/>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Current portion of long-term debt</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7,535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7,535</w:t>
            </w:r>
          </w:p>
        </w:tc>
      </w:tr>
      <w:tr>
        <w:trPr>
          <w:trHeight w:val="153"/>
        </w:trPr>
        <w:tc>
          <w:tcPr>
            <w:tcW w:w="8380" w:type="dxa"/>
            <w:vAlign w:val="bottom"/>
          </w:tcPr>
          <w:p>
            <w:pPr>
              <w:ind w:left="220"/>
              <w:spacing w:after="0"/>
              <w:rPr>
                <w:sz w:val="20"/>
                <w:szCs w:val="20"/>
                <w:color w:val="auto"/>
              </w:rPr>
            </w:pPr>
            <w:r>
              <w:rPr>
                <w:rFonts w:ascii="Arial" w:cs="Arial" w:eastAsia="Arial" w:hAnsi="Arial"/>
                <w:sz w:val="12"/>
                <w:szCs w:val="12"/>
                <w:color w:val="auto"/>
              </w:rPr>
              <w:t>Accounts payable</w:t>
            </w: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249,206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195,878</w:t>
            </w:r>
          </w:p>
        </w:tc>
      </w:tr>
      <w:tr>
        <w:trPr>
          <w:trHeight w:val="153"/>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Deferred revenue</w:t>
            </w: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83,733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74,066</w:t>
            </w:r>
          </w:p>
        </w:tc>
      </w:tr>
      <w:tr>
        <w:trPr>
          <w:trHeight w:val="153"/>
        </w:trPr>
        <w:tc>
          <w:tcPr>
            <w:tcW w:w="8380" w:type="dxa"/>
            <w:vAlign w:val="bottom"/>
          </w:tcPr>
          <w:p>
            <w:pPr>
              <w:ind w:left="220"/>
              <w:spacing w:after="0"/>
              <w:rPr>
                <w:sz w:val="20"/>
                <w:szCs w:val="20"/>
                <w:color w:val="auto"/>
              </w:rPr>
            </w:pPr>
            <w:r>
              <w:rPr>
                <w:rFonts w:ascii="Arial" w:cs="Arial" w:eastAsia="Arial" w:hAnsi="Arial"/>
                <w:sz w:val="12"/>
                <w:szCs w:val="12"/>
                <w:color w:val="auto"/>
              </w:rPr>
              <w:t>Accrued expenses</w:t>
            </w: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311,656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295,823</w:t>
            </w:r>
          </w:p>
        </w:tc>
      </w:tr>
      <w:tr>
        <w:trPr>
          <w:trHeight w:val="153"/>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Current portion of closure, post-closure and remedial liabilities</w:t>
            </w: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23,865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26,093</w:t>
            </w:r>
          </w:p>
        </w:tc>
      </w:tr>
      <w:tr>
        <w:trPr>
          <w:trHeight w:val="153"/>
        </w:trPr>
        <w:tc>
          <w:tcPr>
            <w:tcW w:w="838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Current portion of operating lease liabilities</w:t>
            </w: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35,074</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36,750</w:t>
            </w:r>
          </w:p>
        </w:tc>
      </w:tr>
      <w:tr>
        <w:trPr>
          <w:trHeight w:val="142"/>
        </w:trPr>
        <w:tc>
          <w:tcPr>
            <w:tcW w:w="83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Total current liabilities</w:t>
            </w:r>
          </w:p>
        </w:tc>
        <w:tc>
          <w:tcPr>
            <w:tcW w:w="2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711,069</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636,145</w:t>
            </w:r>
          </w:p>
        </w:tc>
      </w:tr>
      <w:tr>
        <w:trPr>
          <w:trHeight w:val="133"/>
        </w:trPr>
        <w:tc>
          <w:tcPr>
            <w:tcW w:w="83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Other liabilities:</w:t>
            </w: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53"/>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Closure and post-closure liabilities, less current portion of $9,752 and $13,903, respectively</w:t>
            </w: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83,742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74,023</w:t>
            </w:r>
          </w:p>
        </w:tc>
      </w:tr>
      <w:tr>
        <w:trPr>
          <w:trHeight w:val="153"/>
        </w:trPr>
        <w:tc>
          <w:tcPr>
            <w:tcW w:w="8380" w:type="dxa"/>
            <w:vAlign w:val="bottom"/>
          </w:tcPr>
          <w:p>
            <w:pPr>
              <w:ind w:left="220"/>
              <w:spacing w:after="0"/>
              <w:rPr>
                <w:sz w:val="20"/>
                <w:szCs w:val="20"/>
                <w:color w:val="auto"/>
              </w:rPr>
            </w:pPr>
            <w:r>
              <w:rPr>
                <w:rFonts w:ascii="Arial" w:cs="Arial" w:eastAsia="Arial" w:hAnsi="Arial"/>
                <w:sz w:val="12"/>
                <w:szCs w:val="12"/>
                <w:color w:val="auto"/>
              </w:rPr>
              <w:t>Remedial liabilities, less current portion of $14,113 and $12,190, respectively</w:t>
            </w: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98,341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102,623</w:t>
            </w:r>
          </w:p>
        </w:tc>
      </w:tr>
      <w:tr>
        <w:trPr>
          <w:trHeight w:val="153"/>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Long-term debt, less current portion</w:t>
            </w: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1,547,398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1,549,641</w:t>
            </w:r>
          </w:p>
        </w:tc>
      </w:tr>
      <w:tr>
        <w:trPr>
          <w:trHeight w:val="153"/>
        </w:trPr>
        <w:tc>
          <w:tcPr>
            <w:tcW w:w="8380" w:type="dxa"/>
            <w:vAlign w:val="bottom"/>
          </w:tcPr>
          <w:p>
            <w:pPr>
              <w:ind w:left="220"/>
              <w:spacing w:after="0"/>
              <w:rPr>
                <w:sz w:val="20"/>
                <w:szCs w:val="20"/>
                <w:color w:val="auto"/>
              </w:rPr>
            </w:pPr>
            <w:r>
              <w:rPr>
                <w:rFonts w:ascii="Arial" w:cs="Arial" w:eastAsia="Arial" w:hAnsi="Arial"/>
                <w:sz w:val="12"/>
                <w:szCs w:val="12"/>
                <w:color w:val="auto"/>
              </w:rPr>
              <w:t>Operating lease liabilities, less current portion</w:t>
            </w: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101,377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114,258</w:t>
            </w:r>
          </w:p>
        </w:tc>
      </w:tr>
      <w:tr>
        <w:trPr>
          <w:trHeight w:val="153"/>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Deferred tax liabilities</w:t>
            </w: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228,718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230,097</w:t>
            </w:r>
          </w:p>
        </w:tc>
      </w:tr>
      <w:tr>
        <w:trPr>
          <w:trHeight w:val="153"/>
        </w:trPr>
        <w:tc>
          <w:tcPr>
            <w:tcW w:w="838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Other long-term liabilities</w:t>
            </w: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95,647</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83,182</w:t>
            </w:r>
          </w:p>
        </w:tc>
      </w:tr>
      <w:tr>
        <w:trPr>
          <w:trHeight w:val="142"/>
        </w:trPr>
        <w:tc>
          <w:tcPr>
            <w:tcW w:w="83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Total other liabilities</w:t>
            </w:r>
          </w:p>
        </w:tc>
        <w:tc>
          <w:tcPr>
            <w:tcW w:w="2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2,155,223</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2,153,824</w:t>
            </w:r>
          </w:p>
        </w:tc>
      </w:tr>
      <w:tr>
        <w:trPr>
          <w:trHeight w:val="133"/>
        </w:trPr>
        <w:tc>
          <w:tcPr>
            <w:tcW w:w="8380" w:type="dxa"/>
            <w:vAlign w:val="bottom"/>
          </w:tcPr>
          <w:p>
            <w:pPr>
              <w:ind w:left="80"/>
              <w:spacing w:after="0" w:line="133" w:lineRule="exact"/>
              <w:rPr>
                <w:sz w:val="20"/>
                <w:szCs w:val="20"/>
                <w:color w:val="auto"/>
              </w:rPr>
            </w:pPr>
            <w:r>
              <w:rPr>
                <w:rFonts w:ascii="Arial" w:cs="Arial" w:eastAsia="Arial" w:hAnsi="Arial"/>
                <w:sz w:val="12"/>
                <w:szCs w:val="12"/>
                <w:color w:val="auto"/>
              </w:rPr>
              <w:t>Commitments and contingent liabilities (See Note 16)</w:t>
            </w: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53"/>
        </w:trPr>
        <w:tc>
          <w:tcPr>
            <w:tcW w:w="838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Stockholders’ equity:</w:t>
            </w: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53"/>
        </w:trPr>
        <w:tc>
          <w:tcPr>
            <w:tcW w:w="8380" w:type="dxa"/>
            <w:vAlign w:val="bottom"/>
          </w:tcPr>
          <w:p>
            <w:pPr>
              <w:ind w:left="220"/>
              <w:spacing w:after="0"/>
              <w:rPr>
                <w:sz w:val="20"/>
                <w:szCs w:val="20"/>
                <w:color w:val="auto"/>
              </w:rPr>
            </w:pPr>
            <w:r>
              <w:rPr>
                <w:rFonts w:ascii="Arial" w:cs="Arial" w:eastAsia="Arial" w:hAnsi="Arial"/>
                <w:sz w:val="12"/>
                <w:szCs w:val="12"/>
                <w:color w:val="auto"/>
              </w:rPr>
              <w:t>Common stock, $0.01 par value:</w:t>
            </w: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53"/>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Authorized 80,000,000 shares; issued and outstanding 54,393,252 and 54,772,696 shares, respectively</w:t>
            </w: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548</w:t>
            </w:r>
          </w:p>
        </w:tc>
      </w:tr>
      <w:tr>
        <w:trPr>
          <w:trHeight w:val="153"/>
        </w:trPr>
        <w:tc>
          <w:tcPr>
            <w:tcW w:w="8380" w:type="dxa"/>
            <w:vAlign w:val="bottom"/>
          </w:tcPr>
          <w:p>
            <w:pPr>
              <w:ind w:left="220"/>
              <w:spacing w:after="0"/>
              <w:rPr>
                <w:sz w:val="20"/>
                <w:szCs w:val="20"/>
                <w:color w:val="auto"/>
              </w:rPr>
            </w:pPr>
            <w:r>
              <w:rPr>
                <w:rFonts w:ascii="Arial" w:cs="Arial" w:eastAsia="Arial" w:hAnsi="Arial"/>
                <w:sz w:val="12"/>
                <w:szCs w:val="12"/>
                <w:color w:val="auto"/>
              </w:rPr>
              <w:t>Additional paid-in capital</w:t>
            </w: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539,390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582,749</w:t>
            </w:r>
          </w:p>
        </w:tc>
      </w:tr>
      <w:tr>
        <w:trPr>
          <w:trHeight w:val="153"/>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Accumulated other comprehensive loss</w:t>
            </w: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(188,889)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(211,477)</w:t>
            </w:r>
          </w:p>
        </w:tc>
      </w:tr>
      <w:tr>
        <w:trPr>
          <w:trHeight w:val="153"/>
        </w:trPr>
        <w:tc>
          <w:tcPr>
            <w:tcW w:w="838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Accumulated earnings</w:t>
            </w: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1,058,542</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969,731</w:t>
            </w:r>
          </w:p>
        </w:tc>
      </w:tr>
      <w:tr>
        <w:trPr>
          <w:trHeight w:val="142"/>
        </w:trPr>
        <w:tc>
          <w:tcPr>
            <w:tcW w:w="838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stockholders’ equity</w:t>
            </w:r>
          </w:p>
        </w:tc>
        <w:tc>
          <w:tcPr>
            <w:tcW w:w="2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1,409,587</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1,341,551</w:t>
            </w:r>
          </w:p>
        </w:tc>
      </w:tr>
      <w:tr>
        <w:trPr>
          <w:trHeight w:val="142"/>
        </w:trPr>
        <w:tc>
          <w:tcPr>
            <w:tcW w:w="8380" w:type="dxa"/>
            <w:vAlign w:val="bottom"/>
          </w:tcPr>
          <w:p>
            <w:pPr>
              <w:ind w:left="360"/>
              <w:spacing w:after="0"/>
              <w:rPr>
                <w:sz w:val="20"/>
                <w:szCs w:val="20"/>
                <w:color w:val="auto"/>
              </w:rPr>
            </w:pPr>
            <w:r>
              <w:rPr>
                <w:rFonts w:ascii="Arial" w:cs="Arial" w:eastAsia="Arial" w:hAnsi="Arial"/>
                <w:sz w:val="12"/>
                <w:szCs w:val="12"/>
                <w:color w:val="auto"/>
              </w:rPr>
              <w:t>Total liabilities and stockholders’ equity</w:t>
            </w: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4,275,879</w:t>
            </w: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4,131,520</w:t>
            </w:r>
          </w:p>
        </w:tc>
      </w:tr>
      <w:tr>
        <w:trPr>
          <w:trHeight w:val="20"/>
        </w:trPr>
        <w:tc>
          <w:tcPr>
            <w:tcW w:w="8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unaudited consolidated financial statements.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 w:name="page4"/>
    <w:bookmarkEnd w:id="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06" w:lineRule="exact"/>
        <w:rPr>
          <w:sz w:val="20"/>
          <w:szCs w:val="20"/>
          <w:color w:val="auto"/>
        </w:rPr>
      </w:pPr>
    </w:p>
    <w:p>
      <w:pPr>
        <w:ind w:left="4380"/>
        <w:spacing w:after="0"/>
        <w:rPr>
          <w:sz w:val="20"/>
          <w:szCs w:val="20"/>
          <w:color w:val="auto"/>
        </w:rPr>
      </w:pPr>
      <w:r>
        <w:rPr>
          <w:rFonts w:ascii="Arial" w:cs="Arial" w:eastAsia="Arial" w:hAnsi="Arial"/>
          <w:sz w:val="12"/>
          <w:szCs w:val="12"/>
          <w:b w:val="1"/>
          <w:bCs w:val="1"/>
          <w:color w:val="auto"/>
        </w:rPr>
        <w:t>CLEAN HARBORS, INC. AND SUBSIDIARIES</w:t>
      </w:r>
    </w:p>
    <w:p>
      <w:pPr>
        <w:spacing w:after="0" w:line="78" w:lineRule="exact"/>
        <w:rPr>
          <w:sz w:val="20"/>
          <w:szCs w:val="20"/>
          <w:color w:val="auto"/>
        </w:rPr>
      </w:pPr>
    </w:p>
    <w:p>
      <w:pPr>
        <w:ind w:left="3860"/>
        <w:spacing w:after="0"/>
        <w:rPr>
          <w:sz w:val="20"/>
          <w:szCs w:val="20"/>
          <w:color w:val="auto"/>
        </w:rPr>
      </w:pPr>
      <w:r>
        <w:rPr>
          <w:rFonts w:ascii="Arial" w:cs="Arial" w:eastAsia="Arial" w:hAnsi="Arial"/>
          <w:sz w:val="12"/>
          <w:szCs w:val="12"/>
          <w:b w:val="1"/>
          <w:bCs w:val="1"/>
          <w:color w:val="auto"/>
        </w:rPr>
        <w:t>UNAUDITED CONSOLIDATED STATEMENTS OF OPERATIONS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per share amounts)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6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gridSpan w:val="3"/>
          </w:tcPr>
          <w:p>
            <w:pPr>
              <w:jc w:val="right"/>
              <w:spacing w:after="0"/>
              <w:rPr>
                <w:sz w:val="20"/>
                <w:szCs w:val="20"/>
                <w:color w:val="auto"/>
              </w:rPr>
            </w:pPr>
            <w:r>
              <w:rPr>
                <w:rFonts w:ascii="Arial" w:cs="Arial" w:eastAsia="Arial" w:hAnsi="Arial"/>
                <w:sz w:val="10"/>
                <w:szCs w:val="10"/>
                <w:b w:val="1"/>
                <w:bCs w:val="1"/>
                <w:color w:val="auto"/>
                <w:w w:val="92"/>
              </w:rPr>
              <w:t>Three Months Ended</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0"/>
                <w:szCs w:val="10"/>
                <w:b w:val="1"/>
                <w:bCs w:val="1"/>
                <w:color w:val="auto"/>
              </w:rPr>
              <w:t>Six Months Ended</w:t>
            </w:r>
          </w:p>
        </w:tc>
        <w:tc>
          <w:tcPr>
            <w:tcW w:w="740" w:type="dxa"/>
            <w:vAlign w:val="bottom"/>
          </w:tcPr>
          <w:p>
            <w:pPr>
              <w:spacing w:after="0"/>
              <w:rPr>
                <w:sz w:val="10"/>
                <w:szCs w:val="10"/>
                <w:color w:val="auto"/>
              </w:rPr>
            </w:pPr>
          </w:p>
        </w:tc>
      </w:tr>
      <w:tr>
        <w:trPr>
          <w:trHeight w:val="130"/>
        </w:trPr>
        <w:tc>
          <w:tcPr>
            <w:tcW w:w="64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0"/>
                <w:szCs w:val="10"/>
                <w:b w:val="1"/>
                <w:bCs w:val="1"/>
                <w:color w:val="auto"/>
              </w:rPr>
              <w:t>June 30,</w:t>
            </w: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0"/>
                <w:szCs w:val="10"/>
                <w:b w:val="1"/>
                <w:bCs w:val="1"/>
                <w:color w:val="auto"/>
              </w:rPr>
              <w:t>June 30,</w:t>
            </w:r>
          </w:p>
        </w:tc>
        <w:tc>
          <w:tcPr>
            <w:tcW w:w="740" w:type="dxa"/>
            <w:vAlign w:val="bottom"/>
            <w:tcBorders>
              <w:bottom w:val="single" w:sz="8" w:color="auto"/>
            </w:tcBorders>
          </w:tcPr>
          <w:p>
            <w:pPr>
              <w:spacing w:after="0"/>
              <w:rPr>
                <w:sz w:val="11"/>
                <w:szCs w:val="11"/>
                <w:color w:val="auto"/>
              </w:rPr>
            </w:pPr>
          </w:p>
        </w:tc>
      </w:tr>
      <w:tr>
        <w:trPr>
          <w:trHeight w:val="118"/>
        </w:trPr>
        <w:tc>
          <w:tcPr>
            <w:tcW w:w="642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w w:val="98"/>
              </w:rPr>
              <w:t>2020</w:t>
            </w:r>
          </w:p>
        </w:tc>
        <w:tc>
          <w:tcPr>
            <w:tcW w:w="8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rPr>
              <w:t>2020</w:t>
            </w:r>
          </w:p>
        </w:tc>
      </w:tr>
      <w:tr>
        <w:trPr>
          <w:trHeight w:val="134"/>
        </w:trPr>
        <w:tc>
          <w:tcPr>
            <w:tcW w:w="6420" w:type="dxa"/>
            <w:vAlign w:val="bottom"/>
            <w:shd w:val="clear" w:color="auto" w:fill="CCEEFF"/>
          </w:tcPr>
          <w:p>
            <w:pPr>
              <w:ind w:left="80"/>
              <w:spacing w:after="0" w:line="134" w:lineRule="exact"/>
              <w:rPr>
                <w:sz w:val="20"/>
                <w:szCs w:val="20"/>
                <w:color w:val="auto"/>
              </w:rPr>
            </w:pPr>
            <w:r>
              <w:rPr>
                <w:rFonts w:ascii="Arial" w:cs="Arial" w:eastAsia="Arial" w:hAnsi="Arial"/>
                <w:sz w:val="12"/>
                <w:szCs w:val="12"/>
                <w:b w:val="1"/>
                <w:bCs w:val="1"/>
                <w:color w:val="auto"/>
              </w:rPr>
              <w:t>Revenues:</w:t>
            </w: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53"/>
        </w:trPr>
        <w:tc>
          <w:tcPr>
            <w:tcW w:w="6420" w:type="dxa"/>
            <w:vAlign w:val="bottom"/>
          </w:tcPr>
          <w:p>
            <w:pPr>
              <w:ind w:left="200"/>
              <w:spacing w:after="0"/>
              <w:rPr>
                <w:sz w:val="20"/>
                <w:szCs w:val="20"/>
                <w:color w:val="auto"/>
              </w:rPr>
            </w:pPr>
            <w:r>
              <w:rPr>
                <w:rFonts w:ascii="Arial" w:cs="Arial" w:eastAsia="Arial" w:hAnsi="Arial"/>
                <w:sz w:val="12"/>
                <w:szCs w:val="12"/>
                <w:color w:val="auto"/>
              </w:rPr>
              <w:t>Service revenues</w:t>
            </w:r>
          </w:p>
        </w:tc>
        <w:tc>
          <w:tcPr>
            <w:tcW w:w="700" w:type="dxa"/>
            <w:vAlign w:val="bottom"/>
          </w:tcPr>
          <w:p>
            <w:pPr>
              <w:jc w:val="right"/>
              <w:ind w:right="562"/>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w w:val="87"/>
              </w:rPr>
              <w:t>734,563</w:t>
            </w:r>
          </w:p>
        </w:tc>
        <w:tc>
          <w:tcPr>
            <w:tcW w:w="100" w:type="dxa"/>
            <w:vAlign w:val="bottom"/>
          </w:tcPr>
          <w:p>
            <w:pPr>
              <w:spacing w:after="0"/>
              <w:rPr>
                <w:sz w:val="13"/>
                <w:szCs w:val="13"/>
                <w:color w:val="auto"/>
              </w:rPr>
            </w:pP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637,839</w:t>
            </w:r>
          </w:p>
        </w:tc>
        <w:tc>
          <w:tcPr>
            <w:tcW w:w="8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1,397,271</w:t>
            </w:r>
          </w:p>
        </w:tc>
        <w:tc>
          <w:tcPr>
            <w:tcW w:w="80" w:type="dxa"/>
            <w:vAlign w:val="bottom"/>
          </w:tcPr>
          <w:p>
            <w:pPr>
              <w:spacing w:after="0"/>
              <w:rPr>
                <w:sz w:val="13"/>
                <w:szCs w:val="13"/>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1,357,706</w:t>
            </w:r>
          </w:p>
        </w:tc>
      </w:tr>
      <w:tr>
        <w:trPr>
          <w:trHeight w:val="153"/>
        </w:trPr>
        <w:tc>
          <w:tcPr>
            <w:tcW w:w="6420" w:type="dxa"/>
            <w:vAlign w:val="bottom"/>
            <w:shd w:val="clear" w:color="auto" w:fill="CCEEFF"/>
          </w:tcPr>
          <w:p>
            <w:pPr>
              <w:ind w:left="200"/>
              <w:spacing w:after="0"/>
              <w:rPr>
                <w:sz w:val="20"/>
                <w:szCs w:val="20"/>
                <w:color w:val="auto"/>
              </w:rPr>
            </w:pPr>
            <w:r>
              <w:rPr>
                <w:rFonts w:ascii="Arial" w:cs="Arial" w:eastAsia="Arial" w:hAnsi="Arial"/>
                <w:sz w:val="12"/>
                <w:szCs w:val="12"/>
                <w:color w:val="auto"/>
              </w:rPr>
              <w:t>Product revenues</w:t>
            </w:r>
          </w:p>
        </w:tc>
        <w:tc>
          <w:tcPr>
            <w:tcW w:w="7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7"/>
              </w:rPr>
              <w:t>191,895</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72,161</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337,335</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210,857</w:t>
            </w:r>
          </w:p>
        </w:tc>
      </w:tr>
      <w:tr>
        <w:trPr>
          <w:trHeight w:val="142"/>
        </w:trPr>
        <w:tc>
          <w:tcPr>
            <w:tcW w:w="642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Total revenues</w:t>
            </w:r>
          </w:p>
        </w:tc>
        <w:tc>
          <w:tcPr>
            <w:tcW w:w="7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7"/>
              </w:rPr>
              <w:t>926,458</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710,000</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1,734,606</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1,568,563</w:t>
            </w:r>
          </w:p>
        </w:tc>
      </w:tr>
      <w:tr>
        <w:trPr>
          <w:trHeight w:val="133"/>
        </w:trPr>
        <w:tc>
          <w:tcPr>
            <w:tcW w:w="6420" w:type="dxa"/>
            <w:vAlign w:val="bottom"/>
            <w:shd w:val="clear" w:color="auto" w:fill="CCEEFF"/>
          </w:tcPr>
          <w:p>
            <w:pPr>
              <w:ind w:left="80"/>
              <w:spacing w:after="0" w:line="133" w:lineRule="exact"/>
              <w:rPr>
                <w:sz w:val="20"/>
                <w:szCs w:val="20"/>
                <w:color w:val="auto"/>
              </w:rPr>
            </w:pPr>
            <w:r>
              <w:rPr>
                <w:rFonts w:ascii="Arial" w:cs="Arial" w:eastAsia="Arial" w:hAnsi="Arial"/>
                <w:sz w:val="12"/>
                <w:szCs w:val="12"/>
                <w:b w:val="1"/>
                <w:bCs w:val="1"/>
                <w:color w:val="auto"/>
              </w:rPr>
              <w:t>Cost of revenues: (exclusive of items shown separately below)</w:t>
            </w: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53"/>
        </w:trPr>
        <w:tc>
          <w:tcPr>
            <w:tcW w:w="6420" w:type="dxa"/>
            <w:vAlign w:val="bottom"/>
          </w:tcPr>
          <w:p>
            <w:pPr>
              <w:ind w:left="200"/>
              <w:spacing w:after="0"/>
              <w:rPr>
                <w:sz w:val="20"/>
                <w:szCs w:val="20"/>
                <w:color w:val="auto"/>
              </w:rPr>
            </w:pPr>
            <w:r>
              <w:rPr>
                <w:rFonts w:ascii="Arial" w:cs="Arial" w:eastAsia="Arial" w:hAnsi="Arial"/>
                <w:sz w:val="12"/>
                <w:szCs w:val="12"/>
                <w:color w:val="auto"/>
              </w:rPr>
              <w:t>Service revenues</w:t>
            </w:r>
          </w:p>
        </w:tc>
        <w:tc>
          <w:tcPr>
            <w:tcW w:w="7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87"/>
              </w:rPr>
              <w:t>492,662</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411,065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943,000</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903,781</w:t>
            </w:r>
          </w:p>
        </w:tc>
      </w:tr>
      <w:tr>
        <w:trPr>
          <w:trHeight w:val="153"/>
        </w:trPr>
        <w:tc>
          <w:tcPr>
            <w:tcW w:w="6420" w:type="dxa"/>
            <w:vAlign w:val="bottom"/>
            <w:shd w:val="clear" w:color="auto" w:fill="CCEEFF"/>
          </w:tcPr>
          <w:p>
            <w:pPr>
              <w:ind w:left="200"/>
              <w:spacing w:after="0"/>
              <w:rPr>
                <w:sz w:val="20"/>
                <w:szCs w:val="20"/>
                <w:color w:val="auto"/>
              </w:rPr>
            </w:pPr>
            <w:r>
              <w:rPr>
                <w:rFonts w:ascii="Arial" w:cs="Arial" w:eastAsia="Arial" w:hAnsi="Arial"/>
                <w:sz w:val="12"/>
                <w:szCs w:val="12"/>
                <w:color w:val="auto"/>
              </w:rPr>
              <w:t>Product revenues</w:t>
            </w:r>
          </w:p>
        </w:tc>
        <w:tc>
          <w:tcPr>
            <w:tcW w:w="7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7"/>
              </w:rPr>
              <w:t>125,224</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59,616</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235,422</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173,566</w:t>
            </w:r>
          </w:p>
        </w:tc>
      </w:tr>
      <w:tr>
        <w:trPr>
          <w:trHeight w:val="142"/>
        </w:trPr>
        <w:tc>
          <w:tcPr>
            <w:tcW w:w="642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Total cost of revenues</w:t>
            </w:r>
          </w:p>
        </w:tc>
        <w:tc>
          <w:tcPr>
            <w:tcW w:w="7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7"/>
              </w:rPr>
              <w:t>617,886</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470,681</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1,178,422</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1,077,347</w:t>
            </w:r>
          </w:p>
        </w:tc>
      </w:tr>
      <w:tr>
        <w:trPr>
          <w:trHeight w:val="142"/>
        </w:trPr>
        <w:tc>
          <w:tcPr>
            <w:tcW w:w="6420" w:type="dxa"/>
            <w:vAlign w:val="bottom"/>
            <w:shd w:val="clear" w:color="auto" w:fill="CCEEFF"/>
          </w:tcPr>
          <w:p>
            <w:pPr>
              <w:ind w:left="80"/>
              <w:spacing w:after="0"/>
              <w:rPr>
                <w:sz w:val="20"/>
                <w:szCs w:val="20"/>
                <w:color w:val="auto"/>
              </w:rPr>
            </w:pPr>
            <w:r>
              <w:rPr>
                <w:rFonts w:ascii="Arial" w:cs="Arial" w:eastAsia="Arial" w:hAnsi="Arial"/>
                <w:sz w:val="12"/>
                <w:szCs w:val="12"/>
                <w:color w:val="auto"/>
              </w:rPr>
              <w:t>Selling, general and administrative expenses</w:t>
            </w: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124,106</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103,839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245,747</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233,146</w:t>
            </w:r>
          </w:p>
        </w:tc>
      </w:tr>
      <w:tr>
        <w:trPr>
          <w:trHeight w:val="153"/>
        </w:trPr>
        <w:tc>
          <w:tcPr>
            <w:tcW w:w="6420" w:type="dxa"/>
            <w:vAlign w:val="bottom"/>
          </w:tcPr>
          <w:p>
            <w:pPr>
              <w:ind w:left="80"/>
              <w:spacing w:after="0"/>
              <w:rPr>
                <w:sz w:val="20"/>
                <w:szCs w:val="20"/>
                <w:color w:val="auto"/>
              </w:rPr>
            </w:pPr>
            <w:r>
              <w:rPr>
                <w:rFonts w:ascii="Arial" w:cs="Arial" w:eastAsia="Arial" w:hAnsi="Arial"/>
                <w:sz w:val="12"/>
                <w:szCs w:val="12"/>
                <w:color w:val="auto"/>
              </w:rPr>
              <w:t>Accretion of environmental liabilities</w:t>
            </w:r>
          </w:p>
        </w:tc>
        <w:tc>
          <w:tcPr>
            <w:tcW w:w="7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2,873</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2,766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5,826</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5,327</w:t>
            </w:r>
          </w:p>
        </w:tc>
      </w:tr>
      <w:tr>
        <w:trPr>
          <w:trHeight w:val="153"/>
        </w:trPr>
        <w:tc>
          <w:tcPr>
            <w:tcW w:w="6420" w:type="dxa"/>
            <w:vAlign w:val="bottom"/>
            <w:shd w:val="clear" w:color="auto" w:fill="CCEEFF"/>
          </w:tcPr>
          <w:p>
            <w:pPr>
              <w:ind w:left="80"/>
              <w:spacing w:after="0"/>
              <w:rPr>
                <w:sz w:val="20"/>
                <w:szCs w:val="20"/>
                <w:color w:val="auto"/>
              </w:rPr>
            </w:pPr>
            <w:r>
              <w:rPr>
                <w:rFonts w:ascii="Arial" w:cs="Arial" w:eastAsia="Arial" w:hAnsi="Arial"/>
                <w:sz w:val="12"/>
                <w:szCs w:val="12"/>
                <w:color w:val="auto"/>
              </w:rPr>
              <w:t>Depreciation and amortization</w:t>
            </w:r>
          </w:p>
        </w:tc>
        <w:tc>
          <w:tcPr>
            <w:tcW w:w="7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71,592</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72,494</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143,755</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147,027</w:t>
            </w:r>
          </w:p>
        </w:tc>
      </w:tr>
      <w:tr>
        <w:trPr>
          <w:trHeight w:val="142"/>
        </w:trPr>
        <w:tc>
          <w:tcPr>
            <w:tcW w:w="6420" w:type="dxa"/>
            <w:vAlign w:val="bottom"/>
          </w:tcPr>
          <w:p>
            <w:pPr>
              <w:ind w:left="80"/>
              <w:spacing w:after="0"/>
              <w:rPr>
                <w:sz w:val="20"/>
                <w:szCs w:val="20"/>
                <w:color w:val="auto"/>
              </w:rPr>
            </w:pPr>
            <w:r>
              <w:rPr>
                <w:rFonts w:ascii="Arial" w:cs="Arial" w:eastAsia="Arial" w:hAnsi="Arial"/>
                <w:sz w:val="12"/>
                <w:szCs w:val="12"/>
                <w:b w:val="1"/>
                <w:bCs w:val="1"/>
                <w:color w:val="auto"/>
              </w:rPr>
              <w:t>Income from operations</w:t>
            </w:r>
          </w:p>
        </w:tc>
        <w:tc>
          <w:tcPr>
            <w:tcW w:w="7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87"/>
              </w:rPr>
              <w:t>110,001</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60,220</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160,856</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105,716</w:t>
            </w:r>
          </w:p>
        </w:tc>
      </w:tr>
      <w:tr>
        <w:trPr>
          <w:trHeight w:val="153"/>
        </w:trPr>
        <w:tc>
          <w:tcPr>
            <w:tcW w:w="642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 expense, net</w:t>
            </w:r>
          </w:p>
        </w:tc>
        <w:tc>
          <w:tcPr>
            <w:tcW w:w="7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(1,480)</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(2,708)</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(2,865)</w:t>
            </w:r>
          </w:p>
        </w:tc>
      </w:tr>
      <w:tr>
        <w:trPr>
          <w:trHeight w:val="153"/>
        </w:trPr>
        <w:tc>
          <w:tcPr>
            <w:tcW w:w="6420" w:type="dxa"/>
            <w:vAlign w:val="bottom"/>
          </w:tcPr>
          <w:p>
            <w:pPr>
              <w:ind w:left="80"/>
              <w:spacing w:after="0"/>
              <w:rPr>
                <w:sz w:val="20"/>
                <w:szCs w:val="20"/>
                <w:color w:val="auto"/>
              </w:rPr>
            </w:pPr>
            <w:r>
              <w:rPr>
                <w:rFonts w:ascii="Arial" w:cs="Arial" w:eastAsia="Arial" w:hAnsi="Arial"/>
                <w:sz w:val="12"/>
                <w:szCs w:val="12"/>
                <w:color w:val="auto"/>
              </w:rPr>
              <w:t>Loss on sale of businesses</w:t>
            </w:r>
          </w:p>
        </w:tc>
        <w:tc>
          <w:tcPr>
            <w:tcW w:w="70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(184)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(3,258)</w:t>
            </w:r>
          </w:p>
        </w:tc>
      </w:tr>
      <w:tr>
        <w:trPr>
          <w:trHeight w:val="153"/>
        </w:trPr>
        <w:tc>
          <w:tcPr>
            <w:tcW w:w="642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Interest expense, net of interest income of $580, $668, $1,060 and $1,666, respectively</w:t>
            </w:r>
          </w:p>
        </w:tc>
        <w:tc>
          <w:tcPr>
            <w:tcW w:w="7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(18,051)</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(18,654)</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(35,969)</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(37,441)</w:t>
            </w:r>
          </w:p>
        </w:tc>
      </w:tr>
      <w:tr>
        <w:trPr>
          <w:trHeight w:val="142"/>
        </w:trPr>
        <w:tc>
          <w:tcPr>
            <w:tcW w:w="6420" w:type="dxa"/>
            <w:vAlign w:val="bottom"/>
          </w:tcPr>
          <w:p>
            <w:pPr>
              <w:ind w:left="80"/>
              <w:spacing w:after="0"/>
              <w:rPr>
                <w:sz w:val="20"/>
                <w:szCs w:val="20"/>
                <w:color w:val="auto"/>
              </w:rPr>
            </w:pPr>
            <w:r>
              <w:rPr>
                <w:rFonts w:ascii="Arial" w:cs="Arial" w:eastAsia="Arial" w:hAnsi="Arial"/>
                <w:sz w:val="12"/>
                <w:szCs w:val="12"/>
                <w:b w:val="1"/>
                <w:bCs w:val="1"/>
                <w:color w:val="auto"/>
              </w:rPr>
              <w:t>Income before provision for income taxes</w:t>
            </w:r>
          </w:p>
        </w:tc>
        <w:tc>
          <w:tcPr>
            <w:tcW w:w="7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90,470</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40,882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122,179</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62,152</w:t>
            </w:r>
          </w:p>
        </w:tc>
      </w:tr>
      <w:tr>
        <w:trPr>
          <w:trHeight w:val="153"/>
        </w:trPr>
        <w:tc>
          <w:tcPr>
            <w:tcW w:w="642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Provision for income taxes</w:t>
            </w:r>
          </w:p>
        </w:tc>
        <w:tc>
          <w:tcPr>
            <w:tcW w:w="7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23,395</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11,859</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33,368</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21,557</w:t>
            </w:r>
          </w:p>
        </w:tc>
      </w:tr>
      <w:tr>
        <w:trPr>
          <w:trHeight w:val="158"/>
        </w:trPr>
        <w:tc>
          <w:tcPr>
            <w:tcW w:w="6420" w:type="dxa"/>
            <w:vAlign w:val="bottom"/>
            <w:tcBorders>
              <w:bottom w:val="single" w:sz="8" w:color="CCEEFF"/>
            </w:tcBorders>
          </w:tcPr>
          <w:p>
            <w:pPr>
              <w:ind w:left="80"/>
              <w:spacing w:after="0"/>
              <w:rPr>
                <w:sz w:val="20"/>
                <w:szCs w:val="20"/>
                <w:color w:val="auto"/>
              </w:rPr>
            </w:pPr>
            <w:r>
              <w:rPr>
                <w:rFonts w:ascii="Arial" w:cs="Arial" w:eastAsia="Arial" w:hAnsi="Arial"/>
                <w:sz w:val="12"/>
                <w:szCs w:val="12"/>
                <w:b w:val="1"/>
                <w:bCs w:val="1"/>
                <w:color w:val="auto"/>
              </w:rPr>
              <w:t>Net income</w:t>
            </w:r>
          </w:p>
        </w:tc>
        <w:tc>
          <w:tcPr>
            <w:tcW w:w="700" w:type="dxa"/>
            <w:vAlign w:val="bottom"/>
            <w:tcBorders>
              <w:bottom w:val="single" w:sz="8" w:color="auto"/>
            </w:tcBorders>
          </w:tcPr>
          <w:p>
            <w:pPr>
              <w:jc w:val="right"/>
              <w:ind w:right="562"/>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67,075</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29,023</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88,811</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40,595</w:t>
            </w:r>
          </w:p>
        </w:tc>
      </w:tr>
      <w:tr>
        <w:trPr>
          <w:trHeight w:val="135"/>
        </w:trPr>
        <w:tc>
          <w:tcPr>
            <w:tcW w:w="64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b w:val="1"/>
                <w:bCs w:val="1"/>
                <w:color w:val="auto"/>
              </w:rPr>
              <w:t>Earnings per share:</w:t>
            </w: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69"/>
        </w:trPr>
        <w:tc>
          <w:tcPr>
            <w:tcW w:w="642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Basic</w:t>
            </w:r>
          </w:p>
        </w:tc>
        <w:tc>
          <w:tcPr>
            <w:tcW w:w="700" w:type="dxa"/>
            <w:vAlign w:val="bottom"/>
            <w:tcBorders>
              <w:bottom w:val="single" w:sz="8" w:color="auto"/>
            </w:tcBorders>
          </w:tcPr>
          <w:p>
            <w:pPr>
              <w:jc w:val="right"/>
              <w:ind w:right="562"/>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0.52</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1.63</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0.73</w:t>
            </w:r>
          </w:p>
        </w:tc>
      </w:tr>
      <w:tr>
        <w:trPr>
          <w:trHeight w:val="169"/>
        </w:trPr>
        <w:tc>
          <w:tcPr>
            <w:tcW w:w="6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Diluted</w:t>
            </w:r>
          </w:p>
        </w:tc>
        <w:tc>
          <w:tcPr>
            <w:tcW w:w="700" w:type="dxa"/>
            <w:vAlign w:val="bottom"/>
            <w:tcBorders>
              <w:bottom w:val="single" w:sz="8" w:color="auto"/>
            </w:tcBorders>
            <w:shd w:val="clear" w:color="auto" w:fill="CCEEFF"/>
          </w:tcPr>
          <w:p>
            <w:pPr>
              <w:jc w:val="right"/>
              <w:ind w:right="562"/>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1.22</w:t>
            </w: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0.52</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1.62</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0.73</w:t>
            </w:r>
          </w:p>
        </w:tc>
      </w:tr>
      <w:tr>
        <w:trPr>
          <w:trHeight w:val="169"/>
        </w:trPr>
        <w:tc>
          <w:tcPr>
            <w:tcW w:w="642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Shares used to compute earnings per share - Basic</w:t>
            </w:r>
          </w:p>
        </w:tc>
        <w:tc>
          <w:tcPr>
            <w:tcW w:w="7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54,529</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55,590</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54,625</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55,673</w:t>
            </w:r>
          </w:p>
        </w:tc>
      </w:tr>
      <w:tr>
        <w:trPr>
          <w:trHeight w:val="169"/>
        </w:trPr>
        <w:tc>
          <w:tcPr>
            <w:tcW w:w="64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Shares used to compute earnings per share - Diluted</w:t>
            </w:r>
          </w:p>
        </w:tc>
        <w:tc>
          <w:tcPr>
            <w:tcW w:w="7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54,854</w:t>
            </w:r>
          </w:p>
        </w:tc>
        <w:tc>
          <w:tcPr>
            <w:tcW w:w="1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55,748</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54,945</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55,882</w:t>
            </w: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unaudited consolidated financial statements.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 w:name="page5"/>
    <w:bookmarkEnd w:id="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06" w:lineRule="exact"/>
        <w:rPr>
          <w:sz w:val="20"/>
          <w:szCs w:val="20"/>
          <w:color w:val="auto"/>
        </w:rPr>
      </w:pPr>
    </w:p>
    <w:p>
      <w:pPr>
        <w:ind w:left="4380"/>
        <w:spacing w:after="0"/>
        <w:rPr>
          <w:sz w:val="20"/>
          <w:szCs w:val="20"/>
          <w:color w:val="auto"/>
        </w:rPr>
      </w:pPr>
      <w:r>
        <w:rPr>
          <w:rFonts w:ascii="Arial" w:cs="Arial" w:eastAsia="Arial" w:hAnsi="Arial"/>
          <w:sz w:val="12"/>
          <w:szCs w:val="12"/>
          <w:b w:val="1"/>
          <w:bCs w:val="1"/>
          <w:color w:val="auto"/>
        </w:rPr>
        <w:t>CLEAN HARBORS, INC. AND SUBSIDIARIES</w:t>
      </w:r>
    </w:p>
    <w:p>
      <w:pPr>
        <w:spacing w:after="0" w:line="78" w:lineRule="exact"/>
        <w:rPr>
          <w:sz w:val="20"/>
          <w:szCs w:val="20"/>
          <w:color w:val="auto"/>
        </w:rPr>
      </w:pPr>
    </w:p>
    <w:p>
      <w:pPr>
        <w:ind w:left="3240"/>
        <w:spacing w:after="0"/>
        <w:rPr>
          <w:sz w:val="20"/>
          <w:szCs w:val="20"/>
          <w:color w:val="auto"/>
        </w:rPr>
      </w:pPr>
      <w:r>
        <w:rPr>
          <w:rFonts w:ascii="Arial" w:cs="Arial" w:eastAsia="Arial" w:hAnsi="Arial"/>
          <w:sz w:val="12"/>
          <w:szCs w:val="12"/>
          <w:b w:val="1"/>
          <w:bCs w:val="1"/>
          <w:color w:val="auto"/>
        </w:rPr>
        <w:t>UNAUDITED CONSOLIDATED STATEMENTS OF COMPREHENSIVE INCOME (LOSS)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60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gridSpan w:val="3"/>
          </w:tcPr>
          <w:p>
            <w:pPr>
              <w:jc w:val="right"/>
              <w:spacing w:after="0"/>
              <w:rPr>
                <w:sz w:val="20"/>
                <w:szCs w:val="20"/>
                <w:color w:val="auto"/>
              </w:rPr>
            </w:pPr>
            <w:r>
              <w:rPr>
                <w:rFonts w:ascii="Arial" w:cs="Arial" w:eastAsia="Arial" w:hAnsi="Arial"/>
                <w:sz w:val="10"/>
                <w:szCs w:val="10"/>
                <w:b w:val="1"/>
                <w:bCs w:val="1"/>
                <w:color w:val="auto"/>
                <w:w w:val="92"/>
              </w:rPr>
              <w:t>Three Months Ended</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Six Months Ended</w:t>
            </w:r>
          </w:p>
        </w:tc>
        <w:tc>
          <w:tcPr>
            <w:tcW w:w="820" w:type="dxa"/>
            <w:vAlign w:val="bottom"/>
          </w:tcPr>
          <w:p>
            <w:pPr>
              <w:spacing w:after="0"/>
              <w:rPr>
                <w:sz w:val="10"/>
                <w:szCs w:val="10"/>
                <w:color w:val="auto"/>
              </w:rPr>
            </w:pPr>
          </w:p>
        </w:tc>
      </w:tr>
      <w:tr>
        <w:trPr>
          <w:trHeight w:val="130"/>
        </w:trPr>
        <w:tc>
          <w:tcPr>
            <w:tcW w:w="60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0"/>
                <w:szCs w:val="10"/>
                <w:b w:val="1"/>
                <w:bCs w:val="1"/>
                <w:color w:val="auto"/>
              </w:rPr>
              <w:t>June 30,</w:t>
            </w:r>
          </w:p>
        </w:tc>
        <w:tc>
          <w:tcPr>
            <w:tcW w:w="8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0"/>
                <w:szCs w:val="10"/>
                <w:b w:val="1"/>
                <w:bCs w:val="1"/>
                <w:color w:val="auto"/>
              </w:rPr>
              <w:t>June 30,</w:t>
            </w:r>
          </w:p>
        </w:tc>
        <w:tc>
          <w:tcPr>
            <w:tcW w:w="820" w:type="dxa"/>
            <w:vAlign w:val="bottom"/>
            <w:tcBorders>
              <w:bottom w:val="single" w:sz="8" w:color="auto"/>
            </w:tcBorders>
          </w:tcPr>
          <w:p>
            <w:pPr>
              <w:spacing w:after="0"/>
              <w:rPr>
                <w:sz w:val="11"/>
                <w:szCs w:val="11"/>
                <w:color w:val="auto"/>
              </w:rPr>
            </w:pPr>
          </w:p>
        </w:tc>
      </w:tr>
      <w:tr>
        <w:trPr>
          <w:trHeight w:val="118"/>
        </w:trPr>
        <w:tc>
          <w:tcPr>
            <w:tcW w:w="6020" w:type="dxa"/>
            <w:vAlign w:val="bottom"/>
            <w:tcBorders>
              <w:bottom w:val="single" w:sz="8" w:color="CCEEFF"/>
            </w:tcBorders>
          </w:tcPr>
          <w:p>
            <w:pPr>
              <w:spacing w:after="0"/>
              <w:rPr>
                <w:sz w:val="10"/>
                <w:szCs w:val="10"/>
                <w:color w:val="auto"/>
              </w:rPr>
            </w:pPr>
          </w:p>
        </w:tc>
        <w:tc>
          <w:tcPr>
            <w:tcW w:w="80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b w:val="1"/>
                <w:bCs w:val="1"/>
                <w:color w:val="auto"/>
              </w:rPr>
              <w:t>2021</w:t>
            </w: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84"/>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482"/>
              <w:spacing w:after="0"/>
              <w:rPr>
                <w:sz w:val="20"/>
                <w:szCs w:val="20"/>
                <w:color w:val="auto"/>
              </w:rPr>
            </w:pPr>
            <w:r>
              <w:rPr>
                <w:rFonts w:ascii="Arial" w:cs="Arial" w:eastAsia="Arial" w:hAnsi="Arial"/>
                <w:sz w:val="10"/>
                <w:szCs w:val="10"/>
                <w:b w:val="1"/>
                <w:bCs w:val="1"/>
                <w:color w:val="auto"/>
              </w:rPr>
              <w:t>2020</w:t>
            </w:r>
          </w:p>
        </w:tc>
      </w:tr>
      <w:tr>
        <w:trPr>
          <w:trHeight w:val="143"/>
        </w:trPr>
        <w:tc>
          <w:tcPr>
            <w:tcW w:w="6020" w:type="dxa"/>
            <w:vAlign w:val="bottom"/>
            <w:shd w:val="clear" w:color="auto" w:fill="CCEEFF"/>
          </w:tcPr>
          <w:p>
            <w:pPr>
              <w:ind w:left="80"/>
              <w:spacing w:after="0"/>
              <w:rPr>
                <w:sz w:val="20"/>
                <w:szCs w:val="20"/>
                <w:color w:val="auto"/>
              </w:rPr>
            </w:pPr>
            <w:r>
              <w:rPr>
                <w:rFonts w:ascii="Arial" w:cs="Arial" w:eastAsia="Arial" w:hAnsi="Arial"/>
                <w:sz w:val="12"/>
                <w:szCs w:val="12"/>
                <w:color w:val="auto"/>
              </w:rPr>
              <w:t>Net income</w:t>
            </w:r>
          </w:p>
        </w:tc>
        <w:tc>
          <w:tcPr>
            <w:tcW w:w="800" w:type="dxa"/>
            <w:vAlign w:val="bottom"/>
            <w:shd w:val="clear" w:color="auto" w:fill="CCEEFF"/>
          </w:tcPr>
          <w:p>
            <w:pPr>
              <w:jc w:val="right"/>
              <w:ind w:right="664"/>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67,075</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29,023</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88,811</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40,595</w:t>
            </w:r>
          </w:p>
        </w:tc>
      </w:tr>
      <w:tr>
        <w:trPr>
          <w:trHeight w:val="153"/>
        </w:trPr>
        <w:tc>
          <w:tcPr>
            <w:tcW w:w="6020" w:type="dxa"/>
            <w:vAlign w:val="bottom"/>
          </w:tcPr>
          <w:p>
            <w:pPr>
              <w:ind w:left="80"/>
              <w:spacing w:after="0"/>
              <w:rPr>
                <w:sz w:val="20"/>
                <w:szCs w:val="20"/>
                <w:color w:val="auto"/>
              </w:rPr>
            </w:pPr>
            <w:r>
              <w:rPr>
                <w:rFonts w:ascii="Arial" w:cs="Arial" w:eastAsia="Arial" w:hAnsi="Arial"/>
                <w:sz w:val="12"/>
                <w:szCs w:val="12"/>
                <w:color w:val="auto"/>
              </w:rPr>
              <w:t>Other comprehensive income (loss), net of tax:</w:t>
            </w: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3"/>
        </w:trPr>
        <w:tc>
          <w:tcPr>
            <w:tcW w:w="60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Unrealized (losses) gains on available-for-sale securities</w:t>
            </w:r>
          </w:p>
        </w:tc>
        <w:tc>
          <w:tcPr>
            <w:tcW w:w="8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296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232</w:t>
            </w:r>
          </w:p>
        </w:tc>
      </w:tr>
      <w:tr>
        <w:trPr>
          <w:trHeight w:val="153"/>
        </w:trPr>
        <w:tc>
          <w:tcPr>
            <w:tcW w:w="6020" w:type="dxa"/>
            <w:vAlign w:val="bottom"/>
          </w:tcPr>
          <w:p>
            <w:pPr>
              <w:ind w:left="220"/>
              <w:spacing w:after="0"/>
              <w:rPr>
                <w:sz w:val="20"/>
                <w:szCs w:val="20"/>
                <w:color w:val="auto"/>
              </w:rPr>
            </w:pPr>
            <w:r>
              <w:rPr>
                <w:rFonts w:ascii="Arial" w:cs="Arial" w:eastAsia="Arial" w:hAnsi="Arial"/>
                <w:sz w:val="12"/>
                <w:szCs w:val="12"/>
                <w:color w:val="auto"/>
              </w:rPr>
              <w:t>Unrealized (losses) gains on interest rate hedge</w:t>
            </w:r>
          </w:p>
        </w:tc>
        <w:tc>
          <w:tcPr>
            <w:tcW w:w="8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(349)</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(3,000)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4"/>
              <w:spacing w:after="0"/>
              <w:rPr>
                <w:sz w:val="20"/>
                <w:szCs w:val="20"/>
                <w:color w:val="auto"/>
              </w:rPr>
            </w:pPr>
            <w:r>
              <w:rPr>
                <w:rFonts w:ascii="Arial" w:cs="Arial" w:eastAsia="Arial" w:hAnsi="Arial"/>
                <w:sz w:val="12"/>
                <w:szCs w:val="12"/>
                <w:color w:val="auto"/>
              </w:rPr>
              <w:t>2,759</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(21,382)</w:t>
            </w:r>
          </w:p>
        </w:tc>
      </w:tr>
      <w:tr>
        <w:trPr>
          <w:trHeight w:val="153"/>
        </w:trPr>
        <w:tc>
          <w:tcPr>
            <w:tcW w:w="60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Reclassification adjustment for losses on interest rate hedge included in net income</w:t>
            </w:r>
          </w:p>
        </w:tc>
        <w:tc>
          <w:tcPr>
            <w:tcW w:w="8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2,494</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2,130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4,942</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3,228</w:t>
            </w:r>
          </w:p>
        </w:tc>
      </w:tr>
      <w:tr>
        <w:trPr>
          <w:trHeight w:val="153"/>
        </w:trPr>
        <w:tc>
          <w:tcPr>
            <w:tcW w:w="602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Foreign currency translation adjustments</w:t>
            </w:r>
          </w:p>
        </w:tc>
        <w:tc>
          <w:tcPr>
            <w:tcW w:w="8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8,543</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18,102</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15,009</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(23,856)</w:t>
            </w:r>
          </w:p>
        </w:tc>
      </w:tr>
      <w:tr>
        <w:trPr>
          <w:trHeight w:val="142"/>
        </w:trPr>
        <w:tc>
          <w:tcPr>
            <w:tcW w:w="602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 comprehensive income (loss), net of tax</w:t>
            </w:r>
          </w:p>
        </w:tc>
        <w:tc>
          <w:tcPr>
            <w:tcW w:w="8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10,640</w:t>
            </w:r>
          </w:p>
        </w:tc>
        <w:tc>
          <w:tcPr>
            <w:tcW w:w="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17,528</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22,588</w:t>
            </w:r>
          </w:p>
        </w:tc>
        <w:tc>
          <w:tcPr>
            <w:tcW w:w="8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(41,778)</w:t>
            </w:r>
          </w:p>
        </w:tc>
      </w:tr>
      <w:tr>
        <w:trPr>
          <w:trHeight w:val="142"/>
        </w:trPr>
        <w:tc>
          <w:tcPr>
            <w:tcW w:w="6020" w:type="dxa"/>
            <w:vAlign w:val="bottom"/>
          </w:tcPr>
          <w:p>
            <w:pPr>
              <w:ind w:left="80"/>
              <w:spacing w:after="0"/>
              <w:rPr>
                <w:sz w:val="20"/>
                <w:szCs w:val="20"/>
                <w:color w:val="auto"/>
              </w:rPr>
            </w:pPr>
            <w:r>
              <w:rPr>
                <w:rFonts w:ascii="Arial" w:cs="Arial" w:eastAsia="Arial" w:hAnsi="Arial"/>
                <w:sz w:val="12"/>
                <w:szCs w:val="12"/>
                <w:color w:val="auto"/>
              </w:rPr>
              <w:t>Comprehensive income (loss)</w:t>
            </w:r>
          </w:p>
        </w:tc>
        <w:tc>
          <w:tcPr>
            <w:tcW w:w="800" w:type="dxa"/>
            <w:vAlign w:val="bottom"/>
            <w:tcBorders>
              <w:bottom w:val="single" w:sz="8" w:color="auto"/>
            </w:tcBorders>
          </w:tcPr>
          <w:p>
            <w:pPr>
              <w:jc w:val="right"/>
              <w:ind w:right="664"/>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77,715</w:t>
            </w:r>
          </w:p>
        </w:tc>
        <w:tc>
          <w:tcPr>
            <w:tcW w:w="80" w:type="dxa"/>
            <w:vAlign w:val="bottom"/>
          </w:tcPr>
          <w:p>
            <w:pPr>
              <w:spacing w:after="0"/>
              <w:rPr>
                <w:sz w:val="12"/>
                <w:szCs w:val="12"/>
                <w:color w:val="auto"/>
              </w:rPr>
            </w:pPr>
          </w:p>
        </w:tc>
        <w:tc>
          <w:tcPr>
            <w:tcW w:w="4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46,551</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111,399</w:t>
            </w:r>
          </w:p>
        </w:tc>
        <w:tc>
          <w:tcPr>
            <w:tcW w:w="80" w:type="dxa"/>
            <w:vAlign w:val="bottom"/>
          </w:tcPr>
          <w:p>
            <w:pPr>
              <w:spacing w:after="0"/>
              <w:rPr>
                <w:sz w:val="12"/>
                <w:szCs w:val="12"/>
                <w:color w:val="auto"/>
              </w:rPr>
            </w:pPr>
          </w:p>
        </w:tc>
        <w:tc>
          <w:tcPr>
            <w:tcW w:w="4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(1,183)</w:t>
            </w:r>
          </w:p>
        </w:tc>
      </w:tr>
      <w:tr>
        <w:trPr>
          <w:trHeight w:val="20"/>
        </w:trPr>
        <w:tc>
          <w:tcPr>
            <w:tcW w:w="60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unaudited consolidated financial statements.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 w:name="page6"/>
    <w:bookmarkEnd w:id="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06" w:lineRule="exact"/>
        <w:rPr>
          <w:sz w:val="20"/>
          <w:szCs w:val="20"/>
          <w:color w:val="auto"/>
        </w:rPr>
      </w:pPr>
    </w:p>
    <w:p>
      <w:pPr>
        <w:ind w:left="4380"/>
        <w:spacing w:after="0"/>
        <w:rPr>
          <w:sz w:val="20"/>
          <w:szCs w:val="20"/>
          <w:color w:val="auto"/>
        </w:rPr>
      </w:pPr>
      <w:r>
        <w:rPr>
          <w:rFonts w:ascii="Arial" w:cs="Arial" w:eastAsia="Arial" w:hAnsi="Arial"/>
          <w:sz w:val="12"/>
          <w:szCs w:val="12"/>
          <w:b w:val="1"/>
          <w:bCs w:val="1"/>
          <w:color w:val="auto"/>
        </w:rPr>
        <w:t>CLEAN HARBORS, INC. AND SUBSIDIARIES</w:t>
      </w:r>
    </w:p>
    <w:p>
      <w:pPr>
        <w:spacing w:after="0" w:line="78" w:lineRule="exact"/>
        <w:rPr>
          <w:sz w:val="20"/>
          <w:szCs w:val="20"/>
          <w:color w:val="auto"/>
        </w:rPr>
      </w:pPr>
    </w:p>
    <w:p>
      <w:pPr>
        <w:ind w:left="3860"/>
        <w:spacing w:after="0"/>
        <w:rPr>
          <w:sz w:val="20"/>
          <w:szCs w:val="20"/>
          <w:color w:val="auto"/>
        </w:rPr>
      </w:pPr>
      <w:r>
        <w:rPr>
          <w:rFonts w:ascii="Arial" w:cs="Arial" w:eastAsia="Arial" w:hAnsi="Arial"/>
          <w:sz w:val="12"/>
          <w:szCs w:val="12"/>
          <w:b w:val="1"/>
          <w:bCs w:val="1"/>
          <w:color w:val="auto"/>
        </w:rPr>
        <w:t>UNAUDITED CONSOLIDATED STATEMENTS OF CASH FLOWS</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(in thousands)</w:t>
      </w:r>
    </w:p>
    <w:p>
      <w:pPr>
        <w:spacing w:after="0" w:line="19" w:lineRule="exact"/>
        <w:rPr>
          <w:sz w:val="20"/>
          <w:szCs w:val="20"/>
          <w:color w:val="auto"/>
        </w:rPr>
      </w:pPr>
    </w:p>
    <w:tbl>
      <w:tblPr>
        <w:tblLayout w:type="fixed"/>
        <w:tblInd w:w="60" w:type="dxa"/>
        <w:tblCellMar>
          <w:top w:w="0" w:type="dxa"/>
          <w:left w:w="0" w:type="dxa"/>
          <w:bottom w:w="0" w:type="dxa"/>
          <w:right w:w="0" w:type="dxa"/>
        </w:tblCellMar>
      </w:tblPr>
      <w:tr>
        <w:trPr>
          <w:trHeight w:val="123"/>
        </w:trPr>
        <w:tc>
          <w:tcPr>
            <w:tcW w:w="8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20" w:type="dxa"/>
            <w:vAlign w:val="bottom"/>
            <w:gridSpan w:val="3"/>
          </w:tcPr>
          <w:p>
            <w:pPr>
              <w:jc w:val="right"/>
              <w:ind w:right="111"/>
              <w:spacing w:after="0"/>
              <w:rPr>
                <w:sz w:val="20"/>
                <w:szCs w:val="20"/>
                <w:color w:val="auto"/>
              </w:rPr>
            </w:pPr>
            <w:r>
              <w:rPr>
                <w:rFonts w:ascii="Arial" w:cs="Arial" w:eastAsia="Arial" w:hAnsi="Arial"/>
                <w:sz w:val="10"/>
                <w:szCs w:val="10"/>
                <w:b w:val="1"/>
                <w:bCs w:val="1"/>
                <w:color w:val="auto"/>
              </w:rPr>
              <w:t>Six Months Ended</w:t>
            </w:r>
          </w:p>
        </w:tc>
        <w:tc>
          <w:tcPr>
            <w:tcW w:w="980" w:type="dxa"/>
            <w:vAlign w:val="bottom"/>
          </w:tcPr>
          <w:p>
            <w:pPr>
              <w:spacing w:after="0"/>
              <w:rPr>
                <w:sz w:val="10"/>
                <w:szCs w:val="10"/>
                <w:color w:val="auto"/>
              </w:rPr>
            </w:pPr>
          </w:p>
        </w:tc>
      </w:tr>
      <w:tr>
        <w:trPr>
          <w:trHeight w:val="130"/>
        </w:trPr>
        <w:tc>
          <w:tcPr>
            <w:tcW w:w="816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tcPr>
          <w:p>
            <w:pPr>
              <w:jc w:val="right"/>
              <w:ind w:right="311"/>
              <w:spacing w:after="0"/>
              <w:rPr>
                <w:sz w:val="20"/>
                <w:szCs w:val="20"/>
                <w:color w:val="auto"/>
              </w:rPr>
            </w:pPr>
            <w:r>
              <w:rPr>
                <w:rFonts w:ascii="Arial" w:cs="Arial" w:eastAsia="Arial" w:hAnsi="Arial"/>
                <w:sz w:val="10"/>
                <w:szCs w:val="10"/>
                <w:b w:val="1"/>
                <w:bCs w:val="1"/>
                <w:color w:val="auto"/>
              </w:rPr>
              <w:t>June 30,</w:t>
            </w:r>
          </w:p>
        </w:tc>
        <w:tc>
          <w:tcPr>
            <w:tcW w:w="980" w:type="dxa"/>
            <w:vAlign w:val="bottom"/>
            <w:tcBorders>
              <w:bottom w:val="single" w:sz="8" w:color="auto"/>
            </w:tcBorders>
          </w:tcPr>
          <w:p>
            <w:pPr>
              <w:spacing w:after="0"/>
              <w:rPr>
                <w:sz w:val="11"/>
                <w:szCs w:val="11"/>
                <w:color w:val="auto"/>
              </w:rPr>
            </w:pPr>
          </w:p>
        </w:tc>
      </w:tr>
      <w:tr>
        <w:trPr>
          <w:trHeight w:val="118"/>
        </w:trPr>
        <w:tc>
          <w:tcPr>
            <w:tcW w:w="8160" w:type="dxa"/>
            <w:vAlign w:val="bottom"/>
            <w:tcBorders>
              <w:bottom w:val="single" w:sz="8" w:color="CCEEFF"/>
            </w:tcBorders>
          </w:tcPr>
          <w:p>
            <w:pPr>
              <w:spacing w:after="0"/>
              <w:rPr>
                <w:sz w:val="10"/>
                <w:szCs w:val="10"/>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2021</w:t>
            </w: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586"/>
              <w:spacing w:after="0"/>
              <w:rPr>
                <w:sz w:val="20"/>
                <w:szCs w:val="20"/>
                <w:color w:val="auto"/>
              </w:rPr>
            </w:pPr>
            <w:r>
              <w:rPr>
                <w:rFonts w:ascii="Arial" w:cs="Arial" w:eastAsia="Arial" w:hAnsi="Arial"/>
                <w:sz w:val="10"/>
                <w:szCs w:val="10"/>
                <w:b w:val="1"/>
                <w:bCs w:val="1"/>
                <w:color w:val="auto"/>
              </w:rPr>
              <w:t>2020</w:t>
            </w:r>
          </w:p>
        </w:tc>
      </w:tr>
      <w:tr>
        <w:trPr>
          <w:trHeight w:val="125"/>
        </w:trPr>
        <w:tc>
          <w:tcPr>
            <w:tcW w:w="81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Cash flows from operating activities:</w:t>
            </w:r>
          </w:p>
        </w:tc>
        <w:tc>
          <w:tcPr>
            <w:tcW w:w="9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42"/>
        </w:trPr>
        <w:tc>
          <w:tcPr>
            <w:tcW w:w="8160" w:type="dxa"/>
            <w:vAlign w:val="bottom"/>
          </w:tcPr>
          <w:p>
            <w:pPr>
              <w:ind w:left="220"/>
              <w:spacing w:after="0"/>
              <w:rPr>
                <w:sz w:val="20"/>
                <w:szCs w:val="20"/>
                <w:color w:val="auto"/>
              </w:rPr>
            </w:pPr>
            <w:r>
              <w:rPr>
                <w:rFonts w:ascii="Arial" w:cs="Arial" w:eastAsia="Arial" w:hAnsi="Arial"/>
                <w:sz w:val="11"/>
                <w:szCs w:val="11"/>
                <w:color w:val="auto"/>
              </w:rPr>
              <w:t>Net income</w:t>
            </w:r>
          </w:p>
        </w:tc>
        <w:tc>
          <w:tcPr>
            <w:tcW w:w="920" w:type="dxa"/>
            <w:vAlign w:val="bottom"/>
          </w:tcPr>
          <w:p>
            <w:pPr>
              <w:jc w:val="right"/>
              <w:ind w:right="812"/>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88,811</w:t>
            </w:r>
          </w:p>
        </w:tc>
        <w:tc>
          <w:tcPr>
            <w:tcW w:w="100" w:type="dxa"/>
            <w:vAlign w:val="bottom"/>
          </w:tcPr>
          <w:p>
            <w:pPr>
              <w:spacing w:after="0"/>
              <w:rPr>
                <w:sz w:val="12"/>
                <w:szCs w:val="12"/>
                <w:color w:val="auto"/>
              </w:rPr>
            </w:pPr>
          </w:p>
        </w:tc>
        <w:tc>
          <w:tcPr>
            <w:tcW w:w="480" w:type="dxa"/>
            <w:vAlign w:val="bottom"/>
          </w:tcPr>
          <w:p>
            <w:pPr>
              <w:jc w:val="right"/>
              <w:ind w:right="371"/>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40,595</w:t>
            </w:r>
          </w:p>
        </w:tc>
      </w:tr>
      <w:tr>
        <w:trPr>
          <w:trHeight w:val="146"/>
        </w:trPr>
        <w:tc>
          <w:tcPr>
            <w:tcW w:w="8160" w:type="dxa"/>
            <w:vAlign w:val="bottom"/>
            <w:shd w:val="clear" w:color="auto" w:fill="CCEEFF"/>
          </w:tcPr>
          <w:p>
            <w:pPr>
              <w:ind w:left="80"/>
              <w:spacing w:after="0"/>
              <w:rPr>
                <w:sz w:val="20"/>
                <w:szCs w:val="20"/>
                <w:color w:val="auto"/>
              </w:rPr>
            </w:pPr>
            <w:r>
              <w:rPr>
                <w:rFonts w:ascii="Arial" w:cs="Arial" w:eastAsia="Arial" w:hAnsi="Arial"/>
                <w:sz w:val="11"/>
                <w:szCs w:val="11"/>
                <w:color w:val="auto"/>
              </w:rPr>
              <w:t>Adjustments to reconcile net income to net cash from operating activities:</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42"/>
        </w:trPr>
        <w:tc>
          <w:tcPr>
            <w:tcW w:w="8160" w:type="dxa"/>
            <w:vAlign w:val="bottom"/>
          </w:tcPr>
          <w:p>
            <w:pPr>
              <w:ind w:left="220"/>
              <w:spacing w:after="0"/>
              <w:rPr>
                <w:sz w:val="20"/>
                <w:szCs w:val="20"/>
                <w:color w:val="auto"/>
              </w:rPr>
            </w:pPr>
            <w:r>
              <w:rPr>
                <w:rFonts w:ascii="Arial" w:cs="Arial" w:eastAsia="Arial" w:hAnsi="Arial"/>
                <w:sz w:val="11"/>
                <w:szCs w:val="11"/>
                <w:color w:val="auto"/>
              </w:rPr>
              <w:t>Depreciation and amortization</w:t>
            </w:r>
          </w:p>
        </w:tc>
        <w:tc>
          <w:tcPr>
            <w:tcW w:w="9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143,755</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147,027</w:t>
            </w:r>
          </w:p>
        </w:tc>
      </w:tr>
      <w:tr>
        <w:trPr>
          <w:trHeight w:val="146"/>
        </w:trPr>
        <w:tc>
          <w:tcPr>
            <w:tcW w:w="81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Allowance for doubtful accounts</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2,109</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9,006</w:t>
            </w:r>
          </w:p>
        </w:tc>
      </w:tr>
      <w:tr>
        <w:trPr>
          <w:trHeight w:val="142"/>
        </w:trPr>
        <w:tc>
          <w:tcPr>
            <w:tcW w:w="8160" w:type="dxa"/>
            <w:vAlign w:val="bottom"/>
          </w:tcPr>
          <w:p>
            <w:pPr>
              <w:ind w:left="220"/>
              <w:spacing w:after="0"/>
              <w:rPr>
                <w:sz w:val="20"/>
                <w:szCs w:val="20"/>
                <w:color w:val="auto"/>
              </w:rPr>
            </w:pPr>
            <w:r>
              <w:rPr>
                <w:rFonts w:ascii="Arial" w:cs="Arial" w:eastAsia="Arial" w:hAnsi="Arial"/>
                <w:sz w:val="11"/>
                <w:szCs w:val="11"/>
                <w:color w:val="auto"/>
              </w:rPr>
              <w:t>Amortization of deferred financing costs and debt discount</w:t>
            </w:r>
          </w:p>
        </w:tc>
        <w:tc>
          <w:tcPr>
            <w:tcW w:w="9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1,806</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1,787</w:t>
            </w:r>
          </w:p>
        </w:tc>
      </w:tr>
      <w:tr>
        <w:trPr>
          <w:trHeight w:val="146"/>
        </w:trPr>
        <w:tc>
          <w:tcPr>
            <w:tcW w:w="81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Accretion of environmental liabilities</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5,826</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5,327</w:t>
            </w:r>
          </w:p>
        </w:tc>
      </w:tr>
      <w:tr>
        <w:trPr>
          <w:trHeight w:val="142"/>
        </w:trPr>
        <w:tc>
          <w:tcPr>
            <w:tcW w:w="8160" w:type="dxa"/>
            <w:vAlign w:val="bottom"/>
          </w:tcPr>
          <w:p>
            <w:pPr>
              <w:ind w:left="220"/>
              <w:spacing w:after="0"/>
              <w:rPr>
                <w:sz w:val="20"/>
                <w:szCs w:val="20"/>
                <w:color w:val="auto"/>
              </w:rPr>
            </w:pPr>
            <w:r>
              <w:rPr>
                <w:rFonts w:ascii="Arial" w:cs="Arial" w:eastAsia="Arial" w:hAnsi="Arial"/>
                <w:sz w:val="11"/>
                <w:szCs w:val="11"/>
                <w:color w:val="auto"/>
              </w:rPr>
              <w:t>Changes in environmental liability estimates</w:t>
            </w:r>
          </w:p>
        </w:tc>
        <w:tc>
          <w:tcPr>
            <w:tcW w:w="9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445</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5,607</w:t>
            </w:r>
          </w:p>
        </w:tc>
      </w:tr>
      <w:tr>
        <w:trPr>
          <w:trHeight w:val="146"/>
        </w:trPr>
        <w:tc>
          <w:tcPr>
            <w:tcW w:w="81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Deferred income taxes</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1,912</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8160" w:type="dxa"/>
            <w:vAlign w:val="bottom"/>
          </w:tcPr>
          <w:p>
            <w:pPr>
              <w:ind w:left="220"/>
              <w:spacing w:after="0"/>
              <w:rPr>
                <w:sz w:val="20"/>
                <w:szCs w:val="20"/>
                <w:color w:val="auto"/>
              </w:rPr>
            </w:pPr>
            <w:r>
              <w:rPr>
                <w:rFonts w:ascii="Arial" w:cs="Arial" w:eastAsia="Arial" w:hAnsi="Arial"/>
                <w:sz w:val="11"/>
                <w:szCs w:val="11"/>
                <w:color w:val="auto"/>
              </w:rPr>
              <w:t>Other expense, net</w:t>
            </w:r>
          </w:p>
        </w:tc>
        <w:tc>
          <w:tcPr>
            <w:tcW w:w="9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2,708</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2,865</w:t>
            </w:r>
          </w:p>
        </w:tc>
      </w:tr>
      <w:tr>
        <w:trPr>
          <w:trHeight w:val="146"/>
        </w:trPr>
        <w:tc>
          <w:tcPr>
            <w:tcW w:w="81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Stock-based compensation</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6,785</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6,077</w:t>
            </w:r>
          </w:p>
        </w:tc>
      </w:tr>
      <w:tr>
        <w:trPr>
          <w:trHeight w:val="142"/>
        </w:trPr>
        <w:tc>
          <w:tcPr>
            <w:tcW w:w="8160" w:type="dxa"/>
            <w:vAlign w:val="bottom"/>
          </w:tcPr>
          <w:p>
            <w:pPr>
              <w:ind w:left="220"/>
              <w:spacing w:after="0"/>
              <w:rPr>
                <w:sz w:val="20"/>
                <w:szCs w:val="20"/>
                <w:color w:val="auto"/>
              </w:rPr>
            </w:pPr>
            <w:r>
              <w:rPr>
                <w:rFonts w:ascii="Arial" w:cs="Arial" w:eastAsia="Arial" w:hAnsi="Arial"/>
                <w:sz w:val="11"/>
                <w:szCs w:val="11"/>
                <w:color w:val="auto"/>
              </w:rPr>
              <w:t>Loss on sale of businesses</w:t>
            </w:r>
          </w:p>
        </w:tc>
        <w:tc>
          <w:tcPr>
            <w:tcW w:w="92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3,258</w:t>
            </w:r>
          </w:p>
        </w:tc>
      </w:tr>
      <w:tr>
        <w:trPr>
          <w:trHeight w:val="146"/>
        </w:trPr>
        <w:tc>
          <w:tcPr>
            <w:tcW w:w="81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Environmental expenditures</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(6,594)</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(6,104)</w:t>
            </w:r>
          </w:p>
        </w:tc>
      </w:tr>
      <w:tr>
        <w:trPr>
          <w:trHeight w:val="142"/>
        </w:trPr>
        <w:tc>
          <w:tcPr>
            <w:tcW w:w="8160" w:type="dxa"/>
            <w:vAlign w:val="bottom"/>
          </w:tcPr>
          <w:p>
            <w:pPr>
              <w:ind w:left="220"/>
              <w:spacing w:after="0"/>
              <w:rPr>
                <w:sz w:val="20"/>
                <w:szCs w:val="20"/>
                <w:color w:val="auto"/>
              </w:rPr>
            </w:pPr>
            <w:r>
              <w:rPr>
                <w:rFonts w:ascii="Arial" w:cs="Arial" w:eastAsia="Arial" w:hAnsi="Arial"/>
                <w:sz w:val="11"/>
                <w:szCs w:val="11"/>
                <w:color w:val="auto"/>
              </w:rPr>
              <w:t>Changes in assets and liabilities, net of acquisitions:</w:t>
            </w: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6"/>
        </w:trPr>
        <w:tc>
          <w:tcPr>
            <w:tcW w:w="8160" w:type="dxa"/>
            <w:vAlign w:val="bottom"/>
            <w:shd w:val="clear" w:color="auto" w:fill="CCEEFF"/>
          </w:tcPr>
          <w:p>
            <w:pPr>
              <w:ind w:left="320"/>
              <w:spacing w:after="0"/>
              <w:rPr>
                <w:sz w:val="20"/>
                <w:szCs w:val="20"/>
                <w:color w:val="auto"/>
              </w:rPr>
            </w:pPr>
            <w:r>
              <w:rPr>
                <w:rFonts w:ascii="Arial" w:cs="Arial" w:eastAsia="Arial" w:hAnsi="Arial"/>
                <w:sz w:val="11"/>
                <w:szCs w:val="11"/>
                <w:color w:val="auto"/>
              </w:rPr>
              <w:t>Accounts receivable and unbilled accounts receivable</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(51,285)</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67,540</w:t>
            </w:r>
          </w:p>
        </w:tc>
      </w:tr>
      <w:tr>
        <w:trPr>
          <w:trHeight w:val="142"/>
        </w:trPr>
        <w:tc>
          <w:tcPr>
            <w:tcW w:w="8160" w:type="dxa"/>
            <w:vAlign w:val="bottom"/>
          </w:tcPr>
          <w:p>
            <w:pPr>
              <w:ind w:left="320"/>
              <w:spacing w:after="0"/>
              <w:rPr>
                <w:sz w:val="20"/>
                <w:szCs w:val="20"/>
                <w:color w:val="auto"/>
              </w:rPr>
            </w:pPr>
            <w:r>
              <w:rPr>
                <w:rFonts w:ascii="Arial" w:cs="Arial" w:eastAsia="Arial" w:hAnsi="Arial"/>
                <w:sz w:val="11"/>
                <w:szCs w:val="11"/>
                <w:color w:val="auto"/>
              </w:rPr>
              <w:t>Inventories and supplies</w:t>
            </w:r>
          </w:p>
        </w:tc>
        <w:tc>
          <w:tcPr>
            <w:tcW w:w="9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765</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(9,024)</w:t>
            </w:r>
          </w:p>
        </w:tc>
      </w:tr>
      <w:tr>
        <w:trPr>
          <w:trHeight w:val="146"/>
        </w:trPr>
        <w:tc>
          <w:tcPr>
            <w:tcW w:w="8160" w:type="dxa"/>
            <w:vAlign w:val="bottom"/>
            <w:shd w:val="clear" w:color="auto" w:fill="CCEEFF"/>
          </w:tcPr>
          <w:p>
            <w:pPr>
              <w:ind w:left="320"/>
              <w:spacing w:after="0"/>
              <w:rPr>
                <w:sz w:val="20"/>
                <w:szCs w:val="20"/>
                <w:color w:val="auto"/>
              </w:rPr>
            </w:pPr>
            <w:r>
              <w:rPr>
                <w:rFonts w:ascii="Arial" w:cs="Arial" w:eastAsia="Arial" w:hAnsi="Arial"/>
                <w:sz w:val="11"/>
                <w:szCs w:val="11"/>
                <w:color w:val="auto"/>
              </w:rPr>
              <w:t>Other current and non-current assets</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(12,043)</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(25,840)</w:t>
            </w:r>
          </w:p>
        </w:tc>
      </w:tr>
      <w:tr>
        <w:trPr>
          <w:trHeight w:val="142"/>
        </w:trPr>
        <w:tc>
          <w:tcPr>
            <w:tcW w:w="8160" w:type="dxa"/>
            <w:vAlign w:val="bottom"/>
          </w:tcPr>
          <w:p>
            <w:pPr>
              <w:ind w:left="320"/>
              <w:spacing w:after="0"/>
              <w:rPr>
                <w:sz w:val="20"/>
                <w:szCs w:val="20"/>
                <w:color w:val="auto"/>
              </w:rPr>
            </w:pPr>
            <w:r>
              <w:rPr>
                <w:rFonts w:ascii="Arial" w:cs="Arial" w:eastAsia="Arial" w:hAnsi="Arial"/>
                <w:sz w:val="11"/>
                <w:szCs w:val="11"/>
                <w:color w:val="auto"/>
              </w:rPr>
              <w:t>Accounts payable</w:t>
            </w:r>
          </w:p>
        </w:tc>
        <w:tc>
          <w:tcPr>
            <w:tcW w:w="9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49,880</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(82,134)</w:t>
            </w:r>
          </w:p>
        </w:tc>
      </w:tr>
      <w:tr>
        <w:trPr>
          <w:trHeight w:val="146"/>
        </w:trPr>
        <w:tc>
          <w:tcPr>
            <w:tcW w:w="8160" w:type="dxa"/>
            <w:vAlign w:val="bottom"/>
            <w:shd w:val="clear" w:color="auto" w:fill="CCEEFF"/>
          </w:tcPr>
          <w:p>
            <w:pPr>
              <w:ind w:left="320"/>
              <w:spacing w:after="0"/>
              <w:rPr>
                <w:sz w:val="20"/>
                <w:szCs w:val="20"/>
                <w:color w:val="auto"/>
              </w:rPr>
            </w:pPr>
            <w:r>
              <w:rPr>
                <w:rFonts w:ascii="Arial" w:cs="Arial" w:eastAsia="Arial" w:hAnsi="Arial"/>
                <w:sz w:val="11"/>
                <w:szCs w:val="11"/>
                <w:color w:val="auto"/>
              </w:rPr>
              <w:t>Other current and long-term liabilities</w:t>
            </w:r>
          </w:p>
        </w:tc>
        <w:tc>
          <w:tcPr>
            <w:tcW w:w="9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30,552</w:t>
            </w:r>
          </w:p>
        </w:tc>
        <w:tc>
          <w:tcPr>
            <w:tcW w:w="10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7,499</w:t>
            </w:r>
          </w:p>
        </w:tc>
      </w:tr>
      <w:tr>
        <w:trPr>
          <w:trHeight w:val="131"/>
        </w:trPr>
        <w:tc>
          <w:tcPr>
            <w:tcW w:w="8160" w:type="dxa"/>
            <w:vAlign w:val="bottom"/>
            <w:tcBorders>
              <w:bottom w:val="single" w:sz="8" w:color="CCEEFF"/>
            </w:tcBorders>
          </w:tcPr>
          <w:p>
            <w:pPr>
              <w:ind w:left="320"/>
              <w:spacing w:after="0"/>
              <w:rPr>
                <w:sz w:val="20"/>
                <w:szCs w:val="20"/>
                <w:color w:val="auto"/>
              </w:rPr>
            </w:pPr>
            <w:r>
              <w:rPr>
                <w:rFonts w:ascii="Arial" w:cs="Arial" w:eastAsia="Arial" w:hAnsi="Arial"/>
                <w:sz w:val="11"/>
                <w:szCs w:val="11"/>
                <w:color w:val="auto"/>
              </w:rPr>
              <w:t>Net cash from operating activities</w:t>
            </w:r>
          </w:p>
        </w:tc>
        <w:tc>
          <w:tcPr>
            <w:tcW w:w="9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265,432</w:t>
            </w: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173,486</w:t>
            </w:r>
          </w:p>
        </w:tc>
      </w:tr>
      <w:tr>
        <w:trPr>
          <w:trHeight w:val="126"/>
        </w:trPr>
        <w:tc>
          <w:tcPr>
            <w:tcW w:w="81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Cash flows used in investing activities:</w:t>
            </w:r>
          </w:p>
        </w:tc>
        <w:tc>
          <w:tcPr>
            <w:tcW w:w="9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42"/>
        </w:trPr>
        <w:tc>
          <w:tcPr>
            <w:tcW w:w="8160" w:type="dxa"/>
            <w:vAlign w:val="bottom"/>
          </w:tcPr>
          <w:p>
            <w:pPr>
              <w:ind w:left="220"/>
              <w:spacing w:after="0"/>
              <w:rPr>
                <w:sz w:val="20"/>
                <w:szCs w:val="20"/>
                <w:color w:val="auto"/>
              </w:rPr>
            </w:pPr>
            <w:r>
              <w:rPr>
                <w:rFonts w:ascii="Arial" w:cs="Arial" w:eastAsia="Arial" w:hAnsi="Arial"/>
                <w:sz w:val="11"/>
                <w:szCs w:val="11"/>
                <w:color w:val="auto"/>
              </w:rPr>
              <w:t>Additions to property, plant and equipment</w:t>
            </w:r>
          </w:p>
        </w:tc>
        <w:tc>
          <w:tcPr>
            <w:tcW w:w="9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(91,988)</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(125,721)</w:t>
            </w:r>
          </w:p>
        </w:tc>
      </w:tr>
      <w:tr>
        <w:trPr>
          <w:trHeight w:val="146"/>
        </w:trPr>
        <w:tc>
          <w:tcPr>
            <w:tcW w:w="81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Proceeds from sale and disposal of fixed assets</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3,479</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3,101</w:t>
            </w:r>
          </w:p>
        </w:tc>
      </w:tr>
      <w:tr>
        <w:trPr>
          <w:trHeight w:val="142"/>
        </w:trPr>
        <w:tc>
          <w:tcPr>
            <w:tcW w:w="8160" w:type="dxa"/>
            <w:vAlign w:val="bottom"/>
          </w:tcPr>
          <w:p>
            <w:pPr>
              <w:ind w:left="220"/>
              <w:spacing w:after="0"/>
              <w:rPr>
                <w:sz w:val="20"/>
                <w:szCs w:val="20"/>
                <w:color w:val="auto"/>
              </w:rPr>
            </w:pPr>
            <w:r>
              <w:rPr>
                <w:rFonts w:ascii="Arial" w:cs="Arial" w:eastAsia="Arial" w:hAnsi="Arial"/>
                <w:sz w:val="11"/>
                <w:szCs w:val="11"/>
                <w:color w:val="auto"/>
              </w:rPr>
              <w:t>Acquisitions, net of cash acquired</w:t>
            </w:r>
          </w:p>
        </w:tc>
        <w:tc>
          <w:tcPr>
            <w:tcW w:w="9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(22,918)</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(8,877)</w:t>
            </w:r>
          </w:p>
        </w:tc>
      </w:tr>
      <w:tr>
        <w:trPr>
          <w:trHeight w:val="146"/>
        </w:trPr>
        <w:tc>
          <w:tcPr>
            <w:tcW w:w="81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Proceeds from sale of businesses, net of transactional costs</w:t>
            </w:r>
          </w:p>
        </w:tc>
        <w:tc>
          <w:tcPr>
            <w:tcW w:w="9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7,753</w:t>
            </w:r>
          </w:p>
        </w:tc>
      </w:tr>
      <w:tr>
        <w:trPr>
          <w:trHeight w:val="142"/>
        </w:trPr>
        <w:tc>
          <w:tcPr>
            <w:tcW w:w="8160" w:type="dxa"/>
            <w:vAlign w:val="bottom"/>
          </w:tcPr>
          <w:p>
            <w:pPr>
              <w:ind w:left="220"/>
              <w:spacing w:after="0"/>
              <w:rPr>
                <w:sz w:val="20"/>
                <w:szCs w:val="20"/>
                <w:color w:val="auto"/>
              </w:rPr>
            </w:pPr>
            <w:r>
              <w:rPr>
                <w:rFonts w:ascii="Arial" w:cs="Arial" w:eastAsia="Arial" w:hAnsi="Arial"/>
                <w:sz w:val="11"/>
                <w:szCs w:val="11"/>
                <w:color w:val="auto"/>
              </w:rPr>
              <w:t>Additions to intangible assets including costs to obtain or renew permits</w:t>
            </w:r>
          </w:p>
        </w:tc>
        <w:tc>
          <w:tcPr>
            <w:tcW w:w="9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(1,750)</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(1,242)</w:t>
            </w:r>
          </w:p>
        </w:tc>
      </w:tr>
      <w:tr>
        <w:trPr>
          <w:trHeight w:val="146"/>
        </w:trPr>
        <w:tc>
          <w:tcPr>
            <w:tcW w:w="81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Proceeds from sale of available-for-sale securities</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70,526</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28,851</w:t>
            </w:r>
          </w:p>
        </w:tc>
      </w:tr>
      <w:tr>
        <w:trPr>
          <w:trHeight w:val="142"/>
        </w:trPr>
        <w:tc>
          <w:tcPr>
            <w:tcW w:w="8160" w:type="dxa"/>
            <w:vAlign w:val="bottom"/>
            <w:tcBorders>
              <w:bottom w:val="single" w:sz="8" w:color="CCEEFF"/>
            </w:tcBorders>
          </w:tcPr>
          <w:p>
            <w:pPr>
              <w:ind w:left="220"/>
              <w:spacing w:after="0"/>
              <w:rPr>
                <w:sz w:val="20"/>
                <w:szCs w:val="20"/>
                <w:color w:val="auto"/>
              </w:rPr>
            </w:pPr>
            <w:r>
              <w:rPr>
                <w:rFonts w:ascii="Arial" w:cs="Arial" w:eastAsia="Arial" w:hAnsi="Arial"/>
                <w:sz w:val="11"/>
                <w:szCs w:val="11"/>
                <w:color w:val="auto"/>
              </w:rPr>
              <w:t>Purchases of available-for-sale securities</w:t>
            </w:r>
          </w:p>
        </w:tc>
        <w:tc>
          <w:tcPr>
            <w:tcW w:w="9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(89,689)</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(45,550)</w:t>
            </w:r>
          </w:p>
        </w:tc>
      </w:tr>
      <w:tr>
        <w:trPr>
          <w:trHeight w:val="135"/>
        </w:trPr>
        <w:tc>
          <w:tcPr>
            <w:tcW w:w="8160" w:type="dxa"/>
            <w:vAlign w:val="bottom"/>
            <w:shd w:val="clear" w:color="auto" w:fill="CCEEFF"/>
          </w:tcPr>
          <w:p>
            <w:pPr>
              <w:ind w:left="320"/>
              <w:spacing w:after="0"/>
              <w:rPr>
                <w:sz w:val="20"/>
                <w:szCs w:val="20"/>
                <w:color w:val="auto"/>
              </w:rPr>
            </w:pPr>
            <w:r>
              <w:rPr>
                <w:rFonts w:ascii="Arial" w:cs="Arial" w:eastAsia="Arial" w:hAnsi="Arial"/>
                <w:sz w:val="11"/>
                <w:szCs w:val="11"/>
                <w:color w:val="auto"/>
              </w:rPr>
              <w:t>Net cash used in investing activities</w:t>
            </w:r>
          </w:p>
        </w:tc>
        <w:tc>
          <w:tcPr>
            <w:tcW w:w="9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(132,340)</w:t>
            </w:r>
          </w:p>
        </w:tc>
        <w:tc>
          <w:tcPr>
            <w:tcW w:w="100" w:type="dxa"/>
            <w:vAlign w:val="bottom"/>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(141,685)</w:t>
            </w:r>
          </w:p>
        </w:tc>
      </w:tr>
      <w:tr>
        <w:trPr>
          <w:trHeight w:val="122"/>
        </w:trPr>
        <w:tc>
          <w:tcPr>
            <w:tcW w:w="8160" w:type="dxa"/>
            <w:vAlign w:val="bottom"/>
          </w:tcPr>
          <w:p>
            <w:pPr>
              <w:ind w:left="80"/>
              <w:spacing w:after="0" w:line="120" w:lineRule="exact"/>
              <w:rPr>
                <w:sz w:val="20"/>
                <w:szCs w:val="20"/>
                <w:color w:val="auto"/>
              </w:rPr>
            </w:pPr>
            <w:r>
              <w:rPr>
                <w:rFonts w:ascii="Arial" w:cs="Arial" w:eastAsia="Arial" w:hAnsi="Arial"/>
                <w:sz w:val="11"/>
                <w:szCs w:val="11"/>
                <w:color w:val="auto"/>
              </w:rPr>
              <w:t>Cash flows (used in) from financing activities:</w:t>
            </w:r>
          </w:p>
        </w:tc>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46"/>
        </w:trPr>
        <w:tc>
          <w:tcPr>
            <w:tcW w:w="81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Change in uncashed checks</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(2,895)</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(1,689)</w:t>
            </w:r>
          </w:p>
        </w:tc>
      </w:tr>
      <w:tr>
        <w:trPr>
          <w:trHeight w:val="142"/>
        </w:trPr>
        <w:tc>
          <w:tcPr>
            <w:tcW w:w="8160" w:type="dxa"/>
            <w:vAlign w:val="bottom"/>
          </w:tcPr>
          <w:p>
            <w:pPr>
              <w:ind w:left="220"/>
              <w:spacing w:after="0"/>
              <w:rPr>
                <w:sz w:val="20"/>
                <w:szCs w:val="20"/>
                <w:color w:val="auto"/>
              </w:rPr>
            </w:pPr>
            <w:r>
              <w:rPr>
                <w:rFonts w:ascii="Arial" w:cs="Arial" w:eastAsia="Arial" w:hAnsi="Arial"/>
                <w:sz w:val="11"/>
                <w:szCs w:val="11"/>
                <w:color w:val="auto"/>
              </w:rPr>
              <w:t>Tax payments related to withholdings on vested restricted stock</w:t>
            </w:r>
          </w:p>
        </w:tc>
        <w:tc>
          <w:tcPr>
            <w:tcW w:w="9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(4,739)</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(3,395)</w:t>
            </w:r>
          </w:p>
        </w:tc>
      </w:tr>
      <w:tr>
        <w:trPr>
          <w:trHeight w:val="146"/>
        </w:trPr>
        <w:tc>
          <w:tcPr>
            <w:tcW w:w="81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Repurchases of common stock</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(45,409)</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(17,341)</w:t>
            </w:r>
          </w:p>
        </w:tc>
      </w:tr>
      <w:tr>
        <w:trPr>
          <w:trHeight w:val="142"/>
        </w:trPr>
        <w:tc>
          <w:tcPr>
            <w:tcW w:w="8160" w:type="dxa"/>
            <w:vAlign w:val="bottom"/>
          </w:tcPr>
          <w:p>
            <w:pPr>
              <w:ind w:left="220"/>
              <w:spacing w:after="0"/>
              <w:rPr>
                <w:sz w:val="20"/>
                <w:szCs w:val="20"/>
                <w:color w:val="auto"/>
              </w:rPr>
            </w:pPr>
            <w:r>
              <w:rPr>
                <w:rFonts w:ascii="Arial" w:cs="Arial" w:eastAsia="Arial" w:hAnsi="Arial"/>
                <w:sz w:val="11"/>
                <w:szCs w:val="11"/>
                <w:color w:val="auto"/>
              </w:rPr>
              <w:t>Deferred financing costs paid</w:t>
            </w:r>
          </w:p>
        </w:tc>
        <w:tc>
          <w:tcPr>
            <w:tcW w:w="9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(146)</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81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Payments on finance leases</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(3,577)</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(1,790)</w:t>
            </w:r>
          </w:p>
        </w:tc>
      </w:tr>
      <w:tr>
        <w:trPr>
          <w:trHeight w:val="142"/>
        </w:trPr>
        <w:tc>
          <w:tcPr>
            <w:tcW w:w="8160" w:type="dxa"/>
            <w:vAlign w:val="bottom"/>
          </w:tcPr>
          <w:p>
            <w:pPr>
              <w:ind w:left="220"/>
              <w:spacing w:after="0"/>
              <w:rPr>
                <w:sz w:val="20"/>
                <w:szCs w:val="20"/>
                <w:color w:val="auto"/>
              </w:rPr>
            </w:pPr>
            <w:r>
              <w:rPr>
                <w:rFonts w:ascii="Arial" w:cs="Arial" w:eastAsia="Arial" w:hAnsi="Arial"/>
                <w:sz w:val="11"/>
                <w:szCs w:val="11"/>
                <w:color w:val="auto"/>
              </w:rPr>
              <w:t>Principal payments on debt</w:t>
            </w:r>
          </w:p>
        </w:tc>
        <w:tc>
          <w:tcPr>
            <w:tcW w:w="9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(3,768)</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(3,768)</w:t>
            </w:r>
          </w:p>
        </w:tc>
      </w:tr>
      <w:tr>
        <w:trPr>
          <w:trHeight w:val="146"/>
        </w:trPr>
        <w:tc>
          <w:tcPr>
            <w:tcW w:w="81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Borrowing from revolving credit facility</w:t>
            </w:r>
          </w:p>
        </w:tc>
        <w:tc>
          <w:tcPr>
            <w:tcW w:w="9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150,000</w:t>
            </w:r>
          </w:p>
        </w:tc>
      </w:tr>
      <w:tr>
        <w:trPr>
          <w:trHeight w:val="142"/>
        </w:trPr>
        <w:tc>
          <w:tcPr>
            <w:tcW w:w="8160" w:type="dxa"/>
            <w:vAlign w:val="bottom"/>
          </w:tcPr>
          <w:p>
            <w:pPr>
              <w:ind w:left="220"/>
              <w:spacing w:after="0"/>
              <w:rPr>
                <w:sz w:val="20"/>
                <w:szCs w:val="20"/>
                <w:color w:val="auto"/>
              </w:rPr>
            </w:pPr>
            <w:r>
              <w:rPr>
                <w:rFonts w:ascii="Arial" w:cs="Arial" w:eastAsia="Arial" w:hAnsi="Arial"/>
                <w:sz w:val="11"/>
                <w:szCs w:val="11"/>
                <w:color w:val="auto"/>
              </w:rPr>
              <w:t>Payment on revolving credit facility</w:t>
            </w:r>
          </w:p>
        </w:tc>
        <w:tc>
          <w:tcPr>
            <w:tcW w:w="92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(75,000)</w:t>
            </w:r>
          </w:p>
        </w:tc>
      </w:tr>
      <w:tr>
        <w:trPr>
          <w:trHeight w:val="135"/>
        </w:trPr>
        <w:tc>
          <w:tcPr>
            <w:tcW w:w="81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1"/>
                <w:szCs w:val="11"/>
                <w:color w:val="auto"/>
              </w:rPr>
              <w:t>Net cash (used in) from financing activities</w:t>
            </w:r>
          </w:p>
        </w:tc>
        <w:tc>
          <w:tcPr>
            <w:tcW w:w="92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(60,534)</w:t>
            </w:r>
          </w:p>
        </w:tc>
        <w:tc>
          <w:tcPr>
            <w:tcW w:w="1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47,017</w:t>
            </w:r>
          </w:p>
        </w:tc>
      </w:tr>
      <w:tr>
        <w:trPr>
          <w:trHeight w:val="131"/>
        </w:trPr>
        <w:tc>
          <w:tcPr>
            <w:tcW w:w="816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Effect of exchange rate change on cash</w:t>
            </w:r>
          </w:p>
        </w:tc>
        <w:tc>
          <w:tcPr>
            <w:tcW w:w="9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3,915</w:t>
            </w: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(3,443)</w:t>
            </w:r>
          </w:p>
        </w:tc>
      </w:tr>
      <w:tr>
        <w:trPr>
          <w:trHeight w:val="135"/>
        </w:trPr>
        <w:tc>
          <w:tcPr>
            <w:tcW w:w="8160" w:type="dxa"/>
            <w:vAlign w:val="bottom"/>
            <w:shd w:val="clear" w:color="auto" w:fill="CCEEFF"/>
          </w:tcPr>
          <w:p>
            <w:pPr>
              <w:ind w:left="80"/>
              <w:spacing w:after="0"/>
              <w:rPr>
                <w:sz w:val="20"/>
                <w:szCs w:val="20"/>
                <w:color w:val="auto"/>
              </w:rPr>
            </w:pPr>
            <w:r>
              <w:rPr>
                <w:rFonts w:ascii="Arial" w:cs="Arial" w:eastAsia="Arial" w:hAnsi="Arial"/>
                <w:sz w:val="11"/>
                <w:szCs w:val="11"/>
                <w:color w:val="auto"/>
              </w:rPr>
              <w:t>Increase in cash and cash equivalents</w:t>
            </w:r>
          </w:p>
        </w:tc>
        <w:tc>
          <w:tcPr>
            <w:tcW w:w="9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76,473</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75,375</w:t>
            </w:r>
          </w:p>
        </w:tc>
      </w:tr>
      <w:tr>
        <w:trPr>
          <w:trHeight w:val="142"/>
        </w:trPr>
        <w:tc>
          <w:tcPr>
            <w:tcW w:w="816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Cash and cash equivalents, beginning of period</w:t>
            </w:r>
          </w:p>
        </w:tc>
        <w:tc>
          <w:tcPr>
            <w:tcW w:w="9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519,101</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371,991</w:t>
            </w:r>
          </w:p>
        </w:tc>
      </w:tr>
      <w:tr>
        <w:trPr>
          <w:trHeight w:val="155"/>
        </w:trPr>
        <w:tc>
          <w:tcPr>
            <w:tcW w:w="81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1"/>
                <w:szCs w:val="11"/>
                <w:color w:val="auto"/>
              </w:rPr>
              <w:t>Cash and cash equivalents, end of period</w:t>
            </w:r>
          </w:p>
        </w:tc>
        <w:tc>
          <w:tcPr>
            <w:tcW w:w="920" w:type="dxa"/>
            <w:vAlign w:val="bottom"/>
            <w:tcBorders>
              <w:bottom w:val="single" w:sz="8" w:color="auto"/>
            </w:tcBorders>
            <w:shd w:val="clear" w:color="auto" w:fill="CCEEFF"/>
          </w:tcPr>
          <w:p>
            <w:pPr>
              <w:jc w:val="right"/>
              <w:ind w:right="812"/>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595,574</w:t>
            </w: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447,366</w:t>
            </w:r>
          </w:p>
        </w:tc>
      </w:tr>
      <w:tr>
        <w:trPr>
          <w:trHeight w:val="120"/>
        </w:trPr>
        <w:tc>
          <w:tcPr>
            <w:tcW w:w="8160" w:type="dxa"/>
            <w:vAlign w:val="bottom"/>
          </w:tcPr>
          <w:p>
            <w:pPr>
              <w:ind w:left="80"/>
              <w:spacing w:after="0" w:line="118" w:lineRule="exact"/>
              <w:rPr>
                <w:sz w:val="20"/>
                <w:szCs w:val="20"/>
                <w:color w:val="auto"/>
              </w:rPr>
            </w:pPr>
            <w:r>
              <w:rPr>
                <w:rFonts w:ascii="Arial" w:cs="Arial" w:eastAsia="Arial" w:hAnsi="Arial"/>
                <w:sz w:val="11"/>
                <w:szCs w:val="11"/>
                <w:color w:val="auto"/>
              </w:rPr>
              <w:t>Supplemental information:</w:t>
            </w:r>
          </w:p>
        </w:tc>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46"/>
        </w:trPr>
        <w:tc>
          <w:tcPr>
            <w:tcW w:w="8160" w:type="dxa"/>
            <w:vAlign w:val="bottom"/>
            <w:shd w:val="clear" w:color="auto" w:fill="CCEEFF"/>
          </w:tcPr>
          <w:p>
            <w:pPr>
              <w:ind w:left="80"/>
              <w:spacing w:after="0"/>
              <w:rPr>
                <w:sz w:val="20"/>
                <w:szCs w:val="20"/>
                <w:color w:val="auto"/>
              </w:rPr>
            </w:pPr>
            <w:r>
              <w:rPr>
                <w:rFonts w:ascii="Arial" w:cs="Arial" w:eastAsia="Arial" w:hAnsi="Arial"/>
                <w:sz w:val="11"/>
                <w:szCs w:val="11"/>
                <w:color w:val="auto"/>
              </w:rPr>
              <w:t>Cash payments for interest and income taxes:</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42"/>
        </w:trPr>
        <w:tc>
          <w:tcPr>
            <w:tcW w:w="8160" w:type="dxa"/>
            <w:vAlign w:val="bottom"/>
          </w:tcPr>
          <w:p>
            <w:pPr>
              <w:ind w:left="220"/>
              <w:spacing w:after="0"/>
              <w:rPr>
                <w:sz w:val="20"/>
                <w:szCs w:val="20"/>
                <w:color w:val="auto"/>
              </w:rPr>
            </w:pPr>
            <w:r>
              <w:rPr>
                <w:rFonts w:ascii="Arial" w:cs="Arial" w:eastAsia="Arial" w:hAnsi="Arial"/>
                <w:sz w:val="11"/>
                <w:szCs w:val="11"/>
                <w:color w:val="auto"/>
              </w:rPr>
              <w:t>Interest paid</w:t>
            </w:r>
          </w:p>
        </w:tc>
        <w:tc>
          <w:tcPr>
            <w:tcW w:w="920" w:type="dxa"/>
            <w:vAlign w:val="bottom"/>
          </w:tcPr>
          <w:p>
            <w:pPr>
              <w:jc w:val="right"/>
              <w:ind w:right="812"/>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34,164</w:t>
            </w:r>
          </w:p>
        </w:tc>
        <w:tc>
          <w:tcPr>
            <w:tcW w:w="100" w:type="dxa"/>
            <w:vAlign w:val="bottom"/>
          </w:tcPr>
          <w:p>
            <w:pPr>
              <w:spacing w:after="0"/>
              <w:rPr>
                <w:sz w:val="12"/>
                <w:szCs w:val="12"/>
                <w:color w:val="auto"/>
              </w:rPr>
            </w:pPr>
          </w:p>
        </w:tc>
        <w:tc>
          <w:tcPr>
            <w:tcW w:w="480" w:type="dxa"/>
            <w:vAlign w:val="bottom"/>
          </w:tcPr>
          <w:p>
            <w:pPr>
              <w:jc w:val="right"/>
              <w:ind w:right="371"/>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38,327</w:t>
            </w:r>
          </w:p>
        </w:tc>
      </w:tr>
      <w:tr>
        <w:trPr>
          <w:trHeight w:val="146"/>
        </w:trPr>
        <w:tc>
          <w:tcPr>
            <w:tcW w:w="81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Income taxes paid, net of refunds</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32,519</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1,478</w:t>
            </w:r>
          </w:p>
        </w:tc>
      </w:tr>
      <w:tr>
        <w:trPr>
          <w:trHeight w:val="142"/>
        </w:trPr>
        <w:tc>
          <w:tcPr>
            <w:tcW w:w="8160" w:type="dxa"/>
            <w:vAlign w:val="bottom"/>
          </w:tcPr>
          <w:p>
            <w:pPr>
              <w:ind w:left="80"/>
              <w:spacing w:after="0"/>
              <w:rPr>
                <w:sz w:val="20"/>
                <w:szCs w:val="20"/>
                <w:color w:val="auto"/>
              </w:rPr>
            </w:pPr>
            <w:r>
              <w:rPr>
                <w:rFonts w:ascii="Arial" w:cs="Arial" w:eastAsia="Arial" w:hAnsi="Arial"/>
                <w:sz w:val="11"/>
                <w:szCs w:val="11"/>
                <w:color w:val="auto"/>
              </w:rPr>
              <w:t>Non-cash investing activities:</w:t>
            </w: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6"/>
        </w:trPr>
        <w:tc>
          <w:tcPr>
            <w:tcW w:w="816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Property, plant and equipment accrued</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8,807</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7,421</w:t>
            </w:r>
          </w:p>
        </w:tc>
      </w:tr>
      <w:tr>
        <w:trPr>
          <w:trHeight w:val="142"/>
        </w:trPr>
        <w:tc>
          <w:tcPr>
            <w:tcW w:w="8160" w:type="dxa"/>
            <w:vAlign w:val="bottom"/>
          </w:tcPr>
          <w:p>
            <w:pPr>
              <w:ind w:left="80"/>
              <w:spacing w:after="0"/>
              <w:rPr>
                <w:sz w:val="20"/>
                <w:szCs w:val="20"/>
                <w:color w:val="auto"/>
              </w:rPr>
            </w:pPr>
            <w:r>
              <w:rPr>
                <w:rFonts w:ascii="Arial" w:cs="Arial" w:eastAsia="Arial" w:hAnsi="Arial"/>
                <w:sz w:val="11"/>
                <w:szCs w:val="11"/>
                <w:color w:val="auto"/>
              </w:rPr>
              <w:t>ROU assets obtained in exchange for operating lease liabilities</w:t>
            </w:r>
          </w:p>
        </w:tc>
        <w:tc>
          <w:tcPr>
            <w:tcW w:w="9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5,774</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16,216</w:t>
            </w:r>
          </w:p>
        </w:tc>
      </w:tr>
      <w:tr>
        <w:trPr>
          <w:trHeight w:val="146"/>
        </w:trPr>
        <w:tc>
          <w:tcPr>
            <w:tcW w:w="8160" w:type="dxa"/>
            <w:vAlign w:val="bottom"/>
            <w:shd w:val="clear" w:color="auto" w:fill="CCEEFF"/>
          </w:tcPr>
          <w:p>
            <w:pPr>
              <w:ind w:left="80"/>
              <w:spacing w:after="0"/>
              <w:rPr>
                <w:sz w:val="20"/>
                <w:szCs w:val="20"/>
                <w:color w:val="auto"/>
              </w:rPr>
            </w:pPr>
            <w:r>
              <w:rPr>
                <w:rFonts w:ascii="Arial" w:cs="Arial" w:eastAsia="Arial" w:hAnsi="Arial"/>
                <w:sz w:val="11"/>
                <w:szCs w:val="11"/>
                <w:color w:val="auto"/>
              </w:rPr>
              <w:t>ROU assets obtained in exchange for finance lease liabilities</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18,704</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16,452</w:t>
            </w:r>
          </w:p>
        </w:tc>
      </w:tr>
    </w:tbl>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The accompanying notes are an integral part of these unaudited consolidated financial statements.</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31" w:right="359" w:bottom="1440" w:gutter="0" w:footer="0" w:header="0"/>
        </w:sectPr>
      </w:pPr>
    </w:p>
    <w:bookmarkStart w:id="6" w:name="page7"/>
    <w:bookmarkEnd w:id="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06" w:lineRule="exact"/>
        <w:rPr>
          <w:sz w:val="20"/>
          <w:szCs w:val="20"/>
          <w:color w:val="auto"/>
        </w:rPr>
      </w:pPr>
    </w:p>
    <w:p>
      <w:pPr>
        <w:ind w:left="4380"/>
        <w:spacing w:after="0"/>
        <w:rPr>
          <w:sz w:val="20"/>
          <w:szCs w:val="20"/>
          <w:color w:val="auto"/>
        </w:rPr>
      </w:pPr>
      <w:r>
        <w:rPr>
          <w:rFonts w:ascii="Arial" w:cs="Arial" w:eastAsia="Arial" w:hAnsi="Arial"/>
          <w:sz w:val="12"/>
          <w:szCs w:val="12"/>
          <w:b w:val="1"/>
          <w:bCs w:val="1"/>
          <w:color w:val="auto"/>
        </w:rPr>
        <w:t>CLEAN HARBORS, INC. AND SUBSIDIARIES</w:t>
      </w:r>
    </w:p>
    <w:p>
      <w:pPr>
        <w:spacing w:after="0" w:line="78" w:lineRule="exact"/>
        <w:rPr>
          <w:sz w:val="20"/>
          <w:szCs w:val="20"/>
          <w:color w:val="auto"/>
        </w:rPr>
      </w:pPr>
    </w:p>
    <w:p>
      <w:pPr>
        <w:ind w:left="3480"/>
        <w:spacing w:after="0"/>
        <w:rPr>
          <w:sz w:val="20"/>
          <w:szCs w:val="20"/>
          <w:color w:val="auto"/>
        </w:rPr>
      </w:pPr>
      <w:r>
        <w:rPr>
          <w:rFonts w:ascii="Arial" w:cs="Arial" w:eastAsia="Arial" w:hAnsi="Arial"/>
          <w:sz w:val="12"/>
          <w:szCs w:val="12"/>
          <w:b w:val="1"/>
          <w:bCs w:val="1"/>
          <w:color w:val="auto"/>
        </w:rPr>
        <w:t>UNAUDITED CONSOLIDATED STATEMENTS OF STOCKHOLDERS’ EQUITY</w:t>
      </w:r>
    </w:p>
    <w:p>
      <w:pPr>
        <w:spacing w:after="0" w:line="19" w:lineRule="exact"/>
        <w:rPr>
          <w:sz w:val="20"/>
          <w:szCs w:val="20"/>
          <w:color w:val="auto"/>
        </w:rPr>
      </w:pPr>
    </w:p>
    <w:p>
      <w:pPr>
        <w:jc w:val="center"/>
        <w:ind w:right="-219"/>
        <w:spacing w:after="0"/>
        <w:rPr>
          <w:sz w:val="20"/>
          <w:szCs w:val="20"/>
          <w:color w:val="auto"/>
        </w:rPr>
      </w:pPr>
      <w:r>
        <w:rPr>
          <w:rFonts w:ascii="Arial" w:cs="Arial" w:eastAsia="Arial" w:hAnsi="Arial"/>
          <w:sz w:val="12"/>
          <w:szCs w:val="12"/>
          <w:b w:val="1"/>
          <w:bCs w:val="1"/>
          <w:color w:val="auto"/>
        </w:rPr>
        <w:t>(in thousands)</w:t>
      </w:r>
    </w:p>
    <w:p>
      <w:pPr>
        <w:spacing w:after="0" w:line="136" w:lineRule="exact"/>
        <w:rPr>
          <w:sz w:val="20"/>
          <w:szCs w:val="20"/>
          <w:color w:val="auto"/>
        </w:rPr>
      </w:pPr>
    </w:p>
    <w:tbl>
      <w:tblPr>
        <w:tblLayout w:type="fixed"/>
        <w:tblInd w:w="240" w:type="dxa"/>
        <w:tblCellMar>
          <w:top w:w="0" w:type="dxa"/>
          <w:left w:w="0" w:type="dxa"/>
          <w:bottom w:w="0" w:type="dxa"/>
          <w:right w:w="0" w:type="dxa"/>
        </w:tblCellMar>
      </w:tblPr>
      <w:tr>
        <w:trPr>
          <w:trHeight w:val="127"/>
        </w:trPr>
        <w:tc>
          <w:tcPr>
            <w:tcW w:w="338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ind w:left="140"/>
              <w:spacing w:after="0"/>
              <w:rPr>
                <w:sz w:val="20"/>
                <w:szCs w:val="20"/>
                <w:color w:val="auto"/>
              </w:rPr>
            </w:pPr>
            <w:r>
              <w:rPr>
                <w:rFonts w:ascii="Arial" w:cs="Arial" w:eastAsia="Arial" w:hAnsi="Arial"/>
                <w:sz w:val="10"/>
                <w:szCs w:val="10"/>
                <w:b w:val="1"/>
                <w:bCs w:val="1"/>
                <w:color w:val="auto"/>
              </w:rPr>
              <w:t>Common Stock</w:t>
            </w:r>
          </w:p>
        </w:tc>
        <w:tc>
          <w:tcPr>
            <w:tcW w:w="3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380" w:type="dxa"/>
            <w:vAlign w:val="bottom"/>
          </w:tcPr>
          <w:p>
            <w:pPr>
              <w:spacing w:after="0"/>
              <w:rPr>
                <w:sz w:val="11"/>
                <w:szCs w:val="11"/>
                <w:color w:val="auto"/>
              </w:rPr>
            </w:pPr>
          </w:p>
        </w:tc>
        <w:tc>
          <w:tcPr>
            <w:tcW w:w="740" w:type="dxa"/>
            <w:vAlign w:val="bottom"/>
          </w:tcPr>
          <w:p>
            <w:pPr>
              <w:jc w:val="center"/>
              <w:ind w:left="312"/>
              <w:spacing w:after="0"/>
              <w:rPr>
                <w:sz w:val="20"/>
                <w:szCs w:val="20"/>
                <w:color w:val="auto"/>
              </w:rPr>
            </w:pPr>
            <w:r>
              <w:rPr>
                <w:rFonts w:ascii="Arial" w:cs="Arial" w:eastAsia="Arial" w:hAnsi="Arial"/>
                <w:sz w:val="10"/>
                <w:szCs w:val="10"/>
                <w:b w:val="1"/>
                <w:bCs w:val="1"/>
                <w:color w:val="auto"/>
                <w:w w:val="89"/>
              </w:rPr>
              <w:t>Number</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left="292"/>
              <w:spacing w:after="0"/>
              <w:rPr>
                <w:sz w:val="20"/>
                <w:szCs w:val="20"/>
                <w:color w:val="auto"/>
              </w:rPr>
            </w:pPr>
            <w:r>
              <w:rPr>
                <w:rFonts w:ascii="Arial" w:cs="Arial" w:eastAsia="Arial" w:hAnsi="Arial"/>
                <w:sz w:val="10"/>
                <w:szCs w:val="10"/>
                <w:b w:val="1"/>
                <w:bCs w:val="1"/>
                <w:color w:val="auto"/>
                <w:w w:val="87"/>
              </w:rPr>
              <w:t>$0.01</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5"/>
              </w:rPr>
              <w:t>Additional</w:t>
            </w:r>
          </w:p>
        </w:tc>
        <w:tc>
          <w:tcPr>
            <w:tcW w:w="140" w:type="dxa"/>
            <w:vAlign w:val="bottom"/>
          </w:tcPr>
          <w:p>
            <w:pPr>
              <w:spacing w:after="0"/>
              <w:rPr>
                <w:sz w:val="11"/>
                <w:szCs w:val="11"/>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5"/>
              </w:rPr>
              <w:t>Accumulated</w:t>
            </w:r>
          </w:p>
        </w:tc>
        <w:tc>
          <w:tcPr>
            <w:tcW w:w="18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85"/>
              </w:rPr>
              <w:t>Accumulated</w:t>
            </w:r>
          </w:p>
        </w:tc>
        <w:tc>
          <w:tcPr>
            <w:tcW w:w="180" w:type="dxa"/>
            <w:vAlign w:val="bottom"/>
          </w:tcPr>
          <w:p>
            <w:pPr>
              <w:spacing w:after="0"/>
              <w:rPr>
                <w:sz w:val="11"/>
                <w:szCs w:val="11"/>
                <w:color w:val="auto"/>
              </w:rPr>
            </w:pPr>
          </w:p>
        </w:tc>
        <w:tc>
          <w:tcPr>
            <w:tcW w:w="980" w:type="dxa"/>
            <w:vAlign w:val="bottom"/>
          </w:tcPr>
          <w:p>
            <w:pPr>
              <w:jc w:val="center"/>
              <w:ind w:right="162"/>
              <w:spacing w:after="0"/>
              <w:rPr>
                <w:sz w:val="20"/>
                <w:szCs w:val="20"/>
                <w:color w:val="auto"/>
              </w:rPr>
            </w:pPr>
            <w:r>
              <w:rPr>
                <w:rFonts w:ascii="Arial" w:cs="Arial" w:eastAsia="Arial" w:hAnsi="Arial"/>
                <w:sz w:val="10"/>
                <w:szCs w:val="10"/>
                <w:b w:val="1"/>
                <w:bCs w:val="1"/>
                <w:color w:val="auto"/>
                <w:w w:val="83"/>
              </w:rPr>
              <w:t>Total</w:t>
            </w:r>
          </w:p>
        </w:tc>
        <w:tc>
          <w:tcPr>
            <w:tcW w:w="0" w:type="dxa"/>
            <w:vAlign w:val="bottom"/>
          </w:tcPr>
          <w:p>
            <w:pPr>
              <w:spacing w:after="0"/>
              <w:rPr>
                <w:sz w:val="1"/>
                <w:szCs w:val="1"/>
                <w:color w:val="auto"/>
              </w:rPr>
            </w:pPr>
          </w:p>
        </w:tc>
      </w:tr>
      <w:tr>
        <w:trPr>
          <w:trHeight w:val="90"/>
        </w:trPr>
        <w:tc>
          <w:tcPr>
            <w:tcW w:w="3380" w:type="dxa"/>
            <w:vAlign w:val="bottom"/>
          </w:tcPr>
          <w:p>
            <w:pPr>
              <w:spacing w:after="0"/>
              <w:rPr>
                <w:sz w:val="7"/>
                <w:szCs w:val="7"/>
                <w:color w:val="auto"/>
              </w:rPr>
            </w:pPr>
          </w:p>
        </w:tc>
        <w:tc>
          <w:tcPr>
            <w:tcW w:w="740" w:type="dxa"/>
            <w:vAlign w:val="bottom"/>
          </w:tcPr>
          <w:p>
            <w:pPr>
              <w:jc w:val="center"/>
              <w:ind w:left="332"/>
              <w:spacing w:after="0" w:line="90" w:lineRule="exact"/>
              <w:rPr>
                <w:sz w:val="20"/>
                <w:szCs w:val="20"/>
                <w:color w:val="auto"/>
              </w:rPr>
            </w:pPr>
            <w:r>
              <w:rPr>
                <w:rFonts w:ascii="Arial" w:cs="Arial" w:eastAsia="Arial" w:hAnsi="Arial"/>
                <w:sz w:val="10"/>
                <w:szCs w:val="10"/>
                <w:b w:val="1"/>
                <w:bCs w:val="1"/>
                <w:color w:val="auto"/>
                <w:w w:val="84"/>
              </w:rPr>
              <w:t>of</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jc w:val="center"/>
              <w:ind w:left="292"/>
              <w:spacing w:after="0" w:line="90" w:lineRule="exact"/>
              <w:rPr>
                <w:sz w:val="20"/>
                <w:szCs w:val="20"/>
                <w:color w:val="auto"/>
              </w:rPr>
            </w:pPr>
            <w:r>
              <w:rPr>
                <w:rFonts w:ascii="Arial" w:cs="Arial" w:eastAsia="Arial" w:hAnsi="Arial"/>
                <w:sz w:val="10"/>
                <w:szCs w:val="10"/>
                <w:b w:val="1"/>
                <w:bCs w:val="1"/>
                <w:color w:val="auto"/>
                <w:w w:val="86"/>
              </w:rPr>
              <w:t>Par</w:t>
            </w: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gridSpan w:val="2"/>
          </w:tcPr>
          <w:p>
            <w:pPr>
              <w:jc w:val="center"/>
              <w:ind w:right="320"/>
              <w:spacing w:after="0" w:line="90" w:lineRule="exact"/>
              <w:rPr>
                <w:sz w:val="20"/>
                <w:szCs w:val="20"/>
                <w:color w:val="auto"/>
              </w:rPr>
            </w:pPr>
            <w:r>
              <w:rPr>
                <w:rFonts w:ascii="Arial" w:cs="Arial" w:eastAsia="Arial" w:hAnsi="Arial"/>
                <w:sz w:val="10"/>
                <w:szCs w:val="10"/>
                <w:b w:val="1"/>
                <w:bCs w:val="1"/>
                <w:color w:val="auto"/>
                <w:w w:val="89"/>
              </w:rPr>
              <w:t>Paid-in</w:t>
            </w:r>
          </w:p>
        </w:tc>
        <w:tc>
          <w:tcPr>
            <w:tcW w:w="140" w:type="dxa"/>
            <w:vAlign w:val="bottom"/>
          </w:tcPr>
          <w:p>
            <w:pPr>
              <w:spacing w:after="0"/>
              <w:rPr>
                <w:sz w:val="7"/>
                <w:szCs w:val="7"/>
                <w:color w:val="auto"/>
              </w:rPr>
            </w:pPr>
          </w:p>
        </w:tc>
        <w:tc>
          <w:tcPr>
            <w:tcW w:w="1220" w:type="dxa"/>
            <w:vAlign w:val="bottom"/>
            <w:gridSpan w:val="2"/>
          </w:tcPr>
          <w:p>
            <w:pPr>
              <w:jc w:val="center"/>
              <w:ind w:right="260"/>
              <w:spacing w:after="0" w:line="90" w:lineRule="exact"/>
              <w:rPr>
                <w:sz w:val="20"/>
                <w:szCs w:val="20"/>
                <w:color w:val="auto"/>
              </w:rPr>
            </w:pPr>
            <w:r>
              <w:rPr>
                <w:rFonts w:ascii="Arial" w:cs="Arial" w:eastAsia="Arial" w:hAnsi="Arial"/>
                <w:sz w:val="10"/>
                <w:szCs w:val="10"/>
                <w:b w:val="1"/>
                <w:bCs w:val="1"/>
                <w:color w:val="auto"/>
                <w:w w:val="89"/>
              </w:rPr>
              <w:t>Other</w:t>
            </w:r>
          </w:p>
        </w:tc>
        <w:tc>
          <w:tcPr>
            <w:tcW w:w="18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jc w:val="center"/>
              <w:ind w:right="162"/>
              <w:spacing w:after="0" w:line="90" w:lineRule="exact"/>
              <w:rPr>
                <w:sz w:val="20"/>
                <w:szCs w:val="20"/>
                <w:color w:val="auto"/>
              </w:rPr>
            </w:pPr>
            <w:r>
              <w:rPr>
                <w:rFonts w:ascii="Arial" w:cs="Arial" w:eastAsia="Arial" w:hAnsi="Arial"/>
                <w:sz w:val="10"/>
                <w:szCs w:val="10"/>
                <w:b w:val="1"/>
                <w:bCs w:val="1"/>
                <w:color w:val="auto"/>
                <w:w w:val="84"/>
              </w:rPr>
              <w:t>Stockholders’</w:t>
            </w:r>
          </w:p>
        </w:tc>
        <w:tc>
          <w:tcPr>
            <w:tcW w:w="0" w:type="dxa"/>
            <w:vAlign w:val="bottom"/>
          </w:tcPr>
          <w:p>
            <w:pPr>
              <w:spacing w:after="0"/>
              <w:rPr>
                <w:sz w:val="1"/>
                <w:szCs w:val="1"/>
                <w:color w:val="auto"/>
              </w:rPr>
            </w:pPr>
          </w:p>
        </w:tc>
      </w:tr>
      <w:tr>
        <w:trPr>
          <w:trHeight w:val="125"/>
        </w:trPr>
        <w:tc>
          <w:tcPr>
            <w:tcW w:w="338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jc w:val="center"/>
              <w:ind w:left="352"/>
              <w:spacing w:after="0"/>
              <w:rPr>
                <w:sz w:val="20"/>
                <w:szCs w:val="20"/>
                <w:color w:val="auto"/>
              </w:rPr>
            </w:pPr>
            <w:r>
              <w:rPr>
                <w:rFonts w:ascii="Arial" w:cs="Arial" w:eastAsia="Arial" w:hAnsi="Arial"/>
                <w:sz w:val="10"/>
                <w:szCs w:val="10"/>
                <w:b w:val="1"/>
                <w:bCs w:val="1"/>
                <w:color w:val="auto"/>
                <w:w w:val="77"/>
              </w:rPr>
              <w:t>Shares</w:t>
            </w: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0" w:type="dxa"/>
            <w:vAlign w:val="bottom"/>
            <w:tcBorders>
              <w:bottom w:val="single" w:sz="8" w:color="auto"/>
            </w:tcBorders>
          </w:tcPr>
          <w:p>
            <w:pPr>
              <w:jc w:val="center"/>
              <w:ind w:left="292"/>
              <w:spacing w:after="0"/>
              <w:rPr>
                <w:sz w:val="20"/>
                <w:szCs w:val="20"/>
                <w:color w:val="auto"/>
              </w:rPr>
            </w:pPr>
            <w:r>
              <w:rPr>
                <w:rFonts w:ascii="Arial" w:cs="Arial" w:eastAsia="Arial" w:hAnsi="Arial"/>
                <w:sz w:val="10"/>
                <w:szCs w:val="10"/>
                <w:b w:val="1"/>
                <w:bCs w:val="1"/>
                <w:color w:val="auto"/>
                <w:w w:val="82"/>
              </w:rPr>
              <w:t>Value</w:t>
            </w:r>
          </w:p>
        </w:tc>
        <w:tc>
          <w:tcPr>
            <w:tcW w:w="3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center"/>
              <w:ind w:right="142"/>
              <w:spacing w:after="0"/>
              <w:rPr>
                <w:sz w:val="20"/>
                <w:szCs w:val="20"/>
                <w:color w:val="auto"/>
              </w:rPr>
            </w:pPr>
            <w:r>
              <w:rPr>
                <w:rFonts w:ascii="Arial" w:cs="Arial" w:eastAsia="Arial" w:hAnsi="Arial"/>
                <w:sz w:val="10"/>
                <w:szCs w:val="10"/>
                <w:b w:val="1"/>
                <w:bCs w:val="1"/>
                <w:color w:val="auto"/>
                <w:w w:val="89"/>
              </w:rPr>
              <w:t>Capital</w:t>
            </w: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center"/>
              <w:ind w:right="82"/>
              <w:spacing w:after="0"/>
              <w:rPr>
                <w:sz w:val="20"/>
                <w:szCs w:val="20"/>
                <w:color w:val="auto"/>
              </w:rPr>
            </w:pPr>
            <w:r>
              <w:rPr>
                <w:rFonts w:ascii="Arial" w:cs="Arial" w:eastAsia="Arial" w:hAnsi="Arial"/>
                <w:sz w:val="10"/>
                <w:szCs w:val="10"/>
                <w:b w:val="1"/>
                <w:bCs w:val="1"/>
                <w:color w:val="auto"/>
                <w:w w:val="83"/>
              </w:rPr>
              <w:t>Comprehensive Loss</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center"/>
              <w:ind w:right="122"/>
              <w:spacing w:after="0"/>
              <w:rPr>
                <w:sz w:val="20"/>
                <w:szCs w:val="20"/>
                <w:color w:val="auto"/>
              </w:rPr>
            </w:pPr>
            <w:r>
              <w:rPr>
                <w:rFonts w:ascii="Arial" w:cs="Arial" w:eastAsia="Arial" w:hAnsi="Arial"/>
                <w:sz w:val="10"/>
                <w:szCs w:val="10"/>
                <w:b w:val="1"/>
                <w:bCs w:val="1"/>
                <w:color w:val="auto"/>
                <w:w w:val="88"/>
              </w:rPr>
              <w:t>Earnings</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122"/>
              <w:spacing w:after="0"/>
              <w:rPr>
                <w:sz w:val="20"/>
                <w:szCs w:val="20"/>
                <w:color w:val="auto"/>
              </w:rPr>
            </w:pPr>
            <w:r>
              <w:rPr>
                <w:rFonts w:ascii="Arial" w:cs="Arial" w:eastAsia="Arial" w:hAnsi="Arial"/>
                <w:sz w:val="10"/>
                <w:szCs w:val="10"/>
                <w:b w:val="1"/>
                <w:bCs w:val="1"/>
                <w:color w:val="auto"/>
                <w:w w:val="91"/>
              </w:rPr>
              <w:t>Equity</w:t>
            </w:r>
          </w:p>
        </w:tc>
        <w:tc>
          <w:tcPr>
            <w:tcW w:w="0" w:type="dxa"/>
            <w:vAlign w:val="bottom"/>
          </w:tcPr>
          <w:p>
            <w:pPr>
              <w:spacing w:after="0"/>
              <w:rPr>
                <w:sz w:val="1"/>
                <w:szCs w:val="1"/>
                <w:color w:val="auto"/>
              </w:rPr>
            </w:pPr>
          </w:p>
        </w:tc>
      </w:tr>
      <w:tr>
        <w:trPr>
          <w:trHeight w:val="143"/>
        </w:trPr>
        <w:tc>
          <w:tcPr>
            <w:tcW w:w="4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Balance at January 1, 2021</w:t>
            </w: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92"/>
              </w:rPr>
              <w:t>54,773</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92"/>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582,749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(211,477)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969,731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1,341,551</w:t>
            </w:r>
          </w:p>
        </w:tc>
        <w:tc>
          <w:tcPr>
            <w:tcW w:w="0" w:type="dxa"/>
            <w:vAlign w:val="bottom"/>
          </w:tcPr>
          <w:p>
            <w:pPr>
              <w:spacing w:after="0"/>
              <w:rPr>
                <w:sz w:val="1"/>
                <w:szCs w:val="1"/>
                <w:color w:val="auto"/>
              </w:rPr>
            </w:pPr>
          </w:p>
        </w:tc>
      </w:tr>
      <w:tr>
        <w:trPr>
          <w:trHeight w:val="153"/>
        </w:trPr>
        <w:tc>
          <w:tcPr>
            <w:tcW w:w="4120" w:type="dxa"/>
            <w:vAlign w:val="bottom"/>
            <w:gridSpan w:val="2"/>
          </w:tcPr>
          <w:p>
            <w:pPr>
              <w:ind w:left="80"/>
              <w:spacing w:after="0"/>
              <w:rPr>
                <w:sz w:val="20"/>
                <w:szCs w:val="20"/>
                <w:color w:val="auto"/>
              </w:rPr>
            </w:pPr>
            <w:r>
              <w:rPr>
                <w:rFonts w:ascii="Arial" w:cs="Arial" w:eastAsia="Arial" w:hAnsi="Arial"/>
                <w:sz w:val="12"/>
                <w:szCs w:val="12"/>
                <w:color w:val="auto"/>
              </w:rPr>
              <w:t>Net income</w:t>
            </w: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21,736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2"/>
              <w:spacing w:after="0"/>
              <w:rPr>
                <w:sz w:val="20"/>
                <w:szCs w:val="20"/>
                <w:color w:val="auto"/>
              </w:rPr>
            </w:pPr>
            <w:r>
              <w:rPr>
                <w:rFonts w:ascii="Arial" w:cs="Arial" w:eastAsia="Arial" w:hAnsi="Arial"/>
                <w:sz w:val="12"/>
                <w:szCs w:val="12"/>
                <w:color w:val="auto"/>
              </w:rPr>
              <w:t>21,736</w:t>
            </w:r>
          </w:p>
        </w:tc>
        <w:tc>
          <w:tcPr>
            <w:tcW w:w="0" w:type="dxa"/>
            <w:vAlign w:val="bottom"/>
          </w:tcPr>
          <w:p>
            <w:pPr>
              <w:spacing w:after="0"/>
              <w:rPr>
                <w:sz w:val="1"/>
                <w:szCs w:val="1"/>
                <w:color w:val="auto"/>
              </w:rPr>
            </w:pPr>
          </w:p>
        </w:tc>
      </w:tr>
      <w:tr>
        <w:trPr>
          <w:trHeight w:val="153"/>
        </w:trPr>
        <w:tc>
          <w:tcPr>
            <w:tcW w:w="41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Other comprehensive income</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11,948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11,948</w:t>
            </w:r>
          </w:p>
        </w:tc>
        <w:tc>
          <w:tcPr>
            <w:tcW w:w="0" w:type="dxa"/>
            <w:vAlign w:val="bottom"/>
          </w:tcPr>
          <w:p>
            <w:pPr>
              <w:spacing w:after="0"/>
              <w:rPr>
                <w:sz w:val="1"/>
                <w:szCs w:val="1"/>
                <w:color w:val="auto"/>
              </w:rPr>
            </w:pPr>
          </w:p>
        </w:tc>
      </w:tr>
      <w:tr>
        <w:trPr>
          <w:trHeight w:val="153"/>
        </w:trPr>
        <w:tc>
          <w:tcPr>
            <w:tcW w:w="4120" w:type="dxa"/>
            <w:vAlign w:val="bottom"/>
            <w:gridSpan w:val="2"/>
          </w:tcPr>
          <w:p>
            <w:pPr>
              <w:ind w:left="80"/>
              <w:spacing w:after="0"/>
              <w:rPr>
                <w:sz w:val="20"/>
                <w:szCs w:val="20"/>
                <w:color w:val="auto"/>
              </w:rPr>
            </w:pPr>
            <w:r>
              <w:rPr>
                <w:rFonts w:ascii="Arial" w:cs="Arial" w:eastAsia="Arial" w:hAnsi="Arial"/>
                <w:sz w:val="12"/>
                <w:szCs w:val="12"/>
                <w:color w:val="auto"/>
              </w:rPr>
              <w:t>Stock-based compensation</w:t>
            </w: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3,480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80" w:type="dxa"/>
            <w:vAlign w:val="bottom"/>
          </w:tcPr>
          <w:p>
            <w:pPr>
              <w:jc w:val="right"/>
              <w:ind w:right="2"/>
              <w:spacing w:after="0"/>
              <w:rPr>
                <w:sz w:val="20"/>
                <w:szCs w:val="20"/>
                <w:color w:val="auto"/>
              </w:rPr>
            </w:pPr>
            <w:r>
              <w:rPr>
                <w:rFonts w:ascii="Arial" w:cs="Arial" w:eastAsia="Arial" w:hAnsi="Arial"/>
                <w:sz w:val="12"/>
                <w:szCs w:val="12"/>
                <w:color w:val="auto"/>
              </w:rPr>
              <w:t>3,480</w:t>
            </w:r>
          </w:p>
        </w:tc>
        <w:tc>
          <w:tcPr>
            <w:tcW w:w="0" w:type="dxa"/>
            <w:vAlign w:val="bottom"/>
          </w:tcPr>
          <w:p>
            <w:pPr>
              <w:spacing w:after="0"/>
              <w:rPr>
                <w:sz w:val="1"/>
                <w:szCs w:val="1"/>
                <w:color w:val="auto"/>
              </w:rPr>
            </w:pPr>
          </w:p>
        </w:tc>
      </w:tr>
      <w:tr>
        <w:trPr>
          <w:trHeight w:val="117"/>
        </w:trPr>
        <w:tc>
          <w:tcPr>
            <w:tcW w:w="4120" w:type="dxa"/>
            <w:vAlign w:val="bottom"/>
            <w:gridSpan w:val="2"/>
            <w:shd w:val="clear" w:color="auto" w:fill="CCEEFF"/>
          </w:tcPr>
          <w:p>
            <w:pPr>
              <w:ind w:left="80"/>
              <w:spacing w:after="0" w:line="117" w:lineRule="exact"/>
              <w:rPr>
                <w:sz w:val="20"/>
                <w:szCs w:val="20"/>
                <w:color w:val="auto"/>
              </w:rPr>
            </w:pPr>
            <w:r>
              <w:rPr>
                <w:rFonts w:ascii="Arial" w:cs="Arial" w:eastAsia="Arial" w:hAnsi="Arial"/>
                <w:sz w:val="12"/>
                <w:szCs w:val="12"/>
                <w:color w:val="auto"/>
              </w:rPr>
              <w:t>Issuance of common stock for restricted share vesting, net of</w:t>
            </w:r>
          </w:p>
        </w:tc>
        <w:tc>
          <w:tcPr>
            <w:tcW w:w="42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78</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(3,720)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(3,719)</w:t>
            </w:r>
          </w:p>
        </w:tc>
        <w:tc>
          <w:tcPr>
            <w:tcW w:w="0" w:type="dxa"/>
            <w:vAlign w:val="bottom"/>
          </w:tcPr>
          <w:p>
            <w:pPr>
              <w:spacing w:after="0"/>
              <w:rPr>
                <w:sz w:val="1"/>
                <w:szCs w:val="1"/>
                <w:color w:val="auto"/>
              </w:rPr>
            </w:pPr>
          </w:p>
        </w:tc>
      </w:tr>
      <w:tr>
        <w:trPr>
          <w:trHeight w:val="153"/>
        </w:trPr>
        <w:tc>
          <w:tcPr>
            <w:tcW w:w="41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employee tax withholdings</w:t>
            </w:r>
          </w:p>
        </w:tc>
        <w:tc>
          <w:tcPr>
            <w:tcW w:w="4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8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Repurchases of common stock</w:t>
            </w:r>
          </w:p>
        </w:tc>
        <w:tc>
          <w:tcPr>
            <w:tcW w:w="7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w w:val="99"/>
              </w:rPr>
              <w:t>(300)</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(26,543)</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(26,546)</w:t>
            </w:r>
          </w:p>
        </w:tc>
        <w:tc>
          <w:tcPr>
            <w:tcW w:w="0" w:type="dxa"/>
            <w:vAlign w:val="bottom"/>
          </w:tcPr>
          <w:p>
            <w:pPr>
              <w:spacing w:after="0"/>
              <w:rPr>
                <w:sz w:val="1"/>
                <w:szCs w:val="1"/>
                <w:color w:val="auto"/>
              </w:rPr>
            </w:pPr>
          </w:p>
        </w:tc>
      </w:tr>
      <w:tr>
        <w:trPr>
          <w:trHeight w:val="142"/>
        </w:trPr>
        <w:tc>
          <w:tcPr>
            <w:tcW w:w="4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Balance at March 31, 2021</w:t>
            </w: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92"/>
              </w:rPr>
              <w:t>54,551</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555,966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(199,529)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991,467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1,348,450</w:t>
            </w:r>
          </w:p>
        </w:tc>
        <w:tc>
          <w:tcPr>
            <w:tcW w:w="0" w:type="dxa"/>
            <w:vAlign w:val="bottom"/>
          </w:tcPr>
          <w:p>
            <w:pPr>
              <w:spacing w:after="0"/>
              <w:rPr>
                <w:sz w:val="1"/>
                <w:szCs w:val="1"/>
                <w:color w:val="auto"/>
              </w:rPr>
            </w:pPr>
          </w:p>
        </w:tc>
      </w:tr>
      <w:tr>
        <w:trPr>
          <w:trHeight w:val="153"/>
        </w:trPr>
        <w:tc>
          <w:tcPr>
            <w:tcW w:w="4120" w:type="dxa"/>
            <w:vAlign w:val="bottom"/>
            <w:gridSpan w:val="2"/>
          </w:tcPr>
          <w:p>
            <w:pPr>
              <w:ind w:left="80"/>
              <w:spacing w:after="0"/>
              <w:rPr>
                <w:sz w:val="20"/>
                <w:szCs w:val="20"/>
                <w:color w:val="auto"/>
              </w:rPr>
            </w:pPr>
            <w:r>
              <w:rPr>
                <w:rFonts w:ascii="Arial" w:cs="Arial" w:eastAsia="Arial" w:hAnsi="Arial"/>
                <w:sz w:val="12"/>
                <w:szCs w:val="12"/>
                <w:color w:val="auto"/>
              </w:rPr>
              <w:t>Net income</w:t>
            </w: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67,075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2"/>
              <w:spacing w:after="0"/>
              <w:rPr>
                <w:sz w:val="20"/>
                <w:szCs w:val="20"/>
                <w:color w:val="auto"/>
              </w:rPr>
            </w:pPr>
            <w:r>
              <w:rPr>
                <w:rFonts w:ascii="Arial" w:cs="Arial" w:eastAsia="Arial" w:hAnsi="Arial"/>
                <w:sz w:val="12"/>
                <w:szCs w:val="12"/>
                <w:color w:val="auto"/>
              </w:rPr>
              <w:t>67,075</w:t>
            </w:r>
          </w:p>
        </w:tc>
        <w:tc>
          <w:tcPr>
            <w:tcW w:w="0" w:type="dxa"/>
            <w:vAlign w:val="bottom"/>
          </w:tcPr>
          <w:p>
            <w:pPr>
              <w:spacing w:after="0"/>
              <w:rPr>
                <w:sz w:val="1"/>
                <w:szCs w:val="1"/>
                <w:color w:val="auto"/>
              </w:rPr>
            </w:pPr>
          </w:p>
        </w:tc>
      </w:tr>
      <w:tr>
        <w:trPr>
          <w:trHeight w:val="153"/>
        </w:trPr>
        <w:tc>
          <w:tcPr>
            <w:tcW w:w="41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Other comprehensive income</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10,640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10,640</w:t>
            </w:r>
          </w:p>
        </w:tc>
        <w:tc>
          <w:tcPr>
            <w:tcW w:w="0" w:type="dxa"/>
            <w:vAlign w:val="bottom"/>
          </w:tcPr>
          <w:p>
            <w:pPr>
              <w:spacing w:after="0"/>
              <w:rPr>
                <w:sz w:val="1"/>
                <w:szCs w:val="1"/>
                <w:color w:val="auto"/>
              </w:rPr>
            </w:pPr>
          </w:p>
        </w:tc>
      </w:tr>
      <w:tr>
        <w:trPr>
          <w:trHeight w:val="153"/>
        </w:trPr>
        <w:tc>
          <w:tcPr>
            <w:tcW w:w="4120" w:type="dxa"/>
            <w:vAlign w:val="bottom"/>
            <w:gridSpan w:val="2"/>
          </w:tcPr>
          <w:p>
            <w:pPr>
              <w:ind w:left="80"/>
              <w:spacing w:after="0"/>
              <w:rPr>
                <w:sz w:val="20"/>
                <w:szCs w:val="20"/>
                <w:color w:val="auto"/>
              </w:rPr>
            </w:pPr>
            <w:r>
              <w:rPr>
                <w:rFonts w:ascii="Arial" w:cs="Arial" w:eastAsia="Arial" w:hAnsi="Arial"/>
                <w:sz w:val="12"/>
                <w:szCs w:val="12"/>
                <w:color w:val="auto"/>
              </w:rPr>
              <w:t>Stock-based compensation</w:t>
            </w: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3,305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80" w:type="dxa"/>
            <w:vAlign w:val="bottom"/>
          </w:tcPr>
          <w:p>
            <w:pPr>
              <w:jc w:val="right"/>
              <w:ind w:right="2"/>
              <w:spacing w:after="0"/>
              <w:rPr>
                <w:sz w:val="20"/>
                <w:szCs w:val="20"/>
                <w:color w:val="auto"/>
              </w:rPr>
            </w:pPr>
            <w:r>
              <w:rPr>
                <w:rFonts w:ascii="Arial" w:cs="Arial" w:eastAsia="Arial" w:hAnsi="Arial"/>
                <w:sz w:val="12"/>
                <w:szCs w:val="12"/>
                <w:color w:val="auto"/>
              </w:rPr>
              <w:t>3,305</w:t>
            </w:r>
          </w:p>
        </w:tc>
        <w:tc>
          <w:tcPr>
            <w:tcW w:w="0" w:type="dxa"/>
            <w:vAlign w:val="bottom"/>
          </w:tcPr>
          <w:p>
            <w:pPr>
              <w:spacing w:after="0"/>
              <w:rPr>
                <w:sz w:val="1"/>
                <w:szCs w:val="1"/>
                <w:color w:val="auto"/>
              </w:rPr>
            </w:pPr>
          </w:p>
        </w:tc>
      </w:tr>
      <w:tr>
        <w:trPr>
          <w:trHeight w:val="117"/>
        </w:trPr>
        <w:tc>
          <w:tcPr>
            <w:tcW w:w="4120" w:type="dxa"/>
            <w:vAlign w:val="bottom"/>
            <w:gridSpan w:val="2"/>
            <w:shd w:val="clear" w:color="auto" w:fill="CCEEFF"/>
          </w:tcPr>
          <w:p>
            <w:pPr>
              <w:ind w:left="80"/>
              <w:spacing w:after="0" w:line="117" w:lineRule="exact"/>
              <w:rPr>
                <w:sz w:val="20"/>
                <w:szCs w:val="20"/>
                <w:color w:val="auto"/>
              </w:rPr>
            </w:pPr>
            <w:r>
              <w:rPr>
                <w:rFonts w:ascii="Arial" w:cs="Arial" w:eastAsia="Arial" w:hAnsi="Arial"/>
                <w:sz w:val="12"/>
                <w:szCs w:val="12"/>
                <w:color w:val="auto"/>
              </w:rPr>
              <w:t>Issuance of common stock for restricted share vesting, net of</w:t>
            </w:r>
          </w:p>
        </w:tc>
        <w:tc>
          <w:tcPr>
            <w:tcW w:w="42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42</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(1,020)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(1,020)</w:t>
            </w:r>
          </w:p>
        </w:tc>
        <w:tc>
          <w:tcPr>
            <w:tcW w:w="0" w:type="dxa"/>
            <w:vAlign w:val="bottom"/>
          </w:tcPr>
          <w:p>
            <w:pPr>
              <w:spacing w:after="0"/>
              <w:rPr>
                <w:sz w:val="1"/>
                <w:szCs w:val="1"/>
                <w:color w:val="auto"/>
              </w:rPr>
            </w:pPr>
          </w:p>
        </w:tc>
      </w:tr>
      <w:tr>
        <w:trPr>
          <w:trHeight w:val="153"/>
        </w:trPr>
        <w:tc>
          <w:tcPr>
            <w:tcW w:w="41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employee tax withholdings</w:t>
            </w:r>
          </w:p>
        </w:tc>
        <w:tc>
          <w:tcPr>
            <w:tcW w:w="4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8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Repurchases of common stock</w:t>
            </w:r>
          </w:p>
        </w:tc>
        <w:tc>
          <w:tcPr>
            <w:tcW w:w="7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w w:val="99"/>
              </w:rPr>
              <w:t>(200)</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(18,861)</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(18,863)</w:t>
            </w:r>
          </w:p>
        </w:tc>
        <w:tc>
          <w:tcPr>
            <w:tcW w:w="0" w:type="dxa"/>
            <w:vAlign w:val="bottom"/>
          </w:tcPr>
          <w:p>
            <w:pPr>
              <w:spacing w:after="0"/>
              <w:rPr>
                <w:sz w:val="1"/>
                <w:szCs w:val="1"/>
                <w:color w:val="auto"/>
              </w:rPr>
            </w:pPr>
          </w:p>
        </w:tc>
      </w:tr>
      <w:tr>
        <w:trPr>
          <w:trHeight w:val="169"/>
        </w:trPr>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June 30, 2021</w:t>
            </w:r>
          </w:p>
        </w:tc>
        <w:tc>
          <w:tcPr>
            <w:tcW w:w="7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w w:val="92"/>
              </w:rPr>
              <w:t>54,393</w:t>
            </w: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692"/>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544</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539,390</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(188,889)</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1,058,542</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1,409,587</w:t>
            </w:r>
          </w:p>
        </w:tc>
        <w:tc>
          <w:tcPr>
            <w:tcW w:w="0" w:type="dxa"/>
            <w:vAlign w:val="bottom"/>
          </w:tcPr>
          <w:p>
            <w:pPr>
              <w:spacing w:after="0"/>
              <w:rPr>
                <w:sz w:val="1"/>
                <w:szCs w:val="1"/>
                <w:color w:val="auto"/>
              </w:rPr>
            </w:pPr>
          </w:p>
        </w:tc>
      </w:tr>
      <w:tr>
        <w:trPr>
          <w:trHeight w:val="525"/>
        </w:trPr>
        <w:tc>
          <w:tcPr>
            <w:tcW w:w="33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ind w:left="140"/>
              <w:spacing w:after="0"/>
              <w:rPr>
                <w:sz w:val="20"/>
                <w:szCs w:val="20"/>
                <w:color w:val="auto"/>
              </w:rPr>
            </w:pPr>
            <w:r>
              <w:rPr>
                <w:rFonts w:ascii="Arial" w:cs="Arial" w:eastAsia="Arial" w:hAnsi="Arial"/>
                <w:sz w:val="10"/>
                <w:szCs w:val="10"/>
                <w:b w:val="1"/>
                <w:bCs w:val="1"/>
                <w:color w:val="auto"/>
              </w:rPr>
              <w:t>Common Stock</w:t>
            </w:r>
          </w:p>
        </w:tc>
        <w:tc>
          <w:tcPr>
            <w:tcW w:w="3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380" w:type="dxa"/>
            <w:vAlign w:val="bottom"/>
          </w:tcPr>
          <w:p>
            <w:pPr>
              <w:spacing w:after="0"/>
              <w:rPr>
                <w:sz w:val="11"/>
                <w:szCs w:val="11"/>
                <w:color w:val="auto"/>
              </w:rPr>
            </w:pPr>
          </w:p>
        </w:tc>
        <w:tc>
          <w:tcPr>
            <w:tcW w:w="740" w:type="dxa"/>
            <w:vAlign w:val="bottom"/>
          </w:tcPr>
          <w:p>
            <w:pPr>
              <w:jc w:val="center"/>
              <w:ind w:left="312"/>
              <w:spacing w:after="0"/>
              <w:rPr>
                <w:sz w:val="20"/>
                <w:szCs w:val="20"/>
                <w:color w:val="auto"/>
              </w:rPr>
            </w:pPr>
            <w:r>
              <w:rPr>
                <w:rFonts w:ascii="Arial" w:cs="Arial" w:eastAsia="Arial" w:hAnsi="Arial"/>
                <w:sz w:val="10"/>
                <w:szCs w:val="10"/>
                <w:b w:val="1"/>
                <w:bCs w:val="1"/>
                <w:color w:val="auto"/>
                <w:w w:val="89"/>
              </w:rPr>
              <w:t>Number</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left="292"/>
              <w:spacing w:after="0"/>
              <w:rPr>
                <w:sz w:val="20"/>
                <w:szCs w:val="20"/>
                <w:color w:val="auto"/>
              </w:rPr>
            </w:pPr>
            <w:r>
              <w:rPr>
                <w:rFonts w:ascii="Arial" w:cs="Arial" w:eastAsia="Arial" w:hAnsi="Arial"/>
                <w:sz w:val="10"/>
                <w:szCs w:val="10"/>
                <w:b w:val="1"/>
                <w:bCs w:val="1"/>
                <w:color w:val="auto"/>
                <w:w w:val="87"/>
              </w:rPr>
              <w:t>$0.01</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5"/>
              </w:rPr>
              <w:t>Additional</w:t>
            </w:r>
          </w:p>
        </w:tc>
        <w:tc>
          <w:tcPr>
            <w:tcW w:w="140" w:type="dxa"/>
            <w:vAlign w:val="bottom"/>
          </w:tcPr>
          <w:p>
            <w:pPr>
              <w:spacing w:after="0"/>
              <w:rPr>
                <w:sz w:val="11"/>
                <w:szCs w:val="11"/>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5"/>
              </w:rPr>
              <w:t>Accumulated</w:t>
            </w:r>
          </w:p>
        </w:tc>
        <w:tc>
          <w:tcPr>
            <w:tcW w:w="18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85"/>
              </w:rPr>
              <w:t>Accumulated</w:t>
            </w:r>
          </w:p>
        </w:tc>
        <w:tc>
          <w:tcPr>
            <w:tcW w:w="180" w:type="dxa"/>
            <w:vAlign w:val="bottom"/>
          </w:tcPr>
          <w:p>
            <w:pPr>
              <w:spacing w:after="0"/>
              <w:rPr>
                <w:sz w:val="11"/>
                <w:szCs w:val="11"/>
                <w:color w:val="auto"/>
              </w:rPr>
            </w:pPr>
          </w:p>
        </w:tc>
        <w:tc>
          <w:tcPr>
            <w:tcW w:w="980" w:type="dxa"/>
            <w:vAlign w:val="bottom"/>
          </w:tcPr>
          <w:p>
            <w:pPr>
              <w:jc w:val="center"/>
              <w:ind w:right="162"/>
              <w:spacing w:after="0"/>
              <w:rPr>
                <w:sz w:val="20"/>
                <w:szCs w:val="20"/>
                <w:color w:val="auto"/>
              </w:rPr>
            </w:pPr>
            <w:r>
              <w:rPr>
                <w:rFonts w:ascii="Arial" w:cs="Arial" w:eastAsia="Arial" w:hAnsi="Arial"/>
                <w:sz w:val="10"/>
                <w:szCs w:val="10"/>
                <w:b w:val="1"/>
                <w:bCs w:val="1"/>
                <w:color w:val="auto"/>
                <w:w w:val="83"/>
              </w:rPr>
              <w:t>Total</w:t>
            </w:r>
          </w:p>
        </w:tc>
        <w:tc>
          <w:tcPr>
            <w:tcW w:w="0" w:type="dxa"/>
            <w:vAlign w:val="bottom"/>
          </w:tcPr>
          <w:p>
            <w:pPr>
              <w:spacing w:after="0"/>
              <w:rPr>
                <w:sz w:val="1"/>
                <w:szCs w:val="1"/>
                <w:color w:val="auto"/>
              </w:rPr>
            </w:pPr>
          </w:p>
        </w:tc>
      </w:tr>
      <w:tr>
        <w:trPr>
          <w:trHeight w:val="90"/>
        </w:trPr>
        <w:tc>
          <w:tcPr>
            <w:tcW w:w="3380" w:type="dxa"/>
            <w:vAlign w:val="bottom"/>
          </w:tcPr>
          <w:p>
            <w:pPr>
              <w:spacing w:after="0"/>
              <w:rPr>
                <w:sz w:val="7"/>
                <w:szCs w:val="7"/>
                <w:color w:val="auto"/>
              </w:rPr>
            </w:pPr>
          </w:p>
        </w:tc>
        <w:tc>
          <w:tcPr>
            <w:tcW w:w="740" w:type="dxa"/>
            <w:vAlign w:val="bottom"/>
          </w:tcPr>
          <w:p>
            <w:pPr>
              <w:jc w:val="center"/>
              <w:ind w:left="332"/>
              <w:spacing w:after="0" w:line="90" w:lineRule="exact"/>
              <w:rPr>
                <w:sz w:val="20"/>
                <w:szCs w:val="20"/>
                <w:color w:val="auto"/>
              </w:rPr>
            </w:pPr>
            <w:r>
              <w:rPr>
                <w:rFonts w:ascii="Arial" w:cs="Arial" w:eastAsia="Arial" w:hAnsi="Arial"/>
                <w:sz w:val="10"/>
                <w:szCs w:val="10"/>
                <w:b w:val="1"/>
                <w:bCs w:val="1"/>
                <w:color w:val="auto"/>
                <w:w w:val="84"/>
              </w:rPr>
              <w:t>of</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jc w:val="center"/>
              <w:ind w:left="292"/>
              <w:spacing w:after="0" w:line="90" w:lineRule="exact"/>
              <w:rPr>
                <w:sz w:val="20"/>
                <w:szCs w:val="20"/>
                <w:color w:val="auto"/>
              </w:rPr>
            </w:pPr>
            <w:r>
              <w:rPr>
                <w:rFonts w:ascii="Arial" w:cs="Arial" w:eastAsia="Arial" w:hAnsi="Arial"/>
                <w:sz w:val="10"/>
                <w:szCs w:val="10"/>
                <w:b w:val="1"/>
                <w:bCs w:val="1"/>
                <w:color w:val="auto"/>
                <w:w w:val="86"/>
              </w:rPr>
              <w:t>Par</w:t>
            </w: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gridSpan w:val="2"/>
          </w:tcPr>
          <w:p>
            <w:pPr>
              <w:jc w:val="center"/>
              <w:ind w:right="320"/>
              <w:spacing w:after="0" w:line="90" w:lineRule="exact"/>
              <w:rPr>
                <w:sz w:val="20"/>
                <w:szCs w:val="20"/>
                <w:color w:val="auto"/>
              </w:rPr>
            </w:pPr>
            <w:r>
              <w:rPr>
                <w:rFonts w:ascii="Arial" w:cs="Arial" w:eastAsia="Arial" w:hAnsi="Arial"/>
                <w:sz w:val="10"/>
                <w:szCs w:val="10"/>
                <w:b w:val="1"/>
                <w:bCs w:val="1"/>
                <w:color w:val="auto"/>
                <w:w w:val="89"/>
              </w:rPr>
              <w:t>Paid-in</w:t>
            </w:r>
          </w:p>
        </w:tc>
        <w:tc>
          <w:tcPr>
            <w:tcW w:w="140" w:type="dxa"/>
            <w:vAlign w:val="bottom"/>
          </w:tcPr>
          <w:p>
            <w:pPr>
              <w:spacing w:after="0"/>
              <w:rPr>
                <w:sz w:val="7"/>
                <w:szCs w:val="7"/>
                <w:color w:val="auto"/>
              </w:rPr>
            </w:pPr>
          </w:p>
        </w:tc>
        <w:tc>
          <w:tcPr>
            <w:tcW w:w="1220" w:type="dxa"/>
            <w:vAlign w:val="bottom"/>
            <w:gridSpan w:val="2"/>
          </w:tcPr>
          <w:p>
            <w:pPr>
              <w:jc w:val="center"/>
              <w:ind w:right="260"/>
              <w:spacing w:after="0" w:line="90" w:lineRule="exact"/>
              <w:rPr>
                <w:sz w:val="20"/>
                <w:szCs w:val="20"/>
                <w:color w:val="auto"/>
              </w:rPr>
            </w:pPr>
            <w:r>
              <w:rPr>
                <w:rFonts w:ascii="Arial" w:cs="Arial" w:eastAsia="Arial" w:hAnsi="Arial"/>
                <w:sz w:val="10"/>
                <w:szCs w:val="10"/>
                <w:b w:val="1"/>
                <w:bCs w:val="1"/>
                <w:color w:val="auto"/>
                <w:w w:val="89"/>
              </w:rPr>
              <w:t>Other</w:t>
            </w:r>
          </w:p>
        </w:tc>
        <w:tc>
          <w:tcPr>
            <w:tcW w:w="18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jc w:val="center"/>
              <w:ind w:right="162"/>
              <w:spacing w:after="0" w:line="90" w:lineRule="exact"/>
              <w:rPr>
                <w:sz w:val="20"/>
                <w:szCs w:val="20"/>
                <w:color w:val="auto"/>
              </w:rPr>
            </w:pPr>
            <w:r>
              <w:rPr>
                <w:rFonts w:ascii="Arial" w:cs="Arial" w:eastAsia="Arial" w:hAnsi="Arial"/>
                <w:sz w:val="10"/>
                <w:szCs w:val="10"/>
                <w:b w:val="1"/>
                <w:bCs w:val="1"/>
                <w:color w:val="auto"/>
                <w:w w:val="84"/>
              </w:rPr>
              <w:t>Stockholders’</w:t>
            </w:r>
          </w:p>
        </w:tc>
        <w:tc>
          <w:tcPr>
            <w:tcW w:w="0" w:type="dxa"/>
            <w:vAlign w:val="bottom"/>
          </w:tcPr>
          <w:p>
            <w:pPr>
              <w:spacing w:after="0"/>
              <w:rPr>
                <w:sz w:val="1"/>
                <w:szCs w:val="1"/>
                <w:color w:val="auto"/>
              </w:rPr>
            </w:pPr>
          </w:p>
        </w:tc>
      </w:tr>
      <w:tr>
        <w:trPr>
          <w:trHeight w:val="125"/>
        </w:trPr>
        <w:tc>
          <w:tcPr>
            <w:tcW w:w="338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jc w:val="center"/>
              <w:ind w:left="352"/>
              <w:spacing w:after="0"/>
              <w:rPr>
                <w:sz w:val="20"/>
                <w:szCs w:val="20"/>
                <w:color w:val="auto"/>
              </w:rPr>
            </w:pPr>
            <w:r>
              <w:rPr>
                <w:rFonts w:ascii="Arial" w:cs="Arial" w:eastAsia="Arial" w:hAnsi="Arial"/>
                <w:sz w:val="10"/>
                <w:szCs w:val="10"/>
                <w:b w:val="1"/>
                <w:bCs w:val="1"/>
                <w:color w:val="auto"/>
                <w:w w:val="77"/>
              </w:rPr>
              <w:t>Shares</w:t>
            </w: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0" w:type="dxa"/>
            <w:vAlign w:val="bottom"/>
            <w:tcBorders>
              <w:bottom w:val="single" w:sz="8" w:color="auto"/>
            </w:tcBorders>
          </w:tcPr>
          <w:p>
            <w:pPr>
              <w:jc w:val="center"/>
              <w:ind w:left="292"/>
              <w:spacing w:after="0"/>
              <w:rPr>
                <w:sz w:val="20"/>
                <w:szCs w:val="20"/>
                <w:color w:val="auto"/>
              </w:rPr>
            </w:pPr>
            <w:r>
              <w:rPr>
                <w:rFonts w:ascii="Arial" w:cs="Arial" w:eastAsia="Arial" w:hAnsi="Arial"/>
                <w:sz w:val="10"/>
                <w:szCs w:val="10"/>
                <w:b w:val="1"/>
                <w:bCs w:val="1"/>
                <w:color w:val="auto"/>
                <w:w w:val="82"/>
              </w:rPr>
              <w:t>Value</w:t>
            </w:r>
          </w:p>
        </w:tc>
        <w:tc>
          <w:tcPr>
            <w:tcW w:w="3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center"/>
              <w:ind w:right="142"/>
              <w:spacing w:after="0"/>
              <w:rPr>
                <w:sz w:val="20"/>
                <w:szCs w:val="20"/>
                <w:color w:val="auto"/>
              </w:rPr>
            </w:pPr>
            <w:r>
              <w:rPr>
                <w:rFonts w:ascii="Arial" w:cs="Arial" w:eastAsia="Arial" w:hAnsi="Arial"/>
                <w:sz w:val="10"/>
                <w:szCs w:val="10"/>
                <w:b w:val="1"/>
                <w:bCs w:val="1"/>
                <w:color w:val="auto"/>
                <w:w w:val="89"/>
              </w:rPr>
              <w:t>Capital</w:t>
            </w: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center"/>
              <w:ind w:right="82"/>
              <w:spacing w:after="0"/>
              <w:rPr>
                <w:sz w:val="20"/>
                <w:szCs w:val="20"/>
                <w:color w:val="auto"/>
              </w:rPr>
            </w:pPr>
            <w:r>
              <w:rPr>
                <w:rFonts w:ascii="Arial" w:cs="Arial" w:eastAsia="Arial" w:hAnsi="Arial"/>
                <w:sz w:val="10"/>
                <w:szCs w:val="10"/>
                <w:b w:val="1"/>
                <w:bCs w:val="1"/>
                <w:color w:val="auto"/>
                <w:w w:val="83"/>
              </w:rPr>
              <w:t>Comprehensive Loss</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center"/>
              <w:ind w:right="122"/>
              <w:spacing w:after="0"/>
              <w:rPr>
                <w:sz w:val="20"/>
                <w:szCs w:val="20"/>
                <w:color w:val="auto"/>
              </w:rPr>
            </w:pPr>
            <w:r>
              <w:rPr>
                <w:rFonts w:ascii="Arial" w:cs="Arial" w:eastAsia="Arial" w:hAnsi="Arial"/>
                <w:sz w:val="10"/>
                <w:szCs w:val="10"/>
                <w:b w:val="1"/>
                <w:bCs w:val="1"/>
                <w:color w:val="auto"/>
                <w:w w:val="88"/>
              </w:rPr>
              <w:t>Earnings</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122"/>
              <w:spacing w:after="0"/>
              <w:rPr>
                <w:sz w:val="20"/>
                <w:szCs w:val="20"/>
                <w:color w:val="auto"/>
              </w:rPr>
            </w:pPr>
            <w:r>
              <w:rPr>
                <w:rFonts w:ascii="Arial" w:cs="Arial" w:eastAsia="Arial" w:hAnsi="Arial"/>
                <w:sz w:val="10"/>
                <w:szCs w:val="10"/>
                <w:b w:val="1"/>
                <w:bCs w:val="1"/>
                <w:color w:val="auto"/>
                <w:w w:val="91"/>
              </w:rPr>
              <w:t>Equity</w:t>
            </w:r>
          </w:p>
        </w:tc>
        <w:tc>
          <w:tcPr>
            <w:tcW w:w="0" w:type="dxa"/>
            <w:vAlign w:val="bottom"/>
          </w:tcPr>
          <w:p>
            <w:pPr>
              <w:spacing w:after="0"/>
              <w:rPr>
                <w:sz w:val="1"/>
                <w:szCs w:val="1"/>
                <w:color w:val="auto"/>
              </w:rPr>
            </w:pPr>
          </w:p>
        </w:tc>
      </w:tr>
      <w:tr>
        <w:trPr>
          <w:trHeight w:val="143"/>
        </w:trPr>
        <w:tc>
          <w:tcPr>
            <w:tcW w:w="4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Balance at January 1, 2020</w:t>
            </w: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92"/>
              </w:rPr>
              <w:t>55,798</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92"/>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644,412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(210,051)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834,894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1,269,813</w:t>
            </w:r>
          </w:p>
        </w:tc>
        <w:tc>
          <w:tcPr>
            <w:tcW w:w="0" w:type="dxa"/>
            <w:vAlign w:val="bottom"/>
          </w:tcPr>
          <w:p>
            <w:pPr>
              <w:spacing w:after="0"/>
              <w:rPr>
                <w:sz w:val="1"/>
                <w:szCs w:val="1"/>
                <w:color w:val="auto"/>
              </w:rPr>
            </w:pPr>
          </w:p>
        </w:tc>
      </w:tr>
      <w:tr>
        <w:trPr>
          <w:trHeight w:val="153"/>
        </w:trPr>
        <w:tc>
          <w:tcPr>
            <w:tcW w:w="4120" w:type="dxa"/>
            <w:vAlign w:val="bottom"/>
            <w:gridSpan w:val="2"/>
          </w:tcPr>
          <w:p>
            <w:pPr>
              <w:ind w:left="80"/>
              <w:spacing w:after="0"/>
              <w:rPr>
                <w:sz w:val="20"/>
                <w:szCs w:val="20"/>
                <w:color w:val="auto"/>
              </w:rPr>
            </w:pPr>
            <w:r>
              <w:rPr>
                <w:rFonts w:ascii="Arial" w:cs="Arial" w:eastAsia="Arial" w:hAnsi="Arial"/>
                <w:sz w:val="12"/>
                <w:szCs w:val="12"/>
                <w:color w:val="auto"/>
              </w:rPr>
              <w:t>Net income</w:t>
            </w: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11,572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2"/>
              <w:spacing w:after="0"/>
              <w:rPr>
                <w:sz w:val="20"/>
                <w:szCs w:val="20"/>
                <w:color w:val="auto"/>
              </w:rPr>
            </w:pPr>
            <w:r>
              <w:rPr>
                <w:rFonts w:ascii="Arial" w:cs="Arial" w:eastAsia="Arial" w:hAnsi="Arial"/>
                <w:sz w:val="12"/>
                <w:szCs w:val="12"/>
                <w:color w:val="auto"/>
              </w:rPr>
              <w:t>11,572</w:t>
            </w:r>
          </w:p>
        </w:tc>
        <w:tc>
          <w:tcPr>
            <w:tcW w:w="0" w:type="dxa"/>
            <w:vAlign w:val="bottom"/>
          </w:tcPr>
          <w:p>
            <w:pPr>
              <w:spacing w:after="0"/>
              <w:rPr>
                <w:sz w:val="1"/>
                <w:szCs w:val="1"/>
                <w:color w:val="auto"/>
              </w:rPr>
            </w:pPr>
          </w:p>
        </w:tc>
      </w:tr>
      <w:tr>
        <w:trPr>
          <w:trHeight w:val="153"/>
        </w:trPr>
        <w:tc>
          <w:tcPr>
            <w:tcW w:w="41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Other comprehensive loss</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(59,306)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(59,306)</w:t>
            </w:r>
          </w:p>
        </w:tc>
        <w:tc>
          <w:tcPr>
            <w:tcW w:w="0" w:type="dxa"/>
            <w:vAlign w:val="bottom"/>
          </w:tcPr>
          <w:p>
            <w:pPr>
              <w:spacing w:after="0"/>
              <w:rPr>
                <w:sz w:val="1"/>
                <w:szCs w:val="1"/>
                <w:color w:val="auto"/>
              </w:rPr>
            </w:pPr>
          </w:p>
        </w:tc>
      </w:tr>
      <w:tr>
        <w:trPr>
          <w:trHeight w:val="153"/>
        </w:trPr>
        <w:tc>
          <w:tcPr>
            <w:tcW w:w="4120" w:type="dxa"/>
            <w:vAlign w:val="bottom"/>
            <w:gridSpan w:val="2"/>
          </w:tcPr>
          <w:p>
            <w:pPr>
              <w:ind w:left="80"/>
              <w:spacing w:after="0"/>
              <w:rPr>
                <w:sz w:val="20"/>
                <w:szCs w:val="20"/>
                <w:color w:val="auto"/>
              </w:rPr>
            </w:pPr>
            <w:r>
              <w:rPr>
                <w:rFonts w:ascii="Arial" w:cs="Arial" w:eastAsia="Arial" w:hAnsi="Arial"/>
                <w:sz w:val="12"/>
                <w:szCs w:val="12"/>
                <w:color w:val="auto"/>
              </w:rPr>
              <w:t>Stock-based compensation</w:t>
            </w: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3,291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80" w:type="dxa"/>
            <w:vAlign w:val="bottom"/>
          </w:tcPr>
          <w:p>
            <w:pPr>
              <w:jc w:val="right"/>
              <w:ind w:right="2"/>
              <w:spacing w:after="0"/>
              <w:rPr>
                <w:sz w:val="20"/>
                <w:szCs w:val="20"/>
                <w:color w:val="auto"/>
              </w:rPr>
            </w:pPr>
            <w:r>
              <w:rPr>
                <w:rFonts w:ascii="Arial" w:cs="Arial" w:eastAsia="Arial" w:hAnsi="Arial"/>
                <w:sz w:val="12"/>
                <w:szCs w:val="12"/>
                <w:color w:val="auto"/>
              </w:rPr>
              <w:t>3,291</w:t>
            </w:r>
          </w:p>
        </w:tc>
        <w:tc>
          <w:tcPr>
            <w:tcW w:w="0" w:type="dxa"/>
            <w:vAlign w:val="bottom"/>
          </w:tcPr>
          <w:p>
            <w:pPr>
              <w:spacing w:after="0"/>
              <w:rPr>
                <w:sz w:val="1"/>
                <w:szCs w:val="1"/>
                <w:color w:val="auto"/>
              </w:rPr>
            </w:pPr>
          </w:p>
        </w:tc>
      </w:tr>
      <w:tr>
        <w:trPr>
          <w:trHeight w:val="117"/>
        </w:trPr>
        <w:tc>
          <w:tcPr>
            <w:tcW w:w="4120" w:type="dxa"/>
            <w:vAlign w:val="bottom"/>
            <w:gridSpan w:val="2"/>
            <w:shd w:val="clear" w:color="auto" w:fill="CCEEFF"/>
          </w:tcPr>
          <w:p>
            <w:pPr>
              <w:ind w:left="80"/>
              <w:spacing w:after="0" w:line="117" w:lineRule="exact"/>
              <w:rPr>
                <w:sz w:val="20"/>
                <w:szCs w:val="20"/>
                <w:color w:val="auto"/>
              </w:rPr>
            </w:pPr>
            <w:r>
              <w:rPr>
                <w:rFonts w:ascii="Arial" w:cs="Arial" w:eastAsia="Arial" w:hAnsi="Arial"/>
                <w:sz w:val="12"/>
                <w:szCs w:val="12"/>
                <w:color w:val="auto"/>
              </w:rPr>
              <w:t>Issuance of common stock for restricted share vesting, net of</w:t>
            </w:r>
          </w:p>
        </w:tc>
        <w:tc>
          <w:tcPr>
            <w:tcW w:w="42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59</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(2,225)</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(2,224)</w:t>
            </w:r>
          </w:p>
        </w:tc>
        <w:tc>
          <w:tcPr>
            <w:tcW w:w="0" w:type="dxa"/>
            <w:vAlign w:val="bottom"/>
          </w:tcPr>
          <w:p>
            <w:pPr>
              <w:spacing w:after="0"/>
              <w:rPr>
                <w:sz w:val="1"/>
                <w:szCs w:val="1"/>
                <w:color w:val="auto"/>
              </w:rPr>
            </w:pPr>
          </w:p>
        </w:tc>
      </w:tr>
      <w:tr>
        <w:trPr>
          <w:trHeight w:val="153"/>
        </w:trPr>
        <w:tc>
          <w:tcPr>
            <w:tcW w:w="41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employee tax withholdings</w:t>
            </w:r>
          </w:p>
        </w:tc>
        <w:tc>
          <w:tcPr>
            <w:tcW w:w="4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8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Repurchases of common stock</w:t>
            </w:r>
          </w:p>
        </w:tc>
        <w:tc>
          <w:tcPr>
            <w:tcW w:w="7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w w:val="99"/>
              </w:rPr>
              <w:t>(302)</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(17,338)</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(17,341)</w:t>
            </w:r>
          </w:p>
        </w:tc>
        <w:tc>
          <w:tcPr>
            <w:tcW w:w="0" w:type="dxa"/>
            <w:vAlign w:val="bottom"/>
          </w:tcPr>
          <w:p>
            <w:pPr>
              <w:spacing w:after="0"/>
              <w:rPr>
                <w:sz w:val="1"/>
                <w:szCs w:val="1"/>
                <w:color w:val="auto"/>
              </w:rPr>
            </w:pPr>
          </w:p>
        </w:tc>
      </w:tr>
      <w:tr>
        <w:trPr>
          <w:trHeight w:val="142"/>
        </w:trPr>
        <w:tc>
          <w:tcPr>
            <w:tcW w:w="4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Balance at March 31, 2020</w:t>
            </w: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w w:val="92"/>
              </w:rPr>
              <w:t>55,555</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628,140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(269,357)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846,466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1,205,805</w:t>
            </w:r>
          </w:p>
        </w:tc>
        <w:tc>
          <w:tcPr>
            <w:tcW w:w="0" w:type="dxa"/>
            <w:vAlign w:val="bottom"/>
          </w:tcPr>
          <w:p>
            <w:pPr>
              <w:spacing w:after="0"/>
              <w:rPr>
                <w:sz w:val="1"/>
                <w:szCs w:val="1"/>
                <w:color w:val="auto"/>
              </w:rPr>
            </w:pPr>
          </w:p>
        </w:tc>
      </w:tr>
      <w:tr>
        <w:trPr>
          <w:trHeight w:val="153"/>
        </w:trPr>
        <w:tc>
          <w:tcPr>
            <w:tcW w:w="4120" w:type="dxa"/>
            <w:vAlign w:val="bottom"/>
            <w:gridSpan w:val="2"/>
          </w:tcPr>
          <w:p>
            <w:pPr>
              <w:ind w:left="80"/>
              <w:spacing w:after="0"/>
              <w:rPr>
                <w:sz w:val="20"/>
                <w:szCs w:val="20"/>
                <w:color w:val="auto"/>
              </w:rPr>
            </w:pPr>
            <w:r>
              <w:rPr>
                <w:rFonts w:ascii="Arial" w:cs="Arial" w:eastAsia="Arial" w:hAnsi="Arial"/>
                <w:sz w:val="12"/>
                <w:szCs w:val="12"/>
                <w:color w:val="auto"/>
              </w:rPr>
              <w:t>Net income</w:t>
            </w: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29,023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2"/>
              <w:spacing w:after="0"/>
              <w:rPr>
                <w:sz w:val="20"/>
                <w:szCs w:val="20"/>
                <w:color w:val="auto"/>
              </w:rPr>
            </w:pPr>
            <w:r>
              <w:rPr>
                <w:rFonts w:ascii="Arial" w:cs="Arial" w:eastAsia="Arial" w:hAnsi="Arial"/>
                <w:sz w:val="12"/>
                <w:szCs w:val="12"/>
                <w:color w:val="auto"/>
              </w:rPr>
              <w:t>29,023</w:t>
            </w:r>
          </w:p>
        </w:tc>
        <w:tc>
          <w:tcPr>
            <w:tcW w:w="0" w:type="dxa"/>
            <w:vAlign w:val="bottom"/>
          </w:tcPr>
          <w:p>
            <w:pPr>
              <w:spacing w:after="0"/>
              <w:rPr>
                <w:sz w:val="1"/>
                <w:szCs w:val="1"/>
                <w:color w:val="auto"/>
              </w:rPr>
            </w:pPr>
          </w:p>
        </w:tc>
      </w:tr>
      <w:tr>
        <w:trPr>
          <w:trHeight w:val="153"/>
        </w:trPr>
        <w:tc>
          <w:tcPr>
            <w:tcW w:w="41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Other comprehensive income</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17,528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17,528</w:t>
            </w:r>
          </w:p>
        </w:tc>
        <w:tc>
          <w:tcPr>
            <w:tcW w:w="0" w:type="dxa"/>
            <w:vAlign w:val="bottom"/>
          </w:tcPr>
          <w:p>
            <w:pPr>
              <w:spacing w:after="0"/>
              <w:rPr>
                <w:sz w:val="1"/>
                <w:szCs w:val="1"/>
                <w:color w:val="auto"/>
              </w:rPr>
            </w:pPr>
          </w:p>
        </w:tc>
      </w:tr>
      <w:tr>
        <w:trPr>
          <w:trHeight w:val="153"/>
        </w:trPr>
        <w:tc>
          <w:tcPr>
            <w:tcW w:w="4120" w:type="dxa"/>
            <w:vAlign w:val="bottom"/>
            <w:gridSpan w:val="2"/>
          </w:tcPr>
          <w:p>
            <w:pPr>
              <w:ind w:left="80"/>
              <w:spacing w:after="0"/>
              <w:rPr>
                <w:sz w:val="20"/>
                <w:szCs w:val="20"/>
                <w:color w:val="auto"/>
              </w:rPr>
            </w:pPr>
            <w:r>
              <w:rPr>
                <w:rFonts w:ascii="Arial" w:cs="Arial" w:eastAsia="Arial" w:hAnsi="Arial"/>
                <w:sz w:val="12"/>
                <w:szCs w:val="12"/>
                <w:color w:val="auto"/>
              </w:rPr>
              <w:t>Stock-based compensation</w:t>
            </w: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2,786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980" w:type="dxa"/>
            <w:vAlign w:val="bottom"/>
          </w:tcPr>
          <w:p>
            <w:pPr>
              <w:jc w:val="right"/>
              <w:ind w:right="2"/>
              <w:spacing w:after="0"/>
              <w:rPr>
                <w:sz w:val="20"/>
                <w:szCs w:val="20"/>
                <w:color w:val="auto"/>
              </w:rPr>
            </w:pPr>
            <w:r>
              <w:rPr>
                <w:rFonts w:ascii="Arial" w:cs="Arial" w:eastAsia="Arial" w:hAnsi="Arial"/>
                <w:sz w:val="12"/>
                <w:szCs w:val="12"/>
                <w:color w:val="auto"/>
              </w:rPr>
              <w:t>2,786</w:t>
            </w:r>
          </w:p>
        </w:tc>
        <w:tc>
          <w:tcPr>
            <w:tcW w:w="0" w:type="dxa"/>
            <w:vAlign w:val="bottom"/>
          </w:tcPr>
          <w:p>
            <w:pPr>
              <w:spacing w:after="0"/>
              <w:rPr>
                <w:sz w:val="1"/>
                <w:szCs w:val="1"/>
                <w:color w:val="auto"/>
              </w:rPr>
            </w:pPr>
          </w:p>
        </w:tc>
      </w:tr>
      <w:tr>
        <w:trPr>
          <w:trHeight w:val="117"/>
        </w:trPr>
        <w:tc>
          <w:tcPr>
            <w:tcW w:w="4120" w:type="dxa"/>
            <w:vAlign w:val="bottom"/>
            <w:gridSpan w:val="2"/>
            <w:shd w:val="clear" w:color="auto" w:fill="CCEEFF"/>
          </w:tcPr>
          <w:p>
            <w:pPr>
              <w:ind w:left="80"/>
              <w:spacing w:after="0" w:line="117" w:lineRule="exact"/>
              <w:rPr>
                <w:sz w:val="20"/>
                <w:szCs w:val="20"/>
                <w:color w:val="auto"/>
              </w:rPr>
            </w:pPr>
            <w:r>
              <w:rPr>
                <w:rFonts w:ascii="Arial" w:cs="Arial" w:eastAsia="Arial" w:hAnsi="Arial"/>
                <w:sz w:val="12"/>
                <w:szCs w:val="12"/>
                <w:color w:val="auto"/>
              </w:rPr>
              <w:t>Issuance of common stock for restricted share vesting, net of</w:t>
            </w:r>
          </w:p>
        </w:tc>
        <w:tc>
          <w:tcPr>
            <w:tcW w:w="42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58</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vMerge w:val="restart"/>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(1,171)</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vMerge w:val="restart"/>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vMerge w:val="restart"/>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(1,171)</w:t>
            </w:r>
          </w:p>
        </w:tc>
        <w:tc>
          <w:tcPr>
            <w:tcW w:w="0" w:type="dxa"/>
            <w:vAlign w:val="bottom"/>
          </w:tcPr>
          <w:p>
            <w:pPr>
              <w:spacing w:after="0"/>
              <w:rPr>
                <w:sz w:val="1"/>
                <w:szCs w:val="1"/>
                <w:color w:val="auto"/>
              </w:rPr>
            </w:pPr>
          </w:p>
        </w:tc>
      </w:tr>
      <w:tr>
        <w:trPr>
          <w:trHeight w:val="153"/>
        </w:trPr>
        <w:tc>
          <w:tcPr>
            <w:tcW w:w="3380" w:type="dxa"/>
            <w:vAlign w:val="bottom"/>
            <w:shd w:val="clear" w:color="auto" w:fill="CCEEFF"/>
          </w:tcPr>
          <w:p>
            <w:pPr>
              <w:ind w:left="80"/>
              <w:spacing w:after="0"/>
              <w:rPr>
                <w:sz w:val="20"/>
                <w:szCs w:val="20"/>
                <w:color w:val="auto"/>
              </w:rPr>
            </w:pPr>
            <w:r>
              <w:rPr>
                <w:rFonts w:ascii="Arial" w:cs="Arial" w:eastAsia="Arial" w:hAnsi="Arial"/>
                <w:sz w:val="12"/>
                <w:szCs w:val="12"/>
                <w:color w:val="auto"/>
              </w:rPr>
              <w:t>employee tax withholdings</w:t>
            </w:r>
          </w:p>
        </w:tc>
        <w:tc>
          <w:tcPr>
            <w:tcW w:w="74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120" w:type="dxa"/>
            <w:vAlign w:val="bottom"/>
            <w:gridSpan w:val="2"/>
          </w:tcPr>
          <w:p>
            <w:pPr>
              <w:spacing w:after="0"/>
              <w:rPr>
                <w:sz w:val="20"/>
                <w:szCs w:val="20"/>
                <w:color w:val="auto"/>
              </w:rPr>
            </w:pPr>
            <w:r>
              <w:rPr>
                <w:rFonts w:ascii="Arial" w:cs="Arial" w:eastAsia="Arial" w:hAnsi="Arial"/>
                <w:sz w:val="12"/>
                <w:szCs w:val="12"/>
                <w:color w:val="auto"/>
              </w:rPr>
              <w:t>Balance at June 30, 2020</w:t>
            </w:r>
          </w:p>
        </w:tc>
        <w:tc>
          <w:tcPr>
            <w:tcW w:w="420" w:type="dxa"/>
            <w:vAlign w:val="bottom"/>
          </w:tcPr>
          <w:p>
            <w:pPr>
              <w:jc w:val="right"/>
              <w:ind w:right="1"/>
              <w:spacing w:after="0"/>
              <w:rPr>
                <w:sz w:val="20"/>
                <w:szCs w:val="20"/>
                <w:color w:val="auto"/>
              </w:rPr>
            </w:pPr>
            <w:r>
              <w:rPr>
                <w:rFonts w:ascii="Arial" w:cs="Arial" w:eastAsia="Arial" w:hAnsi="Arial"/>
                <w:sz w:val="12"/>
                <w:szCs w:val="12"/>
                <w:color w:val="auto"/>
                <w:w w:val="92"/>
              </w:rPr>
              <w:t>55,613</w:t>
            </w:r>
          </w:p>
        </w:tc>
        <w:tc>
          <w:tcPr>
            <w:tcW w:w="80" w:type="dxa"/>
            <w:vAlign w:val="bottom"/>
          </w:tcPr>
          <w:p>
            <w:pPr>
              <w:spacing w:after="0"/>
              <w:rPr>
                <w:sz w:val="12"/>
                <w:szCs w:val="12"/>
                <w:color w:val="auto"/>
              </w:rPr>
            </w:pPr>
          </w:p>
        </w:tc>
        <w:tc>
          <w:tcPr>
            <w:tcW w:w="800" w:type="dxa"/>
            <w:vAlign w:val="bottom"/>
          </w:tcPr>
          <w:p>
            <w:pPr>
              <w:jc w:val="right"/>
              <w:ind w:right="692"/>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556</w:t>
            </w:r>
          </w:p>
        </w:tc>
        <w:tc>
          <w:tcPr>
            <w:tcW w:w="80" w:type="dxa"/>
            <w:vAlign w:val="bottom"/>
          </w:tcPr>
          <w:p>
            <w:pPr>
              <w:spacing w:after="0"/>
              <w:rPr>
                <w:sz w:val="12"/>
                <w:szCs w:val="12"/>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629,755</w:t>
            </w:r>
          </w:p>
        </w:tc>
        <w:tc>
          <w:tcPr>
            <w:tcW w:w="80" w:type="dxa"/>
            <w:vAlign w:val="bottom"/>
          </w:tcPr>
          <w:p>
            <w:pPr>
              <w:spacing w:after="0"/>
              <w:rPr>
                <w:sz w:val="12"/>
                <w:szCs w:val="12"/>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(251,829)</w:t>
            </w:r>
          </w:p>
        </w:tc>
        <w:tc>
          <w:tcPr>
            <w:tcW w:w="80" w:type="dxa"/>
            <w:vAlign w:val="bottom"/>
          </w:tcPr>
          <w:p>
            <w:pPr>
              <w:spacing w:after="0"/>
              <w:rPr>
                <w:sz w:val="12"/>
                <w:szCs w:val="12"/>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875,489</w:t>
            </w:r>
          </w:p>
        </w:tc>
        <w:tc>
          <w:tcPr>
            <w:tcW w:w="80" w:type="dxa"/>
            <w:vAlign w:val="bottom"/>
          </w:tcPr>
          <w:p>
            <w:pPr>
              <w:spacing w:after="0"/>
              <w:rPr>
                <w:sz w:val="12"/>
                <w:szCs w:val="12"/>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2"/>
              <w:spacing w:after="0"/>
              <w:rPr>
                <w:sz w:val="20"/>
                <w:szCs w:val="20"/>
                <w:color w:val="auto"/>
              </w:rPr>
            </w:pPr>
            <w:r>
              <w:rPr>
                <w:rFonts w:ascii="Arial" w:cs="Arial" w:eastAsia="Arial" w:hAnsi="Arial"/>
                <w:sz w:val="12"/>
                <w:szCs w:val="12"/>
                <w:color w:val="auto"/>
              </w:rPr>
              <w:t>1,253,971</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ind w:right="-219"/>
        <w:spacing w:after="0"/>
        <w:rPr>
          <w:sz w:val="20"/>
          <w:szCs w:val="20"/>
          <w:color w:val="auto"/>
        </w:rPr>
      </w:pPr>
      <w:r>
        <w:rPr>
          <w:rFonts w:ascii="Arial" w:cs="Arial" w:eastAsia="Arial" w:hAnsi="Arial"/>
          <w:sz w:val="12"/>
          <w:szCs w:val="12"/>
          <w:color w:val="auto"/>
        </w:rPr>
        <w:t>The accompanying notes are an integral part of these unaudited consolidated financial statements.</w:t>
      </w:r>
    </w:p>
    <w:p>
      <w:pPr>
        <w:spacing w:after="0" w:line="200" w:lineRule="exact"/>
        <w:rPr>
          <w:sz w:val="20"/>
          <w:szCs w:val="20"/>
          <w:color w:val="auto"/>
        </w:rPr>
      </w:pPr>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60"/>
          </w:cols>
          <w:pgMar w:left="300" w:top="131" w:right="539" w:bottom="1440" w:gutter="0" w:footer="0" w:header="0"/>
        </w:sectPr>
      </w:pPr>
    </w:p>
    <w:bookmarkStart w:id="7" w:name="page8"/>
    <w:bookmarkEnd w:id="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CLEAN HARBORS, INC. AND SUBSIDIARIES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UNAUDITED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BASIS OF PRESENTATION</w:t>
      </w:r>
    </w:p>
    <w:p>
      <w:pPr>
        <w:spacing w:after="0" w:line="109" w:lineRule="exact"/>
        <w:rPr>
          <w:sz w:val="20"/>
          <w:szCs w:val="20"/>
          <w:color w:val="auto"/>
        </w:rPr>
      </w:pPr>
    </w:p>
    <w:p>
      <w:pPr>
        <w:ind w:right="80" w:firstLine="432"/>
        <w:spacing w:after="0" w:line="285" w:lineRule="auto"/>
        <w:rPr>
          <w:sz w:val="20"/>
          <w:szCs w:val="20"/>
          <w:color w:val="auto"/>
        </w:rPr>
      </w:pPr>
      <w:r>
        <w:rPr>
          <w:rFonts w:ascii="Arial" w:cs="Arial" w:eastAsia="Arial" w:hAnsi="Arial"/>
          <w:sz w:val="11"/>
          <w:szCs w:val="11"/>
          <w:color w:val="auto"/>
        </w:rPr>
        <w:t>The accompanying consolidated interim financial statements are unaudited and include the accounts of Clean Harbors, Inc. and its subsidiaries (collectively, “Clean Harbors,” the “Company” or "we") and have been prepared pursuant to the rules and regulations of the Securities and Exchange Commission (the “SEC”) and, in the opinion of management, include all adjustments which are of a normal recurring nature and are necessary for a fair presentation of the financial position, results of operations and cash flows for the periods presented. Management has made estimates and assumptions affecting the amounts reported in the Company's consolidated interim financial statements and accompanying footnotes; actual results could differ from those estimates and judgments. The results for interim periods are not necessarily indicative of results for the entire year or any other interim periods. The financial statements presented herein should be read in conjunction with the financial statements included in the Company’s Annual Report on Form 10-K for the year ended December 31, 2020.</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SIGNIFICANT ACCOUNTING POLICIES</w:t>
      </w:r>
    </w:p>
    <w:p>
      <w:pPr>
        <w:spacing w:after="0" w:line="100" w:lineRule="exact"/>
        <w:rPr>
          <w:sz w:val="20"/>
          <w:szCs w:val="20"/>
          <w:color w:val="auto"/>
        </w:rPr>
      </w:pPr>
    </w:p>
    <w:p>
      <w:pPr>
        <w:ind w:right="140" w:firstLine="432"/>
        <w:spacing w:after="0" w:line="276" w:lineRule="auto"/>
        <w:rPr>
          <w:sz w:val="20"/>
          <w:szCs w:val="20"/>
          <w:color w:val="auto"/>
        </w:rPr>
      </w:pPr>
      <w:r>
        <w:rPr>
          <w:rFonts w:ascii="Arial" w:cs="Arial" w:eastAsia="Arial" w:hAnsi="Arial"/>
          <w:sz w:val="12"/>
          <w:szCs w:val="12"/>
          <w:color w:val="auto"/>
        </w:rPr>
        <w:t>The Company's significant accounting policies are described in Note 2, "Significant Accounting Policies," in the Company's Annual Report on Form 10-K for the year ended December 31, 2020. There have been no material changes in these policies or their application except for the changes described below.</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Changes in Operating Segments</w:t>
      </w:r>
    </w:p>
    <w:p>
      <w:pPr>
        <w:spacing w:after="0" w:line="105" w:lineRule="exact"/>
        <w:rPr>
          <w:sz w:val="20"/>
          <w:szCs w:val="20"/>
          <w:color w:val="auto"/>
        </w:rPr>
      </w:pPr>
    </w:p>
    <w:p>
      <w:pPr>
        <w:ind w:right="60" w:firstLine="432"/>
        <w:spacing w:after="0" w:line="263" w:lineRule="auto"/>
        <w:rPr>
          <w:sz w:val="20"/>
          <w:szCs w:val="20"/>
          <w:color w:val="auto"/>
        </w:rPr>
      </w:pPr>
      <w:r>
        <w:rPr>
          <w:rFonts w:ascii="Arial" w:cs="Arial" w:eastAsia="Arial" w:hAnsi="Arial"/>
          <w:sz w:val="12"/>
          <w:szCs w:val="12"/>
          <w:color w:val="auto"/>
        </w:rPr>
        <w:t>During the first quarter of 2021, the Company reorganized its Safety-Kleen business. The collection services for waste oil, used oil filters, antifreeze and related items and bulk blended oil sales operations were combined with the Safety-Kleen Oil business to form the Safety-Kleen Sustainability Solutions business. Under this structure, Safety-Kleen Sustainability Solutions will encompass both sides of the spread the Company manages in its re-refinery business, and the Company expects this change to drive additional growth in its sustainable lubricant products and related services.</w:t>
      </w:r>
    </w:p>
    <w:p>
      <w:pPr>
        <w:spacing w:after="0" w:line="68"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Concurrently with this change, the Company consolidated the Safety-Kleen Environmental branches' core offerings, including containerized waste, parts washer and vacuum services, into the legacy Clean Harbors Environmental Services sales and service operations. The Company expects this change to foster enhanced cross-selling opportunities within the environmental businesses and increase market presence with small quantity generators of hazardous waste.</w:t>
      </w:r>
    </w:p>
    <w:p>
      <w:pPr>
        <w:spacing w:after="0" w:line="77" w:lineRule="exact"/>
        <w:rPr>
          <w:sz w:val="20"/>
          <w:szCs w:val="20"/>
          <w:color w:val="auto"/>
        </w:rPr>
      </w:pPr>
    </w:p>
    <w:p>
      <w:pPr>
        <w:ind w:firstLine="432"/>
        <w:spacing w:after="0" w:line="283" w:lineRule="auto"/>
        <w:rPr>
          <w:sz w:val="20"/>
          <w:szCs w:val="20"/>
          <w:color w:val="auto"/>
        </w:rPr>
      </w:pPr>
      <w:r>
        <w:rPr>
          <w:rFonts w:ascii="Arial" w:cs="Arial" w:eastAsia="Arial" w:hAnsi="Arial"/>
          <w:sz w:val="11"/>
          <w:szCs w:val="11"/>
          <w:color w:val="auto"/>
        </w:rPr>
        <w:t xml:space="preserve">In restructuring the operations of the Company in this manner, the information that the chief operating decision maker regularly reviews for purposes of allocating resources and assessing performance changed to conform to this new operating structure of the business and the Company reevaluated the identification of its operating segments. In accordance with ASC 280, </w:t>
      </w:r>
      <w:r>
        <w:rPr>
          <w:rFonts w:ascii="Arial" w:cs="Arial" w:eastAsia="Arial" w:hAnsi="Arial"/>
          <w:sz w:val="11"/>
          <w:szCs w:val="11"/>
          <w:i w:val="1"/>
          <w:iCs w:val="1"/>
          <w:color w:val="auto"/>
        </w:rPr>
        <w:t>Segment Reporting,</w:t>
      </w:r>
      <w:r>
        <w:rPr>
          <w:rFonts w:ascii="Arial" w:cs="Arial" w:eastAsia="Arial" w:hAnsi="Arial"/>
          <w:sz w:val="11"/>
          <w:szCs w:val="11"/>
          <w:color w:val="auto"/>
        </w:rPr>
        <w:t xml:space="preserve"> Environmental Services and Safety-Kleen Sustainability Solutions are the Company's operating segments and reportable segments starting in the first quarter of 2021, with the operations not managed through the Company's operating segments described above continuing to be recorded as Corporate Items. See Note 17, "Segment Reporting" for more information. The amounts presented for the three and six months ended June 30, 2020 and any segment information presented as of December 31, 2020 have been recast to reflect the impact of such changes. In addition, certain intercompany transactions previously recorded in Corporate Items have been allocated to the segments. These reclassifications and adjustments had no effect on the consolidated statements of operations, consolidated statements of comprehensive income (loss), consolidated statements of cash flows or consolidated statements of stockholders' equity for any of the periods presented.</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REVENUES</w:t>
      </w:r>
    </w:p>
    <w:p>
      <w:pPr>
        <w:spacing w:after="0" w:line="109"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color w:val="auto"/>
        </w:rPr>
        <w:t>The Company generates revenues through its Environmental Services and Safety-Kleen Sustainability Solutions operating segments. The Company's Environmental Services operating segment has four sources of revenue and the Safety-Kleen Sustainability Solutions operating segment has two sources of revenue.</w:t>
      </w:r>
    </w:p>
    <w:p>
      <w:pPr>
        <w:spacing w:after="0" w:line="61" w:lineRule="exact"/>
        <w:rPr>
          <w:sz w:val="20"/>
          <w:szCs w:val="20"/>
          <w:color w:val="auto"/>
        </w:rPr>
      </w:pPr>
    </w:p>
    <w:p>
      <w:pPr>
        <w:ind w:right="120" w:firstLine="432"/>
        <w:spacing w:after="0" w:line="326" w:lineRule="auto"/>
        <w:rPr>
          <w:sz w:val="20"/>
          <w:szCs w:val="20"/>
          <w:color w:val="auto"/>
        </w:rPr>
      </w:pPr>
      <w:r>
        <w:rPr>
          <w:rFonts w:ascii="Arial" w:cs="Arial" w:eastAsia="Arial" w:hAnsi="Arial"/>
          <w:sz w:val="10"/>
          <w:szCs w:val="10"/>
          <w:i w:val="1"/>
          <w:iCs w:val="1"/>
          <w:color w:val="auto"/>
        </w:rPr>
        <w:t>Technical Services</w:t>
      </w:r>
      <w:r>
        <w:rPr>
          <w:rFonts w:ascii="Arial" w:cs="Arial" w:eastAsia="Arial" w:hAnsi="Arial"/>
          <w:sz w:val="10"/>
          <w:szCs w:val="10"/>
          <w:color w:val="auto"/>
        </w:rPr>
        <w:t>—Technical Services contribute to the revenues of the Environmental Services operating segment. These services are generated from fees charged for waste material management and disposal services</w:t>
      </w:r>
      <w:r>
        <w:rPr>
          <w:rFonts w:ascii="Arial" w:cs="Arial" w:eastAsia="Arial" w:hAnsi="Arial"/>
          <w:sz w:val="10"/>
          <w:szCs w:val="10"/>
          <w:i w:val="1"/>
          <w:iCs w:val="1"/>
          <w:color w:val="auto"/>
        </w:rPr>
        <w:t xml:space="preserve"> </w:t>
      </w:r>
      <w:r>
        <w:rPr>
          <w:rFonts w:ascii="Arial" w:cs="Arial" w:eastAsia="Arial" w:hAnsi="Arial"/>
          <w:sz w:val="10"/>
          <w:szCs w:val="10"/>
          <w:color w:val="auto"/>
        </w:rPr>
        <w:t>including onsite environmental management services, collection and transportation, packaging, recycling, treatment and disposal of waste. Revenue is primarily generated by short-term projects, most of which are governed by master service agreements that are long-term in nature. These master service agreements are typically entered into with the Company's larger customers and outline the pricing and legal frameworks for such arrangements. Services are provided based on purchase orders or agreements with the customer and include prices based upon units of volume of waste and transportation and other fees. Collection and transportation revenues are recognized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8" w:name="page9"/>
    <w:bookmarkEnd w:id="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as a basis for measuring the satisfaction of the performance obligation. Revenues for treatment and disposal of waste are recognized upon completion of treatment, final disposition in a landfill or incineration, or when the waste is shipped to a third party for processing and disposal. The Company periodically enters into bundled arrangements for the collection and transportation and disposal of waste. For such arrangements, transportation and disposal are considered distinct performance obligations and the Company allocates revenue to each based on the relative standalone selling price (i.e. the estimated price that a customer would pay for the services on a standalone basis). Revenues and the related costs from waste that is not yet completely processed and disposed of are deferred. The deferred revenues and costs are recognized when the services are completed. The period between collection and transportation and the final processing and disposal ranges depending on the location of the customer, but generally is measured in days.</w:t>
      </w:r>
    </w:p>
    <w:p>
      <w:pPr>
        <w:spacing w:after="0" w:line="68" w:lineRule="exact"/>
        <w:rPr>
          <w:sz w:val="20"/>
          <w:szCs w:val="20"/>
          <w:color w:val="auto"/>
        </w:rPr>
      </w:pPr>
    </w:p>
    <w:p>
      <w:pPr>
        <w:ind w:right="60" w:firstLine="432"/>
        <w:spacing w:after="0" w:line="254" w:lineRule="auto"/>
        <w:rPr>
          <w:sz w:val="20"/>
          <w:szCs w:val="20"/>
          <w:color w:val="auto"/>
        </w:rPr>
      </w:pPr>
      <w:r>
        <w:rPr>
          <w:rFonts w:ascii="Arial" w:cs="Arial" w:eastAsia="Arial" w:hAnsi="Arial"/>
          <w:sz w:val="12"/>
          <w:szCs w:val="12"/>
          <w:i w:val="1"/>
          <w:iCs w:val="1"/>
          <w:color w:val="auto"/>
        </w:rPr>
        <w:t>Field and Emergency Response Services</w:t>
      </w:r>
      <w:r>
        <w:rPr>
          <w:rFonts w:ascii="Arial" w:cs="Arial" w:eastAsia="Arial" w:hAnsi="Arial"/>
          <w:sz w:val="12"/>
          <w:szCs w:val="12"/>
          <w:color w:val="auto"/>
        </w:rPr>
        <w:t>—Field and Emergency Response Services contribute to the revenues of the Environmental Services operating segment. Field Services revenues are generated from cleanup services at</w:t>
      </w:r>
      <w:r>
        <w:rPr>
          <w:rFonts w:ascii="Arial" w:cs="Arial" w:eastAsia="Arial" w:hAnsi="Arial"/>
          <w:sz w:val="12"/>
          <w:szCs w:val="12"/>
          <w:i w:val="1"/>
          <w:iCs w:val="1"/>
          <w:color w:val="auto"/>
        </w:rPr>
        <w:t xml:space="preserve"> </w:t>
      </w:r>
      <w:r>
        <w:rPr>
          <w:rFonts w:ascii="Arial" w:cs="Arial" w:eastAsia="Arial" w:hAnsi="Arial"/>
          <w:sz w:val="12"/>
          <w:szCs w:val="12"/>
          <w:color w:val="auto"/>
        </w:rPr>
        <w:t>customer sites, including municipalities and utilities, or other locations on a scheduled or emergency response basis. Services include confined space entry for tank cleaning, site decontamination, large remediation projects, demolition, spill cleanup on land and water, railcar cleaning, product recovery and transfer and vacuum services. Additional services include filtration and water treatment services. Response services for environmental, contamination or pandemic related emergencies include any scale from man-made disasters such as oil spills to natural disasters such as hurricanes and more recently, projects involving contagion disinfection, decontamination and disposal services in response to the COVID-19 pandemic. Field and emergency response services are provided based on purchase orders or agreements with customers and include prices generally based upon daily, hourly or job rates for equipment, materials and personnel. The Company recognizes revenue for these services over time, as the customer receives and consumes the benefits of the service as they are being performed and the Company has a right to payment for performance completed to date. The Company uses the input method to recognize revenue over time, based on time and materials incurred. The duration of such services can be over a number of hours, several days or even months for larger scale projects.</w:t>
      </w:r>
    </w:p>
    <w:p>
      <w:pPr>
        <w:spacing w:after="0" w:line="74" w:lineRule="exact"/>
        <w:rPr>
          <w:sz w:val="20"/>
          <w:szCs w:val="20"/>
          <w:color w:val="auto"/>
        </w:rPr>
      </w:pPr>
    </w:p>
    <w:p>
      <w:pPr>
        <w:ind w:right="20" w:firstLine="432"/>
        <w:spacing w:after="0" w:line="255" w:lineRule="auto"/>
        <w:rPr>
          <w:sz w:val="20"/>
          <w:szCs w:val="20"/>
          <w:color w:val="auto"/>
        </w:rPr>
      </w:pPr>
      <w:r>
        <w:rPr>
          <w:rFonts w:ascii="Arial" w:cs="Arial" w:eastAsia="Arial" w:hAnsi="Arial"/>
          <w:sz w:val="12"/>
          <w:szCs w:val="12"/>
          <w:i w:val="1"/>
          <w:iCs w:val="1"/>
          <w:color w:val="auto"/>
        </w:rPr>
        <w:t>Industrial Services and Other</w:t>
      </w:r>
      <w:r>
        <w:rPr>
          <w:rFonts w:ascii="Arial" w:cs="Arial" w:eastAsia="Arial" w:hAnsi="Arial"/>
          <w:sz w:val="12"/>
          <w:szCs w:val="12"/>
          <w:color w:val="auto"/>
        </w:rPr>
        <w:t>—Industrial Services contribute to the revenues of the Environmental Services operating segment. These revenues are primarily generated from industrial and specialty services provided to</w:t>
      </w:r>
      <w:r>
        <w:rPr>
          <w:rFonts w:ascii="Arial" w:cs="Arial" w:eastAsia="Arial" w:hAnsi="Arial"/>
          <w:sz w:val="12"/>
          <w:szCs w:val="12"/>
          <w:i w:val="1"/>
          <w:iCs w:val="1"/>
          <w:color w:val="auto"/>
        </w:rPr>
        <w:t xml:space="preserve"> </w:t>
      </w:r>
      <w:r>
        <w:rPr>
          <w:rFonts w:ascii="Arial" w:cs="Arial" w:eastAsia="Arial" w:hAnsi="Arial"/>
          <w:sz w:val="12"/>
          <w:szCs w:val="12"/>
          <w:color w:val="auto"/>
        </w:rPr>
        <w:t>refineries, mines, upgraders, chemical plants, pulp and paper mills, manufacturing facilities, power generation facilities and other industrial customers throughout North America. Services include in-plant cleaning and maintenance services, plant outage and turnaround services, specialty cleaning services including chemical cleaning and high and ultra-high pressure water cleaning, daylighting, production services and upstream energy services. Services are provided based on purchase orders or agreements with the customer and include prices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w:t>
      </w:r>
    </w:p>
    <w:p>
      <w:pPr>
        <w:spacing w:after="0" w:line="83"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i w:val="1"/>
          <w:iCs w:val="1"/>
          <w:color w:val="auto"/>
        </w:rPr>
        <w:t>Safety-Kleen Environmental Services</w:t>
      </w:r>
      <w:r>
        <w:rPr>
          <w:rFonts w:ascii="Arial" w:cs="Arial" w:eastAsia="Arial" w:hAnsi="Arial"/>
          <w:sz w:val="12"/>
          <w:szCs w:val="12"/>
          <w:color w:val="auto"/>
        </w:rPr>
        <w:t>—Safety-Kleen Environmental Services revenues contribute both to the Environmental Services operating segment and the Safety-Kleen Sustainability Solutions operating segment</w:t>
      </w:r>
      <w:r>
        <w:rPr>
          <w:rFonts w:ascii="Arial" w:cs="Arial" w:eastAsia="Arial" w:hAnsi="Arial"/>
          <w:sz w:val="12"/>
          <w:szCs w:val="12"/>
          <w:i w:val="1"/>
          <w:iCs w:val="1"/>
          <w:color w:val="auto"/>
        </w:rPr>
        <w:t xml:space="preserve"> </w:t>
      </w:r>
      <w:r>
        <w:rPr>
          <w:rFonts w:ascii="Arial" w:cs="Arial" w:eastAsia="Arial" w:hAnsi="Arial"/>
          <w:sz w:val="12"/>
          <w:szCs w:val="12"/>
          <w:color w:val="auto"/>
        </w:rPr>
        <w:t>depending upon the nature of such revenues and operating responsibilities relative to satisfying the related performance obligations. Revenues from providing containerized waste handling and disposal services, parts washer services and vacuum services, referred to collectively as the Safety-Kleen Environmental core service offerings, contribute to the revenues of the Environmental Services operating segment. In addition, sales of packaged blended oil products and other complementary product sales contribute to the revenues of the Environmental Services operating segment. Revenues generated from waste oil, anti-freeze and oil filter collection services, sales of bulk blended oil products and sales of bulk automotive fluids contribute to the Safety-Kleen Sustainability Solutions operating segment.</w:t>
      </w:r>
    </w:p>
    <w:p>
      <w:pPr>
        <w:spacing w:after="0" w:line="83" w:lineRule="exact"/>
        <w:rPr>
          <w:sz w:val="20"/>
          <w:szCs w:val="20"/>
          <w:color w:val="auto"/>
        </w:rPr>
      </w:pPr>
    </w:p>
    <w:p>
      <w:pPr>
        <w:ind w:right="40" w:firstLine="432"/>
        <w:spacing w:after="0" w:line="254" w:lineRule="auto"/>
        <w:rPr>
          <w:sz w:val="20"/>
          <w:szCs w:val="20"/>
          <w:color w:val="auto"/>
        </w:rPr>
      </w:pPr>
      <w:r>
        <w:rPr>
          <w:rFonts w:ascii="Arial" w:cs="Arial" w:eastAsia="Arial" w:hAnsi="Arial"/>
          <w:sz w:val="12"/>
          <w:szCs w:val="12"/>
          <w:color w:val="auto"/>
        </w:rPr>
        <w:t>Generally, the service related revenue is recognized over time, as the customer receives and consumes the benefits of the services as they are being performed and the Company has a right to payment for performance completed to date. The duration of such services can be over a number of hours or several days. The Company uses the input method to recognize revenue over time, based on time and materials incurred. Product revenue is recognized upon the transfer of control whereby control transfers when the products are delivered to the customer. Containerized waste services consist of profiling, collecting, transporting and recycling or disposing of a wide variety of waste. Related collection and transportation revenues are recognized over time, as the customer receives and consumes the benefits of the services as they are being performed and the Company has a right to payment for performance completed to date. Parts washer services include customer use of our parts washer equipment, cleaning and maintenance of the parts washer equipment and removal and replacement of used cleaning fluids. Parts washer services are considered a single performance obligation due to the highly integrated and interdependent nature of the arrangement. Revenue from parts washer services is recognized over the service interval as the customer receives the benefit of the services.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9" w:name="page10"/>
    <w:bookmarkEnd w:id="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2"/>
          <w:szCs w:val="12"/>
          <w:i w:val="1"/>
          <w:iCs w:val="1"/>
          <w:color w:val="auto"/>
        </w:rPr>
        <w:t>Safety-Kleen Oil</w:t>
      </w:r>
      <w:r>
        <w:rPr>
          <w:rFonts w:ascii="Arial" w:cs="Arial" w:eastAsia="Arial" w:hAnsi="Arial"/>
          <w:sz w:val="12"/>
          <w:szCs w:val="12"/>
          <w:color w:val="auto"/>
        </w:rPr>
        <w:t>—Safety-Kleen Oil revenues contribute to the revenues of the Safety-Kleen Sustainability Solutions segment. These revenues are generated from sales of high-quality base and blended lubricating oils to third-party distributors, government agencies, fleets, railroads and industrial customers. The business also sells recycled fuel oil to asphalt plants, industrial plants and pulp and paper companies. The used oil is also processed into vacuum gas oil which can be further re-refined into lubricant base oils or sold directly into the marine diesel oil fuel market. Revenue for oil products is recognized at a point in time, upon the transfer of control. Control transfers when the products are delivered to the customer.</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Disaggregation of Revenue</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We disaggregate the Company's third party revenues by geographic location and source of revenue as we believe these categories depict how revenue and cash flows are affected by economic factors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40" w:type="dxa"/>
            <w:vAlign w:val="bottom"/>
            <w:tcBorders>
              <w:bottom w:val="single" w:sz="8" w:color="auto"/>
            </w:tcBorders>
            <w:gridSpan w:val="5"/>
          </w:tcPr>
          <w:p>
            <w:pPr>
              <w:ind w:left="520"/>
              <w:spacing w:after="0"/>
              <w:rPr>
                <w:sz w:val="20"/>
                <w:szCs w:val="20"/>
                <w:color w:val="auto"/>
              </w:rPr>
            </w:pPr>
            <w:r>
              <w:rPr>
                <w:rFonts w:ascii="Arial" w:cs="Arial" w:eastAsia="Arial" w:hAnsi="Arial"/>
                <w:sz w:val="11"/>
                <w:szCs w:val="11"/>
                <w:b w:val="1"/>
                <w:bCs w:val="1"/>
                <w:color w:val="auto"/>
              </w:rPr>
              <w:t>For the Three Months Ended June 30, 2021</w:t>
            </w: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Environmental Services</w:t>
            </w:r>
          </w:p>
        </w:tc>
        <w:tc>
          <w:tcPr>
            <w:tcW w:w="120" w:type="dxa"/>
            <w:vAlign w:val="bottom"/>
          </w:tcPr>
          <w:p>
            <w:pPr>
              <w:spacing w:after="0"/>
              <w:rPr>
                <w:sz w:val="8"/>
                <w:szCs w:val="8"/>
                <w:color w:val="auto"/>
              </w:rPr>
            </w:pPr>
          </w:p>
        </w:tc>
        <w:tc>
          <w:tcPr>
            <w:tcW w:w="1560" w:type="dxa"/>
            <w:vAlign w:val="bottom"/>
            <w:gridSpan w:val="2"/>
          </w:tcPr>
          <w:p>
            <w:pPr>
              <w:jc w:val="center"/>
              <w:ind w:right="220"/>
              <w:spacing w:after="0" w:line="99" w:lineRule="exact"/>
              <w:rPr>
                <w:sz w:val="20"/>
                <w:szCs w:val="20"/>
                <w:color w:val="auto"/>
              </w:rPr>
            </w:pPr>
            <w:r>
              <w:rPr>
                <w:rFonts w:ascii="Arial" w:cs="Arial" w:eastAsia="Arial" w:hAnsi="Arial"/>
                <w:sz w:val="11"/>
                <w:szCs w:val="11"/>
                <w:b w:val="1"/>
                <w:bCs w:val="1"/>
                <w:color w:val="auto"/>
                <w:w w:val="89"/>
              </w:rPr>
              <w:t>Safety-Kleen Sustainability</w:t>
            </w:r>
          </w:p>
        </w:tc>
        <w:tc>
          <w:tcPr>
            <w:tcW w:w="320" w:type="dxa"/>
            <w:vAlign w:val="bottom"/>
          </w:tcPr>
          <w:p>
            <w:pPr>
              <w:spacing w:after="0"/>
              <w:rPr>
                <w:sz w:val="8"/>
                <w:szCs w:val="8"/>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1"/>
                <w:szCs w:val="11"/>
                <w:b w:val="1"/>
                <w:bCs w:val="1"/>
                <w:color w:val="auto"/>
              </w:rPr>
              <w:t>Corporate</w:t>
            </w:r>
          </w:p>
        </w:tc>
        <w:tc>
          <w:tcPr>
            <w:tcW w:w="380" w:type="dxa"/>
            <w:vAlign w:val="bottom"/>
          </w:tcPr>
          <w:p>
            <w:pPr>
              <w:spacing w:after="0"/>
              <w:rPr>
                <w:sz w:val="8"/>
                <w:szCs w:val="8"/>
                <w:color w:val="auto"/>
              </w:rPr>
            </w:pPr>
          </w:p>
        </w:tc>
        <w:tc>
          <w:tcPr>
            <w:tcW w:w="1220" w:type="dxa"/>
            <w:vAlign w:val="bottom"/>
            <w:vMerge w:val="restart"/>
          </w:tcPr>
          <w:p>
            <w:pPr>
              <w:jc w:val="right"/>
              <w:ind w:right="62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3"/>
              </w:rPr>
              <w:t>Solutions</w:t>
            </w:r>
          </w:p>
        </w:tc>
        <w:tc>
          <w:tcPr>
            <w:tcW w:w="3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4660" w:type="dxa"/>
            <w:vAlign w:val="bottom"/>
            <w:tcBorders>
              <w:top w:val="single" w:sz="8" w:color="CCEEFF"/>
            </w:tcBorders>
            <w:gridSpan w:val="3"/>
            <w:shd w:val="clear" w:color="auto" w:fill="CCEEFF"/>
          </w:tcPr>
          <w:p>
            <w:pPr>
              <w:spacing w:after="0" w:line="108" w:lineRule="exact"/>
              <w:rPr>
                <w:sz w:val="20"/>
                <w:szCs w:val="20"/>
                <w:color w:val="auto"/>
              </w:rPr>
            </w:pPr>
            <w:r>
              <w:rPr>
                <w:rFonts w:ascii="Arial" w:cs="Arial" w:eastAsia="Arial" w:hAnsi="Arial"/>
                <w:sz w:val="12"/>
                <w:szCs w:val="12"/>
                <w:b w:val="1"/>
                <w:bCs w:val="1"/>
                <w:color w:val="auto"/>
              </w:rPr>
              <w:t>Primary Geographical Markets</w:t>
            </w:r>
          </w:p>
        </w:tc>
        <w:tc>
          <w:tcPr>
            <w:tcW w:w="160" w:type="dxa"/>
            <w:vAlign w:val="bottom"/>
            <w:tcBorders>
              <w:top w:val="single" w:sz="8" w:color="auto"/>
            </w:tcBorders>
            <w:shd w:val="clear" w:color="auto" w:fill="CCEEFF"/>
          </w:tcPr>
          <w:p>
            <w:pPr>
              <w:spacing w:after="0"/>
              <w:rPr>
                <w:sz w:val="9"/>
                <w:szCs w:val="9"/>
                <w:color w:val="auto"/>
              </w:rPr>
            </w:pPr>
          </w:p>
        </w:tc>
        <w:tc>
          <w:tcPr>
            <w:tcW w:w="14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4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2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2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620" w:type="dxa"/>
            <w:vAlign w:val="bottom"/>
            <w:tcBorders>
              <w:top w:val="single" w:sz="8" w:color="auto"/>
            </w:tcBorders>
            <w:gridSpan w:val="2"/>
          </w:tcPr>
          <w:p>
            <w:pPr>
              <w:spacing w:after="0"/>
              <w:rPr>
                <w:sz w:val="20"/>
                <w:szCs w:val="20"/>
                <w:color w:val="auto"/>
              </w:rPr>
            </w:pPr>
            <w:r>
              <w:rPr>
                <w:rFonts w:ascii="Arial" w:cs="Arial" w:eastAsia="Arial" w:hAnsi="Arial"/>
                <w:sz w:val="12"/>
                <w:szCs w:val="12"/>
                <w:color w:val="auto"/>
              </w:rPr>
              <w:t>United States</w:t>
            </w:r>
          </w:p>
        </w:tc>
        <w:tc>
          <w:tcPr>
            <w:tcW w:w="304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jc w:val="right"/>
              <w:ind w:right="52"/>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CCEEFF"/>
            </w:tcBorders>
          </w:tcPr>
          <w:p>
            <w:pPr>
              <w:jc w:val="right"/>
              <w:spacing w:after="0"/>
              <w:rPr>
                <w:sz w:val="20"/>
                <w:szCs w:val="20"/>
                <w:color w:val="auto"/>
              </w:rPr>
            </w:pPr>
            <w:r>
              <w:rPr>
                <w:rFonts w:ascii="Arial" w:cs="Arial" w:eastAsia="Arial" w:hAnsi="Arial"/>
                <w:sz w:val="12"/>
                <w:szCs w:val="12"/>
                <w:color w:val="auto"/>
              </w:rPr>
              <w:t>616,585</w:t>
            </w: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jc w:val="right"/>
              <w:ind w:right="12"/>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CCEEFF"/>
            </w:tcBorders>
          </w:tcPr>
          <w:p>
            <w:pPr>
              <w:jc w:val="right"/>
              <w:spacing w:after="0"/>
              <w:rPr>
                <w:sz w:val="20"/>
                <w:szCs w:val="20"/>
                <w:color w:val="auto"/>
              </w:rPr>
            </w:pPr>
            <w:r>
              <w:rPr>
                <w:rFonts w:ascii="Arial" w:cs="Arial" w:eastAsia="Arial" w:hAnsi="Arial"/>
                <w:sz w:val="12"/>
                <w:szCs w:val="12"/>
                <w:color w:val="auto"/>
              </w:rPr>
              <w:t>180,216</w:t>
            </w:r>
          </w:p>
        </w:tc>
        <w:tc>
          <w:tcPr>
            <w:tcW w:w="100" w:type="dxa"/>
            <w:vAlign w:val="bottom"/>
            <w:tcBorders>
              <w:top w:val="single" w:sz="8" w:color="CCEEFF"/>
            </w:tcBorders>
          </w:tcPr>
          <w:p>
            <w:pPr>
              <w:spacing w:after="0"/>
              <w:rPr>
                <w:sz w:val="13"/>
                <w:szCs w:val="13"/>
                <w:color w:val="auto"/>
              </w:rPr>
            </w:pPr>
          </w:p>
        </w:tc>
        <w:tc>
          <w:tcPr>
            <w:tcW w:w="320" w:type="dxa"/>
            <w:vAlign w:val="bottom"/>
            <w:tcBorders>
              <w:top w:val="single" w:sz="8" w:color="CCEEFF"/>
            </w:tcBorders>
          </w:tcPr>
          <w:p>
            <w:pPr>
              <w:jc w:val="right"/>
              <w:ind w:right="180"/>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CCEEFF"/>
            </w:tcBorders>
          </w:tcPr>
          <w:p>
            <w:pPr>
              <w:jc w:val="right"/>
              <w:ind w:right="1"/>
              <w:spacing w:after="0"/>
              <w:rPr>
                <w:sz w:val="20"/>
                <w:szCs w:val="20"/>
                <w:color w:val="auto"/>
              </w:rPr>
            </w:pPr>
            <w:r>
              <w:rPr>
                <w:rFonts w:ascii="Arial" w:cs="Arial" w:eastAsia="Arial" w:hAnsi="Arial"/>
                <w:sz w:val="12"/>
                <w:szCs w:val="12"/>
                <w:color w:val="auto"/>
              </w:rPr>
              <w:t>79</w:t>
            </w:r>
          </w:p>
        </w:tc>
        <w:tc>
          <w:tcPr>
            <w:tcW w:w="8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CCEEFF"/>
            </w:tcBorders>
          </w:tcPr>
          <w:p>
            <w:pPr>
              <w:jc w:val="right"/>
              <w:ind w:right="1"/>
              <w:spacing w:after="0"/>
              <w:rPr>
                <w:sz w:val="20"/>
                <w:szCs w:val="20"/>
                <w:color w:val="auto"/>
              </w:rPr>
            </w:pPr>
            <w:r>
              <w:rPr>
                <w:rFonts w:ascii="Arial" w:cs="Arial" w:eastAsia="Arial" w:hAnsi="Arial"/>
                <w:sz w:val="12"/>
                <w:szCs w:val="12"/>
                <w:color w:val="auto"/>
              </w:rPr>
              <w:t>796,880</w:t>
            </w:r>
          </w:p>
        </w:tc>
        <w:tc>
          <w:tcPr>
            <w:tcW w:w="0" w:type="dxa"/>
            <w:vAlign w:val="bottom"/>
          </w:tcPr>
          <w:p>
            <w:pPr>
              <w:spacing w:after="0"/>
              <w:rPr>
                <w:sz w:val="1"/>
                <w:szCs w:val="1"/>
                <w:color w:val="auto"/>
              </w:rPr>
            </w:pPr>
          </w:p>
        </w:tc>
      </w:tr>
      <w:tr>
        <w:trPr>
          <w:trHeight w:val="153"/>
        </w:trPr>
        <w:tc>
          <w:tcPr>
            <w:tcW w:w="46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Canada</w:t>
            </w:r>
          </w:p>
        </w:tc>
        <w:tc>
          <w:tcPr>
            <w:tcW w:w="16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106,562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23,016</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129,578</w:t>
            </w:r>
          </w:p>
        </w:tc>
        <w:tc>
          <w:tcPr>
            <w:tcW w:w="0" w:type="dxa"/>
            <w:vAlign w:val="bottom"/>
          </w:tcPr>
          <w:p>
            <w:pPr>
              <w:spacing w:after="0"/>
              <w:rPr>
                <w:sz w:val="1"/>
                <w:szCs w:val="1"/>
                <w:color w:val="auto"/>
              </w:rPr>
            </w:pPr>
          </w:p>
        </w:tc>
      </w:tr>
      <w:tr>
        <w:trPr>
          <w:trHeight w:val="142"/>
        </w:trPr>
        <w:tc>
          <w:tcPr>
            <w:tcW w:w="466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color w:val="auto"/>
              </w:rPr>
              <w:t>Total third-party revenues</w:t>
            </w: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723,147</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203,232</w:t>
            </w:r>
          </w:p>
        </w:tc>
        <w:tc>
          <w:tcPr>
            <w:tcW w:w="10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79</w:t>
            </w:r>
          </w:p>
        </w:tc>
        <w:tc>
          <w:tcPr>
            <w:tcW w:w="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926,458</w:t>
            </w:r>
          </w:p>
        </w:tc>
        <w:tc>
          <w:tcPr>
            <w:tcW w:w="0" w:type="dxa"/>
            <w:vAlign w:val="bottom"/>
          </w:tcPr>
          <w:p>
            <w:pPr>
              <w:spacing w:after="0"/>
              <w:rPr>
                <w:sz w:val="1"/>
                <w:szCs w:val="1"/>
                <w:color w:val="auto"/>
              </w:rPr>
            </w:pPr>
          </w:p>
        </w:tc>
      </w:tr>
      <w:tr>
        <w:trPr>
          <w:trHeight w:val="124"/>
        </w:trPr>
        <w:tc>
          <w:tcPr>
            <w:tcW w:w="10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0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66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Sources of Revenue</w:t>
            </w: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w w:val="97"/>
              </w:rPr>
              <w:t>Technical Services</w:t>
            </w:r>
          </w:p>
        </w:tc>
        <w:tc>
          <w:tcPr>
            <w:tcW w:w="36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306,865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306,865</w:t>
            </w:r>
          </w:p>
        </w:tc>
        <w:tc>
          <w:tcPr>
            <w:tcW w:w="0" w:type="dxa"/>
            <w:vAlign w:val="bottom"/>
          </w:tcPr>
          <w:p>
            <w:pPr>
              <w:spacing w:after="0"/>
              <w:rPr>
                <w:sz w:val="1"/>
                <w:szCs w:val="1"/>
                <w:color w:val="auto"/>
              </w:rPr>
            </w:pPr>
          </w:p>
        </w:tc>
      </w:tr>
      <w:tr>
        <w:trPr>
          <w:trHeight w:val="153"/>
        </w:trPr>
        <w:tc>
          <w:tcPr>
            <w:tcW w:w="4660" w:type="dxa"/>
            <w:vAlign w:val="bottom"/>
            <w:gridSpan w:val="3"/>
          </w:tcPr>
          <w:p>
            <w:pPr>
              <w:spacing w:after="0"/>
              <w:rPr>
                <w:sz w:val="20"/>
                <w:szCs w:val="20"/>
                <w:color w:val="auto"/>
              </w:rPr>
            </w:pPr>
            <w:r>
              <w:rPr>
                <w:rFonts w:ascii="Arial" w:cs="Arial" w:eastAsia="Arial" w:hAnsi="Arial"/>
                <w:sz w:val="12"/>
                <w:szCs w:val="12"/>
                <w:color w:val="auto"/>
              </w:rPr>
              <w:t>Field and Emergency Response Services</w:t>
            </w:r>
          </w:p>
        </w:tc>
        <w:tc>
          <w:tcPr>
            <w:tcW w:w="1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106,986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106,986</w:t>
            </w:r>
          </w:p>
        </w:tc>
        <w:tc>
          <w:tcPr>
            <w:tcW w:w="0" w:type="dxa"/>
            <w:vAlign w:val="bottom"/>
          </w:tcPr>
          <w:p>
            <w:pPr>
              <w:spacing w:after="0"/>
              <w:rPr>
                <w:sz w:val="1"/>
                <w:szCs w:val="1"/>
                <w:color w:val="auto"/>
              </w:rPr>
            </w:pPr>
          </w:p>
        </w:tc>
      </w:tr>
      <w:tr>
        <w:trPr>
          <w:trHeight w:val="153"/>
        </w:trPr>
        <w:tc>
          <w:tcPr>
            <w:tcW w:w="46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Industrial Services and Other</w:t>
            </w:r>
          </w:p>
        </w:tc>
        <w:tc>
          <w:tcPr>
            <w:tcW w:w="16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150,367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79</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150,446</w:t>
            </w:r>
          </w:p>
        </w:tc>
        <w:tc>
          <w:tcPr>
            <w:tcW w:w="0" w:type="dxa"/>
            <w:vAlign w:val="bottom"/>
          </w:tcPr>
          <w:p>
            <w:pPr>
              <w:spacing w:after="0"/>
              <w:rPr>
                <w:sz w:val="1"/>
                <w:szCs w:val="1"/>
                <w:color w:val="auto"/>
              </w:rPr>
            </w:pPr>
          </w:p>
        </w:tc>
      </w:tr>
      <w:tr>
        <w:trPr>
          <w:trHeight w:val="153"/>
        </w:trPr>
        <w:tc>
          <w:tcPr>
            <w:tcW w:w="4660" w:type="dxa"/>
            <w:vAlign w:val="bottom"/>
            <w:gridSpan w:val="3"/>
          </w:tcPr>
          <w:p>
            <w:pPr>
              <w:spacing w:after="0"/>
              <w:rPr>
                <w:sz w:val="20"/>
                <w:szCs w:val="20"/>
                <w:color w:val="auto"/>
              </w:rPr>
            </w:pPr>
            <w:r>
              <w:rPr>
                <w:rFonts w:ascii="Arial" w:cs="Arial" w:eastAsia="Arial" w:hAnsi="Arial"/>
                <w:sz w:val="12"/>
                <w:szCs w:val="12"/>
                <w:color w:val="auto"/>
              </w:rPr>
              <w:t>Safety-Kleen Environmental Services</w:t>
            </w:r>
          </w:p>
        </w:tc>
        <w:tc>
          <w:tcPr>
            <w:tcW w:w="1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158,929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40,453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199,382</w:t>
            </w:r>
          </w:p>
        </w:tc>
        <w:tc>
          <w:tcPr>
            <w:tcW w:w="0" w:type="dxa"/>
            <w:vAlign w:val="bottom"/>
          </w:tcPr>
          <w:p>
            <w:pPr>
              <w:spacing w:after="0"/>
              <w:rPr>
                <w:sz w:val="1"/>
                <w:szCs w:val="1"/>
                <w:color w:val="auto"/>
              </w:rPr>
            </w:pPr>
          </w:p>
        </w:tc>
      </w:tr>
      <w:tr>
        <w:trPr>
          <w:trHeight w:val="153"/>
        </w:trPr>
        <w:tc>
          <w:tcPr>
            <w:tcW w:w="46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Safety-Kleen Oil</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162,779</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162,779</w:t>
            </w:r>
          </w:p>
        </w:tc>
        <w:tc>
          <w:tcPr>
            <w:tcW w:w="0" w:type="dxa"/>
            <w:vAlign w:val="bottom"/>
          </w:tcPr>
          <w:p>
            <w:pPr>
              <w:spacing w:after="0"/>
              <w:rPr>
                <w:sz w:val="1"/>
                <w:szCs w:val="1"/>
                <w:color w:val="auto"/>
              </w:rPr>
            </w:pPr>
          </w:p>
        </w:tc>
      </w:tr>
      <w:tr>
        <w:trPr>
          <w:trHeight w:val="142"/>
        </w:trPr>
        <w:tc>
          <w:tcPr>
            <w:tcW w:w="4660" w:type="dxa"/>
            <w:vAlign w:val="bottom"/>
            <w:gridSpan w:val="3"/>
          </w:tcPr>
          <w:p>
            <w:pPr>
              <w:spacing w:after="0"/>
              <w:rPr>
                <w:sz w:val="20"/>
                <w:szCs w:val="20"/>
                <w:color w:val="auto"/>
              </w:rPr>
            </w:pPr>
            <w:r>
              <w:rPr>
                <w:rFonts w:ascii="Arial" w:cs="Arial" w:eastAsia="Arial" w:hAnsi="Arial"/>
                <w:sz w:val="12"/>
                <w:szCs w:val="12"/>
                <w:color w:val="auto"/>
              </w:rPr>
              <w:t>Total third-party revenues</w:t>
            </w: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723,147</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203,232</w:t>
            </w: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79</w:t>
            </w:r>
          </w:p>
        </w:tc>
        <w:tc>
          <w:tcPr>
            <w:tcW w:w="8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926,458</w:t>
            </w:r>
          </w:p>
        </w:tc>
        <w:tc>
          <w:tcPr>
            <w:tcW w:w="0" w:type="dxa"/>
            <w:vAlign w:val="bottom"/>
          </w:tcPr>
          <w:p>
            <w:pPr>
              <w:spacing w:after="0"/>
              <w:rPr>
                <w:sz w:val="1"/>
                <w:szCs w:val="1"/>
                <w:color w:val="auto"/>
              </w:rPr>
            </w:pPr>
          </w:p>
        </w:tc>
      </w:tr>
      <w:tr>
        <w:trPr>
          <w:trHeight w:val="302"/>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5"/>
          </w:tcPr>
          <w:p>
            <w:pPr>
              <w:ind w:left="520"/>
              <w:spacing w:after="0"/>
              <w:rPr>
                <w:sz w:val="20"/>
                <w:szCs w:val="20"/>
                <w:color w:val="auto"/>
              </w:rPr>
            </w:pPr>
            <w:r>
              <w:rPr>
                <w:rFonts w:ascii="Arial" w:cs="Arial" w:eastAsia="Arial" w:hAnsi="Arial"/>
                <w:sz w:val="11"/>
                <w:szCs w:val="11"/>
                <w:b w:val="1"/>
                <w:bCs w:val="1"/>
                <w:color w:val="auto"/>
              </w:rPr>
              <w:t>For the Three Months Ended June 30, 2020</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Environmental Services</w:t>
            </w:r>
          </w:p>
        </w:tc>
        <w:tc>
          <w:tcPr>
            <w:tcW w:w="120" w:type="dxa"/>
            <w:vAlign w:val="bottom"/>
          </w:tcPr>
          <w:p>
            <w:pPr>
              <w:spacing w:after="0"/>
              <w:rPr>
                <w:sz w:val="8"/>
                <w:szCs w:val="8"/>
                <w:color w:val="auto"/>
              </w:rPr>
            </w:pPr>
          </w:p>
        </w:tc>
        <w:tc>
          <w:tcPr>
            <w:tcW w:w="1560" w:type="dxa"/>
            <w:vAlign w:val="bottom"/>
            <w:gridSpan w:val="2"/>
          </w:tcPr>
          <w:p>
            <w:pPr>
              <w:jc w:val="center"/>
              <w:ind w:right="220"/>
              <w:spacing w:after="0" w:line="99" w:lineRule="exact"/>
              <w:rPr>
                <w:sz w:val="20"/>
                <w:szCs w:val="20"/>
                <w:color w:val="auto"/>
              </w:rPr>
            </w:pPr>
            <w:r>
              <w:rPr>
                <w:rFonts w:ascii="Arial" w:cs="Arial" w:eastAsia="Arial" w:hAnsi="Arial"/>
                <w:sz w:val="11"/>
                <w:szCs w:val="11"/>
                <w:b w:val="1"/>
                <w:bCs w:val="1"/>
                <w:color w:val="auto"/>
                <w:w w:val="89"/>
              </w:rPr>
              <w:t>Safety-Kleen Sustainability</w:t>
            </w:r>
          </w:p>
        </w:tc>
        <w:tc>
          <w:tcPr>
            <w:tcW w:w="320" w:type="dxa"/>
            <w:vAlign w:val="bottom"/>
          </w:tcPr>
          <w:p>
            <w:pPr>
              <w:spacing w:after="0"/>
              <w:rPr>
                <w:sz w:val="8"/>
                <w:szCs w:val="8"/>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1"/>
                <w:szCs w:val="11"/>
                <w:b w:val="1"/>
                <w:bCs w:val="1"/>
                <w:color w:val="auto"/>
              </w:rPr>
              <w:t>Corporate</w:t>
            </w:r>
          </w:p>
        </w:tc>
        <w:tc>
          <w:tcPr>
            <w:tcW w:w="380" w:type="dxa"/>
            <w:vAlign w:val="bottom"/>
          </w:tcPr>
          <w:p>
            <w:pPr>
              <w:spacing w:after="0"/>
              <w:rPr>
                <w:sz w:val="8"/>
                <w:szCs w:val="8"/>
                <w:color w:val="auto"/>
              </w:rPr>
            </w:pPr>
          </w:p>
        </w:tc>
        <w:tc>
          <w:tcPr>
            <w:tcW w:w="1220" w:type="dxa"/>
            <w:vAlign w:val="bottom"/>
            <w:vMerge w:val="restart"/>
          </w:tcPr>
          <w:p>
            <w:pPr>
              <w:jc w:val="right"/>
              <w:ind w:right="62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3"/>
              </w:rPr>
              <w:t>Solutions</w:t>
            </w:r>
          </w:p>
        </w:tc>
        <w:tc>
          <w:tcPr>
            <w:tcW w:w="3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4660" w:type="dxa"/>
            <w:vAlign w:val="bottom"/>
            <w:tcBorders>
              <w:top w:val="single" w:sz="8" w:color="CCEEFF"/>
            </w:tcBorders>
            <w:gridSpan w:val="3"/>
            <w:shd w:val="clear" w:color="auto" w:fill="CCEEFF"/>
          </w:tcPr>
          <w:p>
            <w:pPr>
              <w:spacing w:after="0" w:line="108" w:lineRule="exact"/>
              <w:rPr>
                <w:sz w:val="20"/>
                <w:szCs w:val="20"/>
                <w:color w:val="auto"/>
              </w:rPr>
            </w:pPr>
            <w:r>
              <w:rPr>
                <w:rFonts w:ascii="Arial" w:cs="Arial" w:eastAsia="Arial" w:hAnsi="Arial"/>
                <w:sz w:val="12"/>
                <w:szCs w:val="12"/>
                <w:b w:val="1"/>
                <w:bCs w:val="1"/>
                <w:color w:val="auto"/>
              </w:rPr>
              <w:t>Primary Geographical Markets</w:t>
            </w:r>
          </w:p>
        </w:tc>
        <w:tc>
          <w:tcPr>
            <w:tcW w:w="160" w:type="dxa"/>
            <w:vAlign w:val="bottom"/>
            <w:tcBorders>
              <w:top w:val="single" w:sz="8" w:color="auto"/>
            </w:tcBorders>
            <w:shd w:val="clear" w:color="auto" w:fill="CCEEFF"/>
          </w:tcPr>
          <w:p>
            <w:pPr>
              <w:spacing w:after="0"/>
              <w:rPr>
                <w:sz w:val="9"/>
                <w:szCs w:val="9"/>
                <w:color w:val="auto"/>
              </w:rPr>
            </w:pPr>
          </w:p>
        </w:tc>
        <w:tc>
          <w:tcPr>
            <w:tcW w:w="14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4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2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2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620" w:type="dxa"/>
            <w:vAlign w:val="bottom"/>
            <w:tcBorders>
              <w:top w:val="single" w:sz="8" w:color="auto"/>
            </w:tcBorders>
            <w:gridSpan w:val="2"/>
          </w:tcPr>
          <w:p>
            <w:pPr>
              <w:spacing w:after="0"/>
              <w:rPr>
                <w:sz w:val="20"/>
                <w:szCs w:val="20"/>
                <w:color w:val="auto"/>
              </w:rPr>
            </w:pPr>
            <w:r>
              <w:rPr>
                <w:rFonts w:ascii="Arial" w:cs="Arial" w:eastAsia="Arial" w:hAnsi="Arial"/>
                <w:sz w:val="12"/>
                <w:szCs w:val="12"/>
                <w:color w:val="auto"/>
              </w:rPr>
              <w:t>United States</w:t>
            </w:r>
          </w:p>
        </w:tc>
        <w:tc>
          <w:tcPr>
            <w:tcW w:w="304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jc w:val="right"/>
              <w:ind w:right="52"/>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CCEEFF"/>
            </w:tcBorders>
          </w:tcPr>
          <w:p>
            <w:pPr>
              <w:jc w:val="right"/>
              <w:spacing w:after="0"/>
              <w:rPr>
                <w:sz w:val="20"/>
                <w:szCs w:val="20"/>
                <w:color w:val="auto"/>
              </w:rPr>
            </w:pPr>
            <w:r>
              <w:rPr>
                <w:rFonts w:ascii="Arial" w:cs="Arial" w:eastAsia="Arial" w:hAnsi="Arial"/>
                <w:sz w:val="12"/>
                <w:szCs w:val="12"/>
                <w:color w:val="auto"/>
              </w:rPr>
              <w:t>543,785</w:t>
            </w: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jc w:val="right"/>
              <w:ind w:right="12"/>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CCEEFF"/>
            </w:tcBorders>
          </w:tcPr>
          <w:p>
            <w:pPr>
              <w:jc w:val="right"/>
              <w:spacing w:after="0"/>
              <w:rPr>
                <w:sz w:val="20"/>
                <w:szCs w:val="20"/>
                <w:color w:val="auto"/>
              </w:rPr>
            </w:pPr>
            <w:r>
              <w:rPr>
                <w:rFonts w:ascii="Arial" w:cs="Arial" w:eastAsia="Arial" w:hAnsi="Arial"/>
                <w:sz w:val="12"/>
                <w:szCs w:val="12"/>
                <w:color w:val="auto"/>
              </w:rPr>
              <w:t>88,004</w:t>
            </w:r>
          </w:p>
        </w:tc>
        <w:tc>
          <w:tcPr>
            <w:tcW w:w="100" w:type="dxa"/>
            <w:vAlign w:val="bottom"/>
            <w:tcBorders>
              <w:top w:val="single" w:sz="8" w:color="CCEEFF"/>
            </w:tcBorders>
          </w:tcPr>
          <w:p>
            <w:pPr>
              <w:spacing w:after="0"/>
              <w:rPr>
                <w:sz w:val="13"/>
                <w:szCs w:val="13"/>
                <w:color w:val="auto"/>
              </w:rPr>
            </w:pPr>
          </w:p>
        </w:tc>
        <w:tc>
          <w:tcPr>
            <w:tcW w:w="320" w:type="dxa"/>
            <w:vAlign w:val="bottom"/>
            <w:tcBorders>
              <w:top w:val="single" w:sz="8" w:color="CCEEFF"/>
            </w:tcBorders>
          </w:tcPr>
          <w:p>
            <w:pPr>
              <w:jc w:val="right"/>
              <w:ind w:right="180"/>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CCEEFF"/>
            </w:tcBorders>
          </w:tcPr>
          <w:p>
            <w:pPr>
              <w:jc w:val="right"/>
              <w:spacing w:after="0"/>
              <w:rPr>
                <w:sz w:val="20"/>
                <w:szCs w:val="20"/>
                <w:color w:val="auto"/>
              </w:rPr>
            </w:pPr>
            <w:r>
              <w:rPr>
                <w:rFonts w:ascii="Arial" w:cs="Arial" w:eastAsia="Arial" w:hAnsi="Arial"/>
                <w:sz w:val="12"/>
                <w:szCs w:val="12"/>
                <w:color w:val="auto"/>
              </w:rPr>
              <w:t>(160)</w:t>
            </w:r>
          </w:p>
        </w:tc>
        <w:tc>
          <w:tcPr>
            <w:tcW w:w="8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CCEEFF"/>
            </w:tcBorders>
          </w:tcPr>
          <w:p>
            <w:pPr>
              <w:jc w:val="right"/>
              <w:ind w:right="1"/>
              <w:spacing w:after="0"/>
              <w:rPr>
                <w:sz w:val="20"/>
                <w:szCs w:val="20"/>
                <w:color w:val="auto"/>
              </w:rPr>
            </w:pPr>
            <w:r>
              <w:rPr>
                <w:rFonts w:ascii="Arial" w:cs="Arial" w:eastAsia="Arial" w:hAnsi="Arial"/>
                <w:sz w:val="12"/>
                <w:szCs w:val="12"/>
                <w:color w:val="auto"/>
              </w:rPr>
              <w:t>631,629</w:t>
            </w:r>
          </w:p>
        </w:tc>
        <w:tc>
          <w:tcPr>
            <w:tcW w:w="0" w:type="dxa"/>
            <w:vAlign w:val="bottom"/>
          </w:tcPr>
          <w:p>
            <w:pPr>
              <w:spacing w:after="0"/>
              <w:rPr>
                <w:sz w:val="1"/>
                <w:szCs w:val="1"/>
                <w:color w:val="auto"/>
              </w:rPr>
            </w:pPr>
          </w:p>
        </w:tc>
      </w:tr>
      <w:tr>
        <w:trPr>
          <w:trHeight w:val="153"/>
        </w:trPr>
        <w:tc>
          <w:tcPr>
            <w:tcW w:w="46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Canada</w:t>
            </w:r>
          </w:p>
        </w:tc>
        <w:tc>
          <w:tcPr>
            <w:tcW w:w="16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68,935</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9,220</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216</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78,371</w:t>
            </w:r>
          </w:p>
        </w:tc>
        <w:tc>
          <w:tcPr>
            <w:tcW w:w="0" w:type="dxa"/>
            <w:vAlign w:val="bottom"/>
          </w:tcPr>
          <w:p>
            <w:pPr>
              <w:spacing w:after="0"/>
              <w:rPr>
                <w:sz w:val="1"/>
                <w:szCs w:val="1"/>
                <w:color w:val="auto"/>
              </w:rPr>
            </w:pPr>
          </w:p>
        </w:tc>
      </w:tr>
      <w:tr>
        <w:trPr>
          <w:trHeight w:val="142"/>
        </w:trPr>
        <w:tc>
          <w:tcPr>
            <w:tcW w:w="466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color w:val="auto"/>
              </w:rPr>
              <w:t>Total third-party revenues</w:t>
            </w: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612,720</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97,224</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56</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710,000</w:t>
            </w:r>
          </w:p>
        </w:tc>
        <w:tc>
          <w:tcPr>
            <w:tcW w:w="0" w:type="dxa"/>
            <w:vAlign w:val="bottom"/>
          </w:tcPr>
          <w:p>
            <w:pPr>
              <w:spacing w:after="0"/>
              <w:rPr>
                <w:sz w:val="1"/>
                <w:szCs w:val="1"/>
                <w:color w:val="auto"/>
              </w:rPr>
            </w:pPr>
          </w:p>
        </w:tc>
      </w:tr>
      <w:tr>
        <w:trPr>
          <w:trHeight w:val="124"/>
        </w:trPr>
        <w:tc>
          <w:tcPr>
            <w:tcW w:w="10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0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66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Sources of Revenue</w:t>
            </w: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w w:val="97"/>
              </w:rPr>
              <w:t>Technical Services</w:t>
            </w:r>
          </w:p>
        </w:tc>
        <w:tc>
          <w:tcPr>
            <w:tcW w:w="36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241,929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241,929</w:t>
            </w:r>
          </w:p>
        </w:tc>
        <w:tc>
          <w:tcPr>
            <w:tcW w:w="0" w:type="dxa"/>
            <w:vAlign w:val="bottom"/>
          </w:tcPr>
          <w:p>
            <w:pPr>
              <w:spacing w:after="0"/>
              <w:rPr>
                <w:sz w:val="1"/>
                <w:szCs w:val="1"/>
                <w:color w:val="auto"/>
              </w:rPr>
            </w:pPr>
          </w:p>
        </w:tc>
      </w:tr>
      <w:tr>
        <w:trPr>
          <w:trHeight w:val="153"/>
        </w:trPr>
        <w:tc>
          <w:tcPr>
            <w:tcW w:w="4660" w:type="dxa"/>
            <w:vAlign w:val="bottom"/>
            <w:gridSpan w:val="3"/>
          </w:tcPr>
          <w:p>
            <w:pPr>
              <w:spacing w:after="0"/>
              <w:rPr>
                <w:sz w:val="20"/>
                <w:szCs w:val="20"/>
                <w:color w:val="auto"/>
              </w:rPr>
            </w:pPr>
            <w:r>
              <w:rPr>
                <w:rFonts w:ascii="Arial" w:cs="Arial" w:eastAsia="Arial" w:hAnsi="Arial"/>
                <w:sz w:val="12"/>
                <w:szCs w:val="12"/>
                <w:color w:val="auto"/>
              </w:rPr>
              <w:t>Field and Emergency Response Services</w:t>
            </w:r>
          </w:p>
        </w:tc>
        <w:tc>
          <w:tcPr>
            <w:tcW w:w="1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127,353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127,353</w:t>
            </w:r>
          </w:p>
        </w:tc>
        <w:tc>
          <w:tcPr>
            <w:tcW w:w="0" w:type="dxa"/>
            <w:vAlign w:val="bottom"/>
          </w:tcPr>
          <w:p>
            <w:pPr>
              <w:spacing w:after="0"/>
              <w:rPr>
                <w:sz w:val="1"/>
                <w:szCs w:val="1"/>
                <w:color w:val="auto"/>
              </w:rPr>
            </w:pPr>
          </w:p>
        </w:tc>
      </w:tr>
      <w:tr>
        <w:trPr>
          <w:trHeight w:val="153"/>
        </w:trPr>
        <w:tc>
          <w:tcPr>
            <w:tcW w:w="46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Industrial Services and Other</w:t>
            </w:r>
          </w:p>
        </w:tc>
        <w:tc>
          <w:tcPr>
            <w:tcW w:w="16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95,072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56</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95,128</w:t>
            </w:r>
          </w:p>
        </w:tc>
        <w:tc>
          <w:tcPr>
            <w:tcW w:w="0" w:type="dxa"/>
            <w:vAlign w:val="bottom"/>
          </w:tcPr>
          <w:p>
            <w:pPr>
              <w:spacing w:after="0"/>
              <w:rPr>
                <w:sz w:val="1"/>
                <w:szCs w:val="1"/>
                <w:color w:val="auto"/>
              </w:rPr>
            </w:pPr>
          </w:p>
        </w:tc>
      </w:tr>
      <w:tr>
        <w:trPr>
          <w:trHeight w:val="153"/>
        </w:trPr>
        <w:tc>
          <w:tcPr>
            <w:tcW w:w="4660" w:type="dxa"/>
            <w:vAlign w:val="bottom"/>
            <w:gridSpan w:val="3"/>
          </w:tcPr>
          <w:p>
            <w:pPr>
              <w:spacing w:after="0"/>
              <w:rPr>
                <w:sz w:val="20"/>
                <w:szCs w:val="20"/>
                <w:color w:val="auto"/>
              </w:rPr>
            </w:pPr>
            <w:r>
              <w:rPr>
                <w:rFonts w:ascii="Arial" w:cs="Arial" w:eastAsia="Arial" w:hAnsi="Arial"/>
                <w:sz w:val="12"/>
                <w:szCs w:val="12"/>
                <w:color w:val="auto"/>
              </w:rPr>
              <w:t>Safety-Kleen Environmental Services</w:t>
            </w:r>
          </w:p>
        </w:tc>
        <w:tc>
          <w:tcPr>
            <w:tcW w:w="1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148,366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46,506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194,872</w:t>
            </w:r>
          </w:p>
        </w:tc>
        <w:tc>
          <w:tcPr>
            <w:tcW w:w="0" w:type="dxa"/>
            <w:vAlign w:val="bottom"/>
          </w:tcPr>
          <w:p>
            <w:pPr>
              <w:spacing w:after="0"/>
              <w:rPr>
                <w:sz w:val="1"/>
                <w:szCs w:val="1"/>
                <w:color w:val="auto"/>
              </w:rPr>
            </w:pPr>
          </w:p>
        </w:tc>
      </w:tr>
      <w:tr>
        <w:trPr>
          <w:trHeight w:val="153"/>
        </w:trPr>
        <w:tc>
          <w:tcPr>
            <w:tcW w:w="46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Safety-Kleen Oil</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50,718</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50,718</w:t>
            </w:r>
          </w:p>
        </w:tc>
        <w:tc>
          <w:tcPr>
            <w:tcW w:w="0" w:type="dxa"/>
            <w:vAlign w:val="bottom"/>
          </w:tcPr>
          <w:p>
            <w:pPr>
              <w:spacing w:after="0"/>
              <w:rPr>
                <w:sz w:val="1"/>
                <w:szCs w:val="1"/>
                <w:color w:val="auto"/>
              </w:rPr>
            </w:pPr>
          </w:p>
        </w:tc>
      </w:tr>
      <w:tr>
        <w:trPr>
          <w:trHeight w:val="142"/>
        </w:trPr>
        <w:tc>
          <w:tcPr>
            <w:tcW w:w="4660" w:type="dxa"/>
            <w:vAlign w:val="bottom"/>
            <w:gridSpan w:val="3"/>
          </w:tcPr>
          <w:p>
            <w:pPr>
              <w:spacing w:after="0"/>
              <w:rPr>
                <w:sz w:val="20"/>
                <w:szCs w:val="20"/>
                <w:color w:val="auto"/>
              </w:rPr>
            </w:pPr>
            <w:r>
              <w:rPr>
                <w:rFonts w:ascii="Arial" w:cs="Arial" w:eastAsia="Arial" w:hAnsi="Arial"/>
                <w:sz w:val="12"/>
                <w:szCs w:val="12"/>
                <w:color w:val="auto"/>
              </w:rPr>
              <w:t>Total third-party revenues</w:t>
            </w: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612,720</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97,224</w:t>
            </w: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56</w:t>
            </w:r>
          </w:p>
        </w:tc>
        <w:tc>
          <w:tcPr>
            <w:tcW w:w="8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710,000</w:t>
            </w:r>
          </w:p>
        </w:tc>
        <w:tc>
          <w:tcPr>
            <w:tcW w:w="0" w:type="dxa"/>
            <w:vAlign w:val="bottom"/>
          </w:tcPr>
          <w:p>
            <w:pPr>
              <w:spacing w:after="0"/>
              <w:rPr>
                <w:sz w:val="1"/>
                <w:szCs w:val="1"/>
                <w:color w:val="auto"/>
              </w:rPr>
            </w:pPr>
          </w:p>
        </w:tc>
      </w:tr>
      <w:tr>
        <w:trPr>
          <w:trHeight w:val="799"/>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501"/>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0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30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4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4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0" w:name="page11"/>
    <w:bookmarkEnd w:id="10"/>
    <w:p>
      <w:pPr>
        <w:ind w:left="8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37" w:lineRule="exact"/>
        <w:rPr>
          <w:sz w:val="20"/>
          <w:szCs w:val="20"/>
          <w:color w:val="auto"/>
        </w:rPr>
      </w:pPr>
    </w:p>
    <w:tbl>
      <w:tblPr>
        <w:tblLayout w:type="fixed"/>
        <w:tblInd w:w="80" w:type="dxa"/>
        <w:tblCellMar>
          <w:top w:w="0" w:type="dxa"/>
          <w:left w:w="0" w:type="dxa"/>
          <w:bottom w:w="0" w:type="dxa"/>
          <w:right w:w="0" w:type="dxa"/>
        </w:tblCellMar>
      </w:tblPr>
      <w:tr>
        <w:trPr>
          <w:trHeight w:val="142"/>
        </w:trPr>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740" w:type="dxa"/>
            <w:vAlign w:val="bottom"/>
            <w:tcBorders>
              <w:bottom w:val="single" w:sz="8" w:color="auto"/>
            </w:tcBorders>
            <w:gridSpan w:val="5"/>
          </w:tcPr>
          <w:p>
            <w:pPr>
              <w:jc w:val="right"/>
              <w:ind w:right="204"/>
              <w:spacing w:after="0"/>
              <w:rPr>
                <w:sz w:val="20"/>
                <w:szCs w:val="20"/>
                <w:color w:val="auto"/>
              </w:rPr>
            </w:pPr>
            <w:r>
              <w:rPr>
                <w:rFonts w:ascii="Arial" w:cs="Arial" w:eastAsia="Arial" w:hAnsi="Arial"/>
                <w:sz w:val="11"/>
                <w:szCs w:val="11"/>
                <w:b w:val="1"/>
                <w:bCs w:val="1"/>
                <w:color w:val="auto"/>
              </w:rPr>
              <w:t>For the Six Months Ended June 30, 2021</w:t>
            </w:r>
          </w:p>
        </w:tc>
        <w:tc>
          <w:tcPr>
            <w:tcW w:w="4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Environmental Services</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tcPr>
          <w:p>
            <w:pPr>
              <w:jc w:val="center"/>
              <w:ind w:right="100"/>
              <w:spacing w:after="0" w:line="99" w:lineRule="exact"/>
              <w:rPr>
                <w:sz w:val="20"/>
                <w:szCs w:val="20"/>
                <w:color w:val="auto"/>
              </w:rPr>
            </w:pPr>
            <w:r>
              <w:rPr>
                <w:rFonts w:ascii="Arial" w:cs="Arial" w:eastAsia="Arial" w:hAnsi="Arial"/>
                <w:sz w:val="11"/>
                <w:szCs w:val="11"/>
                <w:b w:val="1"/>
                <w:bCs w:val="1"/>
                <w:color w:val="auto"/>
                <w:w w:val="89"/>
              </w:rPr>
              <w:t>Safety-Kleen Sustainability</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vMerge w:val="restart"/>
          </w:tcPr>
          <w:p>
            <w:pPr>
              <w:jc w:val="right"/>
              <w:ind w:right="64"/>
              <w:spacing w:after="0"/>
              <w:rPr>
                <w:sz w:val="20"/>
                <w:szCs w:val="20"/>
                <w:color w:val="auto"/>
              </w:rPr>
            </w:pPr>
            <w:r>
              <w:rPr>
                <w:rFonts w:ascii="Arial" w:cs="Arial" w:eastAsia="Arial" w:hAnsi="Arial"/>
                <w:sz w:val="11"/>
                <w:szCs w:val="11"/>
                <w:b w:val="1"/>
                <w:bCs w:val="1"/>
                <w:color w:val="auto"/>
              </w:rPr>
              <w:t>Corporate</w:t>
            </w: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vMerge w:val="restart"/>
          </w:tcPr>
          <w:p>
            <w:pPr>
              <w:jc w:val="right"/>
              <w:ind w:right="62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2"/>
        </w:trPr>
        <w:tc>
          <w:tcPr>
            <w:tcW w:w="100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w w:val="83"/>
              </w:rPr>
              <w:t>Solutions</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4620" w:type="dxa"/>
            <w:vAlign w:val="bottom"/>
            <w:gridSpan w:val="3"/>
            <w:shd w:val="clear" w:color="auto" w:fill="CCEEFF"/>
          </w:tcPr>
          <w:p>
            <w:pPr>
              <w:spacing w:after="0" w:line="108" w:lineRule="exact"/>
              <w:rPr>
                <w:sz w:val="20"/>
                <w:szCs w:val="20"/>
                <w:color w:val="auto"/>
              </w:rPr>
            </w:pPr>
            <w:r>
              <w:rPr>
                <w:rFonts w:ascii="Arial" w:cs="Arial" w:eastAsia="Arial" w:hAnsi="Arial"/>
                <w:sz w:val="12"/>
                <w:szCs w:val="12"/>
                <w:b w:val="1"/>
                <w:bCs w:val="1"/>
                <w:color w:val="auto"/>
              </w:rPr>
              <w:t>Primary Geographical Markets</w:t>
            </w: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620" w:type="dxa"/>
            <w:vAlign w:val="bottom"/>
            <w:tcBorders>
              <w:top w:val="single" w:sz="8" w:color="auto"/>
            </w:tcBorders>
            <w:gridSpan w:val="2"/>
          </w:tcPr>
          <w:p>
            <w:pPr>
              <w:spacing w:after="0"/>
              <w:rPr>
                <w:sz w:val="20"/>
                <w:szCs w:val="20"/>
                <w:color w:val="auto"/>
              </w:rPr>
            </w:pPr>
            <w:r>
              <w:rPr>
                <w:rFonts w:ascii="Arial" w:cs="Arial" w:eastAsia="Arial" w:hAnsi="Arial"/>
                <w:sz w:val="12"/>
                <w:szCs w:val="12"/>
                <w:color w:val="auto"/>
              </w:rPr>
              <w:t>United States</w:t>
            </w:r>
          </w:p>
        </w:tc>
        <w:tc>
          <w:tcPr>
            <w:tcW w:w="300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gridSpan w:val="2"/>
          </w:tcPr>
          <w:p>
            <w:pPr>
              <w:jc w:val="right"/>
              <w:ind w:right="32"/>
              <w:spacing w:after="0"/>
              <w:rPr>
                <w:sz w:val="20"/>
                <w:szCs w:val="20"/>
                <w:color w:val="auto"/>
              </w:rPr>
            </w:pPr>
            <w:r>
              <w:rPr>
                <w:rFonts w:ascii="Arial" w:cs="Arial" w:eastAsia="Arial" w:hAnsi="Arial"/>
                <w:sz w:val="12"/>
                <w:szCs w:val="12"/>
                <w:color w:val="auto"/>
              </w:rPr>
              <w:t>$</w:t>
            </w:r>
          </w:p>
        </w:tc>
        <w:tc>
          <w:tcPr>
            <w:tcW w:w="1420" w:type="dxa"/>
            <w:vAlign w:val="bottom"/>
            <w:tcBorders>
              <w:top w:val="single" w:sz="8" w:color="CCEEFF"/>
            </w:tcBorders>
          </w:tcPr>
          <w:p>
            <w:pPr>
              <w:jc w:val="right"/>
              <w:spacing w:after="0"/>
              <w:rPr>
                <w:sz w:val="20"/>
                <w:szCs w:val="20"/>
                <w:color w:val="auto"/>
              </w:rPr>
            </w:pPr>
            <w:r>
              <w:rPr>
                <w:rFonts w:ascii="Arial" w:cs="Arial" w:eastAsia="Arial" w:hAnsi="Arial"/>
                <w:sz w:val="12"/>
                <w:szCs w:val="12"/>
                <w:color w:val="auto"/>
              </w:rPr>
              <w:t>1,192,093</w:t>
            </w:r>
          </w:p>
        </w:tc>
        <w:tc>
          <w:tcPr>
            <w:tcW w:w="2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gridSpan w:val="3"/>
          </w:tcPr>
          <w:p>
            <w:pPr>
              <w:jc w:val="right"/>
              <w:spacing w:after="0"/>
              <w:rPr>
                <w:sz w:val="20"/>
                <w:szCs w:val="20"/>
                <w:color w:val="auto"/>
              </w:rPr>
            </w:pPr>
            <w:r>
              <w:rPr>
                <w:rFonts w:ascii="Arial" w:cs="Arial" w:eastAsia="Arial" w:hAnsi="Arial"/>
                <w:sz w:val="12"/>
                <w:szCs w:val="12"/>
                <w:color w:val="auto"/>
              </w:rPr>
              <w:t>$</w:t>
            </w:r>
          </w:p>
        </w:tc>
        <w:tc>
          <w:tcPr>
            <w:tcW w:w="1460" w:type="dxa"/>
            <w:vAlign w:val="bottom"/>
            <w:tcBorders>
              <w:top w:val="single" w:sz="8" w:color="CCEEFF"/>
            </w:tcBorders>
          </w:tcPr>
          <w:p>
            <w:pPr>
              <w:jc w:val="right"/>
              <w:spacing w:after="0"/>
              <w:rPr>
                <w:sz w:val="20"/>
                <w:szCs w:val="20"/>
                <w:color w:val="auto"/>
              </w:rPr>
            </w:pPr>
            <w:r>
              <w:rPr>
                <w:rFonts w:ascii="Arial" w:cs="Arial" w:eastAsia="Arial" w:hAnsi="Arial"/>
                <w:sz w:val="12"/>
                <w:szCs w:val="12"/>
                <w:color w:val="auto"/>
              </w:rPr>
              <w:t>319,206</w:t>
            </w:r>
          </w:p>
        </w:tc>
        <w:tc>
          <w:tcPr>
            <w:tcW w:w="20" w:type="dxa"/>
            <w:vAlign w:val="bottom"/>
            <w:tcBorders>
              <w:top w:val="single" w:sz="8" w:color="CCEEFF"/>
            </w:tcBorders>
          </w:tcPr>
          <w:p>
            <w:pPr>
              <w:spacing w:after="0"/>
              <w:rPr>
                <w:sz w:val="13"/>
                <w:szCs w:val="13"/>
                <w:color w:val="auto"/>
              </w:rPr>
            </w:pPr>
          </w:p>
        </w:tc>
        <w:tc>
          <w:tcPr>
            <w:tcW w:w="1260" w:type="dxa"/>
            <w:vAlign w:val="bottom"/>
            <w:tcBorders>
              <w:top w:val="single" w:sz="8" w:color="CCEEFF"/>
            </w:tcBorders>
            <w:gridSpan w:val="3"/>
          </w:tcPr>
          <w:p>
            <w:pPr>
              <w:jc w:val="right"/>
              <w:ind w:right="1024"/>
              <w:spacing w:after="0"/>
              <w:rPr>
                <w:sz w:val="20"/>
                <w:szCs w:val="20"/>
                <w:color w:val="auto"/>
              </w:rPr>
            </w:pPr>
            <w:r>
              <w:rPr>
                <w:rFonts w:ascii="Arial" w:cs="Arial" w:eastAsia="Arial" w:hAnsi="Arial"/>
                <w:sz w:val="12"/>
                <w:szCs w:val="12"/>
                <w:color w:val="auto"/>
              </w:rPr>
              <w:t>$</w:t>
            </w:r>
          </w:p>
        </w:tc>
        <w:tc>
          <w:tcPr>
            <w:tcW w:w="400" w:type="dxa"/>
            <w:vAlign w:val="bottom"/>
            <w:tcBorders>
              <w:top w:val="single" w:sz="8" w:color="CCEEFF"/>
            </w:tcBorders>
          </w:tcPr>
          <w:p>
            <w:pPr>
              <w:jc w:val="right"/>
              <w:spacing w:after="0"/>
              <w:rPr>
                <w:sz w:val="20"/>
                <w:szCs w:val="20"/>
                <w:color w:val="auto"/>
              </w:rPr>
            </w:pPr>
            <w:r>
              <w:rPr>
                <w:rFonts w:ascii="Arial" w:cs="Arial" w:eastAsia="Arial" w:hAnsi="Arial"/>
                <w:sz w:val="12"/>
                <w:szCs w:val="12"/>
                <w:color w:val="auto"/>
              </w:rPr>
              <w:t>158</w:t>
            </w: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CCEEFF"/>
            </w:tcBorders>
          </w:tcPr>
          <w:p>
            <w:pPr>
              <w:jc w:val="right"/>
              <w:ind w:right="1"/>
              <w:spacing w:after="0"/>
              <w:rPr>
                <w:sz w:val="20"/>
                <w:szCs w:val="20"/>
                <w:color w:val="auto"/>
              </w:rPr>
            </w:pPr>
            <w:r>
              <w:rPr>
                <w:rFonts w:ascii="Arial" w:cs="Arial" w:eastAsia="Arial" w:hAnsi="Arial"/>
                <w:sz w:val="12"/>
                <w:szCs w:val="12"/>
                <w:color w:val="auto"/>
              </w:rPr>
              <w:t>1,511,457</w:t>
            </w:r>
          </w:p>
        </w:tc>
        <w:tc>
          <w:tcPr>
            <w:tcW w:w="0" w:type="dxa"/>
            <w:vAlign w:val="bottom"/>
          </w:tcPr>
          <w:p>
            <w:pPr>
              <w:spacing w:after="0"/>
              <w:rPr>
                <w:sz w:val="1"/>
                <w:szCs w:val="1"/>
                <w:color w:val="auto"/>
              </w:rPr>
            </w:pPr>
          </w:p>
        </w:tc>
      </w:tr>
      <w:tr>
        <w:trPr>
          <w:trHeight w:val="153"/>
        </w:trPr>
        <w:tc>
          <w:tcPr>
            <w:tcW w:w="46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Canada</w:t>
            </w: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183,932</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39,217</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223,149</w:t>
            </w:r>
          </w:p>
        </w:tc>
        <w:tc>
          <w:tcPr>
            <w:tcW w:w="0" w:type="dxa"/>
            <w:vAlign w:val="bottom"/>
          </w:tcPr>
          <w:p>
            <w:pPr>
              <w:spacing w:after="0"/>
              <w:rPr>
                <w:sz w:val="1"/>
                <w:szCs w:val="1"/>
                <w:color w:val="auto"/>
              </w:rPr>
            </w:pPr>
          </w:p>
        </w:tc>
      </w:tr>
      <w:tr>
        <w:trPr>
          <w:trHeight w:val="142"/>
        </w:trPr>
        <w:tc>
          <w:tcPr>
            <w:tcW w:w="4620" w:type="dxa"/>
            <w:vAlign w:val="bottom"/>
            <w:gridSpan w:val="3"/>
          </w:tcPr>
          <w:p>
            <w:pPr>
              <w:spacing w:after="0"/>
              <w:rPr>
                <w:sz w:val="20"/>
                <w:szCs w:val="20"/>
                <w:color w:val="auto"/>
              </w:rPr>
            </w:pPr>
            <w:r>
              <w:rPr>
                <w:rFonts w:ascii="Arial" w:cs="Arial" w:eastAsia="Arial" w:hAnsi="Arial"/>
                <w:sz w:val="12"/>
                <w:szCs w:val="12"/>
                <w:color w:val="auto"/>
              </w:rPr>
              <w:t>Total third-party revenues</w:t>
            </w:r>
          </w:p>
        </w:tc>
        <w:tc>
          <w:tcPr>
            <w:tcW w:w="180" w:type="dxa"/>
            <w:vAlign w:val="bottom"/>
            <w:gridSpan w:val="2"/>
          </w:tcPr>
          <w:p>
            <w:pPr>
              <w:jc w:val="right"/>
              <w:ind w:right="32"/>
              <w:spacing w:after="0"/>
              <w:rPr>
                <w:sz w:val="20"/>
                <w:szCs w:val="20"/>
                <w:color w:val="auto"/>
              </w:rPr>
            </w:pPr>
            <w:r>
              <w:rPr>
                <w:rFonts w:ascii="Arial" w:cs="Arial" w:eastAsia="Arial" w:hAnsi="Arial"/>
                <w:sz w:val="12"/>
                <w:szCs w:val="12"/>
                <w:color w:val="auto"/>
              </w:rPr>
              <w:t>$</w:t>
            </w:r>
          </w:p>
        </w:tc>
        <w:tc>
          <w:tcPr>
            <w:tcW w:w="1420" w:type="dxa"/>
            <w:vAlign w:val="bottom"/>
          </w:tcPr>
          <w:p>
            <w:pPr>
              <w:jc w:val="right"/>
              <w:spacing w:after="0"/>
              <w:rPr>
                <w:sz w:val="20"/>
                <w:szCs w:val="20"/>
                <w:color w:val="auto"/>
              </w:rPr>
            </w:pPr>
            <w:r>
              <w:rPr>
                <w:rFonts w:ascii="Arial" w:cs="Arial" w:eastAsia="Arial" w:hAnsi="Arial"/>
                <w:sz w:val="12"/>
                <w:szCs w:val="12"/>
                <w:color w:val="auto"/>
              </w:rPr>
              <w:t>1,376,025</w:t>
            </w:r>
          </w:p>
        </w:tc>
        <w:tc>
          <w:tcPr>
            <w:tcW w:w="2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460" w:type="dxa"/>
            <w:vAlign w:val="bottom"/>
          </w:tcPr>
          <w:p>
            <w:pPr>
              <w:jc w:val="right"/>
              <w:spacing w:after="0"/>
              <w:rPr>
                <w:sz w:val="20"/>
                <w:szCs w:val="20"/>
                <w:color w:val="auto"/>
              </w:rPr>
            </w:pPr>
            <w:r>
              <w:rPr>
                <w:rFonts w:ascii="Arial" w:cs="Arial" w:eastAsia="Arial" w:hAnsi="Arial"/>
                <w:sz w:val="12"/>
                <w:szCs w:val="12"/>
                <w:color w:val="auto"/>
              </w:rPr>
              <w:t>358,423</w:t>
            </w:r>
          </w:p>
        </w:tc>
        <w:tc>
          <w:tcPr>
            <w:tcW w:w="20" w:type="dxa"/>
            <w:vAlign w:val="bottom"/>
          </w:tcPr>
          <w:p>
            <w:pPr>
              <w:spacing w:after="0"/>
              <w:rPr>
                <w:sz w:val="12"/>
                <w:szCs w:val="12"/>
                <w:color w:val="auto"/>
              </w:rPr>
            </w:pPr>
          </w:p>
        </w:tc>
        <w:tc>
          <w:tcPr>
            <w:tcW w:w="1260" w:type="dxa"/>
            <w:vAlign w:val="bottom"/>
            <w:gridSpan w:val="3"/>
          </w:tcPr>
          <w:p>
            <w:pPr>
              <w:jc w:val="right"/>
              <w:ind w:right="1024"/>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158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1,734,606</w:t>
            </w:r>
          </w:p>
        </w:tc>
        <w:tc>
          <w:tcPr>
            <w:tcW w:w="0" w:type="dxa"/>
            <w:vAlign w:val="bottom"/>
          </w:tcPr>
          <w:p>
            <w:pPr>
              <w:spacing w:after="0"/>
              <w:rPr>
                <w:sz w:val="1"/>
                <w:szCs w:val="1"/>
                <w:color w:val="auto"/>
              </w:rPr>
            </w:pPr>
          </w:p>
        </w:tc>
      </w:tr>
      <w:tr>
        <w:trPr>
          <w:trHeight w:val="124"/>
        </w:trPr>
        <w:tc>
          <w:tcPr>
            <w:tcW w:w="10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30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4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4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2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6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Sources of Revenue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w w:val="97"/>
              </w:rPr>
              <w:t>Technical Services</w:t>
            </w:r>
          </w:p>
        </w:tc>
        <w:tc>
          <w:tcPr>
            <w:tcW w:w="3620" w:type="dxa"/>
            <w:vAlign w:val="bottom"/>
            <w:gridSpan w:val="2"/>
            <w:shd w:val="clear" w:color="auto" w:fill="CCEEFF"/>
          </w:tcPr>
          <w:p>
            <w:pPr>
              <w:spacing w:after="0"/>
              <w:rPr>
                <w:sz w:val="13"/>
                <w:szCs w:val="13"/>
                <w:color w:val="auto"/>
              </w:rPr>
            </w:pPr>
          </w:p>
        </w:tc>
        <w:tc>
          <w:tcPr>
            <w:tcW w:w="180" w:type="dxa"/>
            <w:vAlign w:val="bottom"/>
            <w:gridSpan w:val="2"/>
            <w:shd w:val="clear" w:color="auto" w:fill="CCEEFF"/>
          </w:tcPr>
          <w:p>
            <w:pPr>
              <w:jc w:val="right"/>
              <w:ind w:right="32"/>
              <w:spacing w:after="0"/>
              <w:rPr>
                <w:sz w:val="20"/>
                <w:szCs w:val="20"/>
                <w:color w:val="auto"/>
              </w:rPr>
            </w:pPr>
            <w:r>
              <w:rPr>
                <w:rFonts w:ascii="Arial" w:cs="Arial" w:eastAsia="Arial" w:hAnsi="Arial"/>
                <w:sz w:val="12"/>
                <w:szCs w:val="12"/>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578,905</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3"/>
            <w:shd w:val="clear" w:color="auto" w:fill="CCEEFF"/>
          </w:tcPr>
          <w:p>
            <w:pPr>
              <w:jc w:val="right"/>
              <w:ind w:right="1024"/>
              <w:spacing w:after="0"/>
              <w:rPr>
                <w:sz w:val="20"/>
                <w:szCs w:val="20"/>
                <w:color w:val="auto"/>
              </w:rPr>
            </w:pPr>
            <w:r>
              <w:rPr>
                <w:rFonts w:ascii="Arial" w:cs="Arial" w:eastAsia="Arial" w:hAnsi="Arial"/>
                <w:sz w:val="12"/>
                <w:szCs w:val="12"/>
                <w:color w:val="auto"/>
              </w:rPr>
              <w:t>$</w:t>
            </w: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578,905</w:t>
            </w:r>
          </w:p>
        </w:tc>
        <w:tc>
          <w:tcPr>
            <w:tcW w:w="0" w:type="dxa"/>
            <w:vAlign w:val="bottom"/>
          </w:tcPr>
          <w:p>
            <w:pPr>
              <w:spacing w:after="0"/>
              <w:rPr>
                <w:sz w:val="1"/>
                <w:szCs w:val="1"/>
                <w:color w:val="auto"/>
              </w:rPr>
            </w:pPr>
          </w:p>
        </w:tc>
      </w:tr>
      <w:tr>
        <w:trPr>
          <w:trHeight w:val="153"/>
        </w:trPr>
        <w:tc>
          <w:tcPr>
            <w:tcW w:w="4620" w:type="dxa"/>
            <w:vAlign w:val="bottom"/>
            <w:gridSpan w:val="3"/>
          </w:tcPr>
          <w:p>
            <w:pPr>
              <w:spacing w:after="0"/>
              <w:rPr>
                <w:sz w:val="20"/>
                <w:szCs w:val="20"/>
                <w:color w:val="auto"/>
              </w:rPr>
            </w:pPr>
            <w:r>
              <w:rPr>
                <w:rFonts w:ascii="Arial" w:cs="Arial" w:eastAsia="Arial" w:hAnsi="Arial"/>
                <w:sz w:val="12"/>
                <w:szCs w:val="12"/>
                <w:color w:val="auto"/>
              </w:rPr>
              <w:t>Field and Emergency Response Services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212,154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212,154</w:t>
            </w:r>
          </w:p>
        </w:tc>
        <w:tc>
          <w:tcPr>
            <w:tcW w:w="0" w:type="dxa"/>
            <w:vAlign w:val="bottom"/>
          </w:tcPr>
          <w:p>
            <w:pPr>
              <w:spacing w:after="0"/>
              <w:rPr>
                <w:sz w:val="1"/>
                <w:szCs w:val="1"/>
                <w:color w:val="auto"/>
              </w:rPr>
            </w:pPr>
          </w:p>
        </w:tc>
      </w:tr>
      <w:tr>
        <w:trPr>
          <w:trHeight w:val="153"/>
        </w:trPr>
        <w:tc>
          <w:tcPr>
            <w:tcW w:w="46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Industrial Services and Other</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270,177</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270,335</w:t>
            </w:r>
          </w:p>
        </w:tc>
        <w:tc>
          <w:tcPr>
            <w:tcW w:w="0" w:type="dxa"/>
            <w:vAlign w:val="bottom"/>
          </w:tcPr>
          <w:p>
            <w:pPr>
              <w:spacing w:after="0"/>
              <w:rPr>
                <w:sz w:val="1"/>
                <w:szCs w:val="1"/>
                <w:color w:val="auto"/>
              </w:rPr>
            </w:pPr>
          </w:p>
        </w:tc>
      </w:tr>
      <w:tr>
        <w:trPr>
          <w:trHeight w:val="153"/>
        </w:trPr>
        <w:tc>
          <w:tcPr>
            <w:tcW w:w="4620" w:type="dxa"/>
            <w:vAlign w:val="bottom"/>
            <w:gridSpan w:val="3"/>
          </w:tcPr>
          <w:p>
            <w:pPr>
              <w:spacing w:after="0"/>
              <w:rPr>
                <w:sz w:val="20"/>
                <w:szCs w:val="20"/>
                <w:color w:val="auto"/>
              </w:rPr>
            </w:pPr>
            <w:r>
              <w:rPr>
                <w:rFonts w:ascii="Arial" w:cs="Arial" w:eastAsia="Arial" w:hAnsi="Arial"/>
                <w:sz w:val="12"/>
                <w:szCs w:val="12"/>
                <w:color w:val="auto"/>
              </w:rPr>
              <w:t>Safety-Kleen Environmental Services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314,789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79,431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394,220</w:t>
            </w:r>
          </w:p>
        </w:tc>
        <w:tc>
          <w:tcPr>
            <w:tcW w:w="0" w:type="dxa"/>
            <w:vAlign w:val="bottom"/>
          </w:tcPr>
          <w:p>
            <w:pPr>
              <w:spacing w:after="0"/>
              <w:rPr>
                <w:sz w:val="1"/>
                <w:szCs w:val="1"/>
                <w:color w:val="auto"/>
              </w:rPr>
            </w:pPr>
          </w:p>
        </w:tc>
      </w:tr>
      <w:tr>
        <w:trPr>
          <w:trHeight w:val="153"/>
        </w:trPr>
        <w:tc>
          <w:tcPr>
            <w:tcW w:w="46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Safety-Kleen Oil</w:t>
            </w: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4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278,992</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278,992</w:t>
            </w:r>
          </w:p>
        </w:tc>
        <w:tc>
          <w:tcPr>
            <w:tcW w:w="0" w:type="dxa"/>
            <w:vAlign w:val="bottom"/>
          </w:tcPr>
          <w:p>
            <w:pPr>
              <w:spacing w:after="0"/>
              <w:rPr>
                <w:sz w:val="1"/>
                <w:szCs w:val="1"/>
                <w:color w:val="auto"/>
              </w:rPr>
            </w:pPr>
          </w:p>
        </w:tc>
      </w:tr>
      <w:tr>
        <w:trPr>
          <w:trHeight w:val="142"/>
        </w:trPr>
        <w:tc>
          <w:tcPr>
            <w:tcW w:w="4620" w:type="dxa"/>
            <w:vAlign w:val="bottom"/>
            <w:gridSpan w:val="3"/>
          </w:tcPr>
          <w:p>
            <w:pPr>
              <w:spacing w:after="0"/>
              <w:rPr>
                <w:sz w:val="20"/>
                <w:szCs w:val="20"/>
                <w:color w:val="auto"/>
              </w:rPr>
            </w:pPr>
            <w:r>
              <w:rPr>
                <w:rFonts w:ascii="Arial" w:cs="Arial" w:eastAsia="Arial" w:hAnsi="Arial"/>
                <w:sz w:val="12"/>
                <w:szCs w:val="12"/>
                <w:color w:val="auto"/>
              </w:rPr>
              <w:t>Total third-party revenues</w:t>
            </w:r>
          </w:p>
        </w:tc>
        <w:tc>
          <w:tcPr>
            <w:tcW w:w="40" w:type="dxa"/>
            <w:vAlign w:val="bottom"/>
          </w:tcPr>
          <w:p>
            <w:pPr>
              <w:spacing w:after="0"/>
              <w:rPr>
                <w:sz w:val="12"/>
                <w:szCs w:val="12"/>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1,376,025</w:t>
            </w:r>
          </w:p>
        </w:tc>
        <w:tc>
          <w:tcPr>
            <w:tcW w:w="20" w:type="dxa"/>
            <w:vAlign w:val="bottom"/>
            <w:tcBorders>
              <w:bottom w:val="single" w:sz="8" w:color="auto"/>
            </w:tcBorders>
          </w:tcPr>
          <w:p>
            <w:pPr>
              <w:spacing w:after="0"/>
              <w:rPr>
                <w:sz w:val="12"/>
                <w:szCs w:val="12"/>
                <w:color w:val="auto"/>
              </w:rPr>
            </w:pPr>
          </w:p>
        </w:tc>
        <w:tc>
          <w:tcPr>
            <w:tcW w:w="100" w:type="dxa"/>
            <w:vAlign w:val="bottom"/>
            <w:gridSpan w:val="2"/>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358,423</w:t>
            </w:r>
          </w:p>
        </w:tc>
        <w:tc>
          <w:tcPr>
            <w:tcW w:w="20" w:type="dxa"/>
            <w:vAlign w:val="bottom"/>
            <w:tcBorders>
              <w:bottom w:val="single" w:sz="8" w:color="auto"/>
            </w:tcBorders>
          </w:tcPr>
          <w:p>
            <w:pPr>
              <w:spacing w:after="0"/>
              <w:rPr>
                <w:sz w:val="12"/>
                <w:szCs w:val="12"/>
                <w:color w:val="auto"/>
              </w:rPr>
            </w:pPr>
          </w:p>
        </w:tc>
        <w:tc>
          <w:tcPr>
            <w:tcW w:w="100" w:type="dxa"/>
            <w:vAlign w:val="bottom"/>
            <w:gridSpan w:val="2"/>
          </w:tcPr>
          <w:p>
            <w:pPr>
              <w:spacing w:after="0"/>
              <w:rPr>
                <w:sz w:val="12"/>
                <w:szCs w:val="12"/>
                <w:color w:val="auto"/>
              </w:rPr>
            </w:pPr>
          </w:p>
        </w:tc>
        <w:tc>
          <w:tcPr>
            <w:tcW w:w="1160" w:type="dxa"/>
            <w:vAlign w:val="bottom"/>
            <w:tcBorders>
              <w:bottom w:val="single" w:sz="8" w:color="auto"/>
            </w:tcBorders>
          </w:tcPr>
          <w:p>
            <w:pPr>
              <w:jc w:val="right"/>
              <w:ind w:right="1024"/>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158</w:t>
            </w:r>
          </w:p>
        </w:tc>
        <w:tc>
          <w:tcPr>
            <w:tcW w:w="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1,734,606</w:t>
            </w:r>
          </w:p>
        </w:tc>
        <w:tc>
          <w:tcPr>
            <w:tcW w:w="0" w:type="dxa"/>
            <w:vAlign w:val="bottom"/>
          </w:tcPr>
          <w:p>
            <w:pPr>
              <w:spacing w:after="0"/>
              <w:rPr>
                <w:sz w:val="1"/>
                <w:szCs w:val="1"/>
                <w:color w:val="auto"/>
              </w:rPr>
            </w:pPr>
          </w:p>
        </w:tc>
      </w:tr>
      <w:tr>
        <w:trPr>
          <w:trHeight w:val="266"/>
        </w:trPr>
        <w:tc>
          <w:tcPr>
            <w:tcW w:w="10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740" w:type="dxa"/>
            <w:vAlign w:val="bottom"/>
            <w:tcBorders>
              <w:bottom w:val="single" w:sz="8" w:color="auto"/>
            </w:tcBorders>
            <w:gridSpan w:val="5"/>
          </w:tcPr>
          <w:p>
            <w:pPr>
              <w:jc w:val="right"/>
              <w:ind w:right="224"/>
              <w:spacing w:after="0"/>
              <w:rPr>
                <w:sz w:val="20"/>
                <w:szCs w:val="20"/>
                <w:color w:val="auto"/>
              </w:rPr>
            </w:pPr>
            <w:r>
              <w:rPr>
                <w:rFonts w:ascii="Arial" w:cs="Arial" w:eastAsia="Arial" w:hAnsi="Arial"/>
                <w:sz w:val="11"/>
                <w:szCs w:val="11"/>
                <w:b w:val="1"/>
                <w:bCs w:val="1"/>
                <w:color w:val="auto"/>
              </w:rPr>
              <w:t>For the Six Months Ended June 30, 2020</w:t>
            </w:r>
          </w:p>
        </w:tc>
        <w:tc>
          <w:tcPr>
            <w:tcW w:w="4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9"/>
        </w:trPr>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Environmental Services</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tcPr>
          <w:p>
            <w:pPr>
              <w:jc w:val="center"/>
              <w:ind w:right="140"/>
              <w:spacing w:after="0" w:line="99" w:lineRule="exact"/>
              <w:rPr>
                <w:sz w:val="20"/>
                <w:szCs w:val="20"/>
                <w:color w:val="auto"/>
              </w:rPr>
            </w:pPr>
            <w:r>
              <w:rPr>
                <w:rFonts w:ascii="Arial" w:cs="Arial" w:eastAsia="Arial" w:hAnsi="Arial"/>
                <w:sz w:val="11"/>
                <w:szCs w:val="11"/>
                <w:b w:val="1"/>
                <w:bCs w:val="1"/>
                <w:color w:val="auto"/>
                <w:w w:val="89"/>
              </w:rPr>
              <w:t>Safety-Kleen Sustainability</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vMerge w:val="restart"/>
          </w:tcPr>
          <w:p>
            <w:pPr>
              <w:jc w:val="right"/>
              <w:ind w:right="104"/>
              <w:spacing w:after="0"/>
              <w:rPr>
                <w:sz w:val="20"/>
                <w:szCs w:val="20"/>
                <w:color w:val="auto"/>
              </w:rPr>
            </w:pPr>
            <w:r>
              <w:rPr>
                <w:rFonts w:ascii="Arial" w:cs="Arial" w:eastAsia="Arial" w:hAnsi="Arial"/>
                <w:sz w:val="11"/>
                <w:szCs w:val="11"/>
                <w:b w:val="1"/>
                <w:bCs w:val="1"/>
                <w:color w:val="auto"/>
              </w:rPr>
              <w:t>Corporate</w:t>
            </w: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vMerge w:val="restart"/>
          </w:tcPr>
          <w:p>
            <w:pPr>
              <w:jc w:val="right"/>
              <w:ind w:right="62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3"/>
              </w:rPr>
              <w:t>Solutions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4620" w:type="dxa"/>
            <w:vAlign w:val="bottom"/>
            <w:tcBorders>
              <w:top w:val="single" w:sz="8" w:color="CCEEFF"/>
            </w:tcBorders>
            <w:gridSpan w:val="3"/>
            <w:shd w:val="clear" w:color="auto" w:fill="CCEEFF"/>
          </w:tcPr>
          <w:p>
            <w:pPr>
              <w:spacing w:after="0" w:line="108" w:lineRule="exact"/>
              <w:rPr>
                <w:sz w:val="20"/>
                <w:szCs w:val="20"/>
                <w:color w:val="auto"/>
              </w:rPr>
            </w:pPr>
            <w:r>
              <w:rPr>
                <w:rFonts w:ascii="Arial" w:cs="Arial" w:eastAsia="Arial" w:hAnsi="Arial"/>
                <w:sz w:val="12"/>
                <w:szCs w:val="12"/>
                <w:b w:val="1"/>
                <w:bCs w:val="1"/>
                <w:color w:val="auto"/>
              </w:rPr>
              <w:t>Primary Geographical Markets</w:t>
            </w:r>
          </w:p>
        </w:tc>
        <w:tc>
          <w:tcPr>
            <w:tcW w:w="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4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14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16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2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620" w:type="dxa"/>
            <w:vAlign w:val="bottom"/>
            <w:tcBorders>
              <w:top w:val="single" w:sz="8" w:color="auto"/>
            </w:tcBorders>
            <w:gridSpan w:val="2"/>
          </w:tcPr>
          <w:p>
            <w:pPr>
              <w:spacing w:after="0"/>
              <w:rPr>
                <w:sz w:val="20"/>
                <w:szCs w:val="20"/>
                <w:color w:val="auto"/>
              </w:rPr>
            </w:pPr>
            <w:r>
              <w:rPr>
                <w:rFonts w:ascii="Arial" w:cs="Arial" w:eastAsia="Arial" w:hAnsi="Arial"/>
                <w:sz w:val="12"/>
                <w:szCs w:val="12"/>
                <w:color w:val="auto"/>
              </w:rPr>
              <w:t>United States</w:t>
            </w:r>
          </w:p>
        </w:tc>
        <w:tc>
          <w:tcPr>
            <w:tcW w:w="300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gridSpan w:val="2"/>
          </w:tcPr>
          <w:p>
            <w:pPr>
              <w:jc w:val="right"/>
              <w:ind w:right="52"/>
              <w:spacing w:after="0"/>
              <w:rPr>
                <w:sz w:val="20"/>
                <w:szCs w:val="20"/>
                <w:color w:val="auto"/>
              </w:rPr>
            </w:pPr>
            <w:r>
              <w:rPr>
                <w:rFonts w:ascii="Arial" w:cs="Arial" w:eastAsia="Arial" w:hAnsi="Arial"/>
                <w:sz w:val="12"/>
                <w:szCs w:val="12"/>
                <w:color w:val="auto"/>
                <w:w w:val="89"/>
              </w:rPr>
              <w:t>$</w:t>
            </w:r>
          </w:p>
        </w:tc>
        <w:tc>
          <w:tcPr>
            <w:tcW w:w="1420" w:type="dxa"/>
            <w:vAlign w:val="bottom"/>
            <w:tcBorders>
              <w:top w:val="single" w:sz="8" w:color="CCEEFF"/>
            </w:tcBorders>
          </w:tcPr>
          <w:p>
            <w:pPr>
              <w:jc w:val="right"/>
              <w:spacing w:after="0"/>
              <w:rPr>
                <w:sz w:val="20"/>
                <w:szCs w:val="20"/>
                <w:color w:val="auto"/>
              </w:rPr>
            </w:pPr>
            <w:r>
              <w:rPr>
                <w:rFonts w:ascii="Arial" w:cs="Arial" w:eastAsia="Arial" w:hAnsi="Arial"/>
                <w:sz w:val="12"/>
                <w:szCs w:val="12"/>
                <w:color w:val="auto"/>
              </w:rPr>
              <w:t>1,150,895</w:t>
            </w:r>
          </w:p>
        </w:tc>
        <w:tc>
          <w:tcPr>
            <w:tcW w:w="2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gridSpan w:val="3"/>
          </w:tcPr>
          <w:p>
            <w:pPr>
              <w:jc w:val="right"/>
              <w:ind w:right="12"/>
              <w:spacing w:after="0"/>
              <w:rPr>
                <w:sz w:val="20"/>
                <w:szCs w:val="20"/>
                <w:color w:val="auto"/>
              </w:rPr>
            </w:pPr>
            <w:r>
              <w:rPr>
                <w:rFonts w:ascii="Arial" w:cs="Arial" w:eastAsia="Arial" w:hAnsi="Arial"/>
                <w:sz w:val="12"/>
                <w:szCs w:val="12"/>
                <w:color w:val="auto"/>
              </w:rPr>
              <w:t>$</w:t>
            </w:r>
          </w:p>
        </w:tc>
        <w:tc>
          <w:tcPr>
            <w:tcW w:w="1460" w:type="dxa"/>
            <w:vAlign w:val="bottom"/>
            <w:tcBorders>
              <w:top w:val="single" w:sz="8" w:color="CCEEFF"/>
            </w:tcBorders>
          </w:tcPr>
          <w:p>
            <w:pPr>
              <w:jc w:val="right"/>
              <w:spacing w:after="0"/>
              <w:rPr>
                <w:sz w:val="20"/>
                <w:szCs w:val="20"/>
                <w:color w:val="auto"/>
              </w:rPr>
            </w:pPr>
            <w:r>
              <w:rPr>
                <w:rFonts w:ascii="Arial" w:cs="Arial" w:eastAsia="Arial" w:hAnsi="Arial"/>
                <w:sz w:val="12"/>
                <w:szCs w:val="12"/>
                <w:color w:val="auto"/>
              </w:rPr>
              <w:t>227,441</w:t>
            </w:r>
          </w:p>
        </w:tc>
        <w:tc>
          <w:tcPr>
            <w:tcW w:w="20" w:type="dxa"/>
            <w:vAlign w:val="bottom"/>
            <w:tcBorders>
              <w:top w:val="single" w:sz="8" w:color="CCEEFF"/>
            </w:tcBorders>
          </w:tcPr>
          <w:p>
            <w:pPr>
              <w:spacing w:after="0"/>
              <w:rPr>
                <w:sz w:val="13"/>
                <w:szCs w:val="13"/>
                <w:color w:val="auto"/>
              </w:rPr>
            </w:pPr>
          </w:p>
        </w:tc>
        <w:tc>
          <w:tcPr>
            <w:tcW w:w="1260" w:type="dxa"/>
            <w:vAlign w:val="bottom"/>
            <w:tcBorders>
              <w:top w:val="single" w:sz="8" w:color="CCEEFF"/>
            </w:tcBorders>
            <w:gridSpan w:val="3"/>
          </w:tcPr>
          <w:p>
            <w:pPr>
              <w:jc w:val="right"/>
              <w:ind w:right="1064"/>
              <w:spacing w:after="0"/>
              <w:rPr>
                <w:sz w:val="20"/>
                <w:szCs w:val="20"/>
                <w:color w:val="auto"/>
              </w:rPr>
            </w:pPr>
            <w:r>
              <w:rPr>
                <w:rFonts w:ascii="Arial" w:cs="Arial" w:eastAsia="Arial" w:hAnsi="Arial"/>
                <w:sz w:val="12"/>
                <w:szCs w:val="12"/>
                <w:color w:val="auto"/>
              </w:rPr>
              <w:t>$</w:t>
            </w:r>
          </w:p>
        </w:tc>
        <w:tc>
          <w:tcPr>
            <w:tcW w:w="400" w:type="dxa"/>
            <w:vAlign w:val="bottom"/>
            <w:tcBorders>
              <w:top w:val="single" w:sz="8" w:color="CCEEFF"/>
            </w:tcBorders>
          </w:tcPr>
          <w:p>
            <w:pPr>
              <w:jc w:val="right"/>
              <w:spacing w:after="0"/>
              <w:rPr>
                <w:sz w:val="20"/>
                <w:szCs w:val="20"/>
                <w:color w:val="auto"/>
              </w:rPr>
            </w:pPr>
            <w:r>
              <w:rPr>
                <w:rFonts w:ascii="Arial" w:cs="Arial" w:eastAsia="Arial" w:hAnsi="Arial"/>
                <w:sz w:val="12"/>
                <w:szCs w:val="12"/>
                <w:color w:val="auto"/>
              </w:rPr>
              <w:t>(462)</w:t>
            </w: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CCEEFF"/>
            </w:tcBorders>
          </w:tcPr>
          <w:p>
            <w:pPr>
              <w:jc w:val="right"/>
              <w:ind w:right="1"/>
              <w:spacing w:after="0"/>
              <w:rPr>
                <w:sz w:val="20"/>
                <w:szCs w:val="20"/>
                <w:color w:val="auto"/>
              </w:rPr>
            </w:pPr>
            <w:r>
              <w:rPr>
                <w:rFonts w:ascii="Arial" w:cs="Arial" w:eastAsia="Arial" w:hAnsi="Arial"/>
                <w:sz w:val="12"/>
                <w:szCs w:val="12"/>
                <w:color w:val="auto"/>
              </w:rPr>
              <w:t>1,377,874</w:t>
            </w:r>
          </w:p>
        </w:tc>
        <w:tc>
          <w:tcPr>
            <w:tcW w:w="0" w:type="dxa"/>
            <w:vAlign w:val="bottom"/>
          </w:tcPr>
          <w:p>
            <w:pPr>
              <w:spacing w:after="0"/>
              <w:rPr>
                <w:sz w:val="1"/>
                <w:szCs w:val="1"/>
                <w:color w:val="auto"/>
              </w:rPr>
            </w:pPr>
          </w:p>
        </w:tc>
      </w:tr>
      <w:tr>
        <w:trPr>
          <w:trHeight w:val="153"/>
        </w:trPr>
        <w:tc>
          <w:tcPr>
            <w:tcW w:w="46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Canada</w:t>
            </w:r>
          </w:p>
        </w:tc>
        <w:tc>
          <w:tcPr>
            <w:tcW w:w="4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166,861</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23,220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608</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190,689</w:t>
            </w:r>
          </w:p>
        </w:tc>
        <w:tc>
          <w:tcPr>
            <w:tcW w:w="0" w:type="dxa"/>
            <w:vAlign w:val="bottom"/>
          </w:tcPr>
          <w:p>
            <w:pPr>
              <w:spacing w:after="0"/>
              <w:rPr>
                <w:sz w:val="1"/>
                <w:szCs w:val="1"/>
                <w:color w:val="auto"/>
              </w:rPr>
            </w:pPr>
          </w:p>
        </w:tc>
      </w:tr>
      <w:tr>
        <w:trPr>
          <w:trHeight w:val="142"/>
        </w:trPr>
        <w:tc>
          <w:tcPr>
            <w:tcW w:w="4620" w:type="dxa"/>
            <w:vAlign w:val="bottom"/>
            <w:gridSpan w:val="3"/>
          </w:tcPr>
          <w:p>
            <w:pPr>
              <w:spacing w:after="0"/>
              <w:rPr>
                <w:sz w:val="20"/>
                <w:szCs w:val="20"/>
                <w:color w:val="auto"/>
              </w:rPr>
            </w:pPr>
            <w:r>
              <w:rPr>
                <w:rFonts w:ascii="Arial" w:cs="Arial" w:eastAsia="Arial" w:hAnsi="Arial"/>
                <w:sz w:val="12"/>
                <w:szCs w:val="12"/>
                <w:color w:val="auto"/>
              </w:rPr>
              <w:t>Total third-party revenues</w:t>
            </w:r>
          </w:p>
        </w:tc>
        <w:tc>
          <w:tcPr>
            <w:tcW w:w="180" w:type="dxa"/>
            <w:vAlign w:val="bottom"/>
            <w:gridSpan w:val="2"/>
          </w:tcPr>
          <w:p>
            <w:pPr>
              <w:jc w:val="right"/>
              <w:ind w:right="52"/>
              <w:spacing w:after="0"/>
              <w:rPr>
                <w:sz w:val="20"/>
                <w:szCs w:val="20"/>
                <w:color w:val="auto"/>
              </w:rPr>
            </w:pPr>
            <w:r>
              <w:rPr>
                <w:rFonts w:ascii="Arial" w:cs="Arial" w:eastAsia="Arial" w:hAnsi="Arial"/>
                <w:sz w:val="12"/>
                <w:szCs w:val="12"/>
                <w:color w:val="auto"/>
                <w:w w:val="89"/>
              </w:rPr>
              <w:t>$</w:t>
            </w:r>
          </w:p>
        </w:tc>
        <w:tc>
          <w:tcPr>
            <w:tcW w:w="1420" w:type="dxa"/>
            <w:vAlign w:val="bottom"/>
          </w:tcPr>
          <w:p>
            <w:pPr>
              <w:jc w:val="right"/>
              <w:spacing w:after="0"/>
              <w:rPr>
                <w:sz w:val="20"/>
                <w:szCs w:val="20"/>
                <w:color w:val="auto"/>
              </w:rPr>
            </w:pPr>
            <w:r>
              <w:rPr>
                <w:rFonts w:ascii="Arial" w:cs="Arial" w:eastAsia="Arial" w:hAnsi="Arial"/>
                <w:sz w:val="12"/>
                <w:szCs w:val="12"/>
                <w:color w:val="auto"/>
              </w:rPr>
              <w:t>1,317,756</w:t>
            </w:r>
          </w:p>
        </w:tc>
        <w:tc>
          <w:tcPr>
            <w:tcW w:w="20" w:type="dxa"/>
            <w:vAlign w:val="bottom"/>
          </w:tcPr>
          <w:p>
            <w:pPr>
              <w:spacing w:after="0"/>
              <w:rPr>
                <w:sz w:val="12"/>
                <w:szCs w:val="12"/>
                <w:color w:val="auto"/>
              </w:rPr>
            </w:pPr>
          </w:p>
        </w:tc>
        <w:tc>
          <w:tcPr>
            <w:tcW w:w="200" w:type="dxa"/>
            <w:vAlign w:val="bottom"/>
            <w:gridSpan w:val="3"/>
          </w:tcPr>
          <w:p>
            <w:pPr>
              <w:jc w:val="right"/>
              <w:ind w:right="12"/>
              <w:spacing w:after="0"/>
              <w:rPr>
                <w:sz w:val="20"/>
                <w:szCs w:val="20"/>
                <w:color w:val="auto"/>
              </w:rPr>
            </w:pPr>
            <w:r>
              <w:rPr>
                <w:rFonts w:ascii="Arial" w:cs="Arial" w:eastAsia="Arial" w:hAnsi="Arial"/>
                <w:sz w:val="12"/>
                <w:szCs w:val="12"/>
                <w:color w:val="auto"/>
              </w:rPr>
              <w:t>$</w:t>
            </w:r>
          </w:p>
        </w:tc>
        <w:tc>
          <w:tcPr>
            <w:tcW w:w="1460" w:type="dxa"/>
            <w:vAlign w:val="bottom"/>
          </w:tcPr>
          <w:p>
            <w:pPr>
              <w:jc w:val="right"/>
              <w:spacing w:after="0"/>
              <w:rPr>
                <w:sz w:val="20"/>
                <w:szCs w:val="20"/>
                <w:color w:val="auto"/>
              </w:rPr>
            </w:pPr>
            <w:r>
              <w:rPr>
                <w:rFonts w:ascii="Arial" w:cs="Arial" w:eastAsia="Arial" w:hAnsi="Arial"/>
                <w:sz w:val="12"/>
                <w:szCs w:val="12"/>
                <w:color w:val="auto"/>
              </w:rPr>
              <w:t>250,661</w:t>
            </w:r>
          </w:p>
        </w:tc>
        <w:tc>
          <w:tcPr>
            <w:tcW w:w="20" w:type="dxa"/>
            <w:vAlign w:val="bottom"/>
          </w:tcPr>
          <w:p>
            <w:pPr>
              <w:spacing w:after="0"/>
              <w:rPr>
                <w:sz w:val="12"/>
                <w:szCs w:val="12"/>
                <w:color w:val="auto"/>
              </w:rPr>
            </w:pPr>
          </w:p>
        </w:tc>
        <w:tc>
          <w:tcPr>
            <w:tcW w:w="1260" w:type="dxa"/>
            <w:vAlign w:val="bottom"/>
            <w:gridSpan w:val="3"/>
          </w:tcPr>
          <w:p>
            <w:pPr>
              <w:jc w:val="right"/>
              <w:ind w:right="1064"/>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146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1,568,563</w:t>
            </w:r>
          </w:p>
        </w:tc>
        <w:tc>
          <w:tcPr>
            <w:tcW w:w="0" w:type="dxa"/>
            <w:vAlign w:val="bottom"/>
          </w:tcPr>
          <w:p>
            <w:pPr>
              <w:spacing w:after="0"/>
              <w:rPr>
                <w:sz w:val="1"/>
                <w:szCs w:val="1"/>
                <w:color w:val="auto"/>
              </w:rPr>
            </w:pPr>
          </w:p>
        </w:tc>
      </w:tr>
      <w:tr>
        <w:trPr>
          <w:trHeight w:val="124"/>
        </w:trPr>
        <w:tc>
          <w:tcPr>
            <w:tcW w:w="10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30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4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4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2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6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Sources of Revenue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w w:val="97"/>
              </w:rPr>
              <w:t>Technical Services</w:t>
            </w:r>
          </w:p>
        </w:tc>
        <w:tc>
          <w:tcPr>
            <w:tcW w:w="3620" w:type="dxa"/>
            <w:vAlign w:val="bottom"/>
            <w:gridSpan w:val="2"/>
            <w:shd w:val="clear" w:color="auto" w:fill="CCEEFF"/>
          </w:tcPr>
          <w:p>
            <w:pPr>
              <w:spacing w:after="0"/>
              <w:rPr>
                <w:sz w:val="13"/>
                <w:szCs w:val="13"/>
                <w:color w:val="auto"/>
              </w:rPr>
            </w:pPr>
          </w:p>
        </w:tc>
        <w:tc>
          <w:tcPr>
            <w:tcW w:w="180" w:type="dxa"/>
            <w:vAlign w:val="bottom"/>
            <w:gridSpan w:val="2"/>
            <w:shd w:val="clear" w:color="auto" w:fill="CCEEFF"/>
          </w:tcPr>
          <w:p>
            <w:pPr>
              <w:jc w:val="right"/>
              <w:ind w:right="52"/>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517,202</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ind w:right="12"/>
              <w:spacing w:after="0"/>
              <w:rPr>
                <w:sz w:val="20"/>
                <w:szCs w:val="20"/>
                <w:color w:val="auto"/>
              </w:rPr>
            </w:pPr>
            <w:r>
              <w:rPr>
                <w:rFonts w:ascii="Arial" w:cs="Arial" w:eastAsia="Arial" w:hAnsi="Arial"/>
                <w:sz w:val="12"/>
                <w:szCs w:val="12"/>
                <w:color w:val="auto"/>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60" w:type="dxa"/>
            <w:vAlign w:val="bottom"/>
            <w:gridSpan w:val="3"/>
            <w:shd w:val="clear" w:color="auto" w:fill="CCEEFF"/>
          </w:tcPr>
          <w:p>
            <w:pPr>
              <w:jc w:val="right"/>
              <w:ind w:right="1064"/>
              <w:spacing w:after="0"/>
              <w:rPr>
                <w:sz w:val="20"/>
                <w:szCs w:val="20"/>
                <w:color w:val="auto"/>
              </w:rPr>
            </w:pPr>
            <w:r>
              <w:rPr>
                <w:rFonts w:ascii="Arial" w:cs="Arial" w:eastAsia="Arial" w:hAnsi="Arial"/>
                <w:sz w:val="12"/>
                <w:szCs w:val="12"/>
                <w:color w:val="auto"/>
              </w:rPr>
              <w:t>$</w:t>
            </w: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517,202</w:t>
            </w:r>
          </w:p>
        </w:tc>
        <w:tc>
          <w:tcPr>
            <w:tcW w:w="0" w:type="dxa"/>
            <w:vAlign w:val="bottom"/>
          </w:tcPr>
          <w:p>
            <w:pPr>
              <w:spacing w:after="0"/>
              <w:rPr>
                <w:sz w:val="1"/>
                <w:szCs w:val="1"/>
                <w:color w:val="auto"/>
              </w:rPr>
            </w:pPr>
          </w:p>
        </w:tc>
      </w:tr>
      <w:tr>
        <w:trPr>
          <w:trHeight w:val="153"/>
        </w:trPr>
        <w:tc>
          <w:tcPr>
            <w:tcW w:w="4620" w:type="dxa"/>
            <w:vAlign w:val="bottom"/>
            <w:gridSpan w:val="3"/>
          </w:tcPr>
          <w:p>
            <w:pPr>
              <w:spacing w:after="0"/>
              <w:rPr>
                <w:sz w:val="20"/>
                <w:szCs w:val="20"/>
                <w:color w:val="auto"/>
              </w:rPr>
            </w:pPr>
            <w:r>
              <w:rPr>
                <w:rFonts w:ascii="Arial" w:cs="Arial" w:eastAsia="Arial" w:hAnsi="Arial"/>
                <w:sz w:val="12"/>
                <w:szCs w:val="12"/>
                <w:color w:val="auto"/>
              </w:rPr>
              <w:t>Field and Emergency Response Services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233,265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233,265</w:t>
            </w:r>
          </w:p>
        </w:tc>
        <w:tc>
          <w:tcPr>
            <w:tcW w:w="0" w:type="dxa"/>
            <w:vAlign w:val="bottom"/>
          </w:tcPr>
          <w:p>
            <w:pPr>
              <w:spacing w:after="0"/>
              <w:rPr>
                <w:sz w:val="1"/>
                <w:szCs w:val="1"/>
                <w:color w:val="auto"/>
              </w:rPr>
            </w:pPr>
          </w:p>
        </w:tc>
      </w:tr>
      <w:tr>
        <w:trPr>
          <w:trHeight w:val="153"/>
        </w:trPr>
        <w:tc>
          <w:tcPr>
            <w:tcW w:w="46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Industrial Services and Other</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241,991</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242,137</w:t>
            </w:r>
          </w:p>
        </w:tc>
        <w:tc>
          <w:tcPr>
            <w:tcW w:w="0" w:type="dxa"/>
            <w:vAlign w:val="bottom"/>
          </w:tcPr>
          <w:p>
            <w:pPr>
              <w:spacing w:after="0"/>
              <w:rPr>
                <w:sz w:val="1"/>
                <w:szCs w:val="1"/>
                <w:color w:val="auto"/>
              </w:rPr>
            </w:pPr>
          </w:p>
        </w:tc>
      </w:tr>
      <w:tr>
        <w:trPr>
          <w:trHeight w:val="153"/>
        </w:trPr>
        <w:tc>
          <w:tcPr>
            <w:tcW w:w="4620" w:type="dxa"/>
            <w:vAlign w:val="bottom"/>
            <w:gridSpan w:val="3"/>
          </w:tcPr>
          <w:p>
            <w:pPr>
              <w:spacing w:after="0"/>
              <w:rPr>
                <w:sz w:val="20"/>
                <w:szCs w:val="20"/>
                <w:color w:val="auto"/>
              </w:rPr>
            </w:pPr>
            <w:r>
              <w:rPr>
                <w:rFonts w:ascii="Arial" w:cs="Arial" w:eastAsia="Arial" w:hAnsi="Arial"/>
                <w:sz w:val="12"/>
                <w:szCs w:val="12"/>
                <w:color w:val="auto"/>
              </w:rPr>
              <w:t>Safety-Kleen Environmental Services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325,298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84,055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409,353</w:t>
            </w:r>
          </w:p>
        </w:tc>
        <w:tc>
          <w:tcPr>
            <w:tcW w:w="0" w:type="dxa"/>
            <w:vAlign w:val="bottom"/>
          </w:tcPr>
          <w:p>
            <w:pPr>
              <w:spacing w:after="0"/>
              <w:rPr>
                <w:sz w:val="1"/>
                <w:szCs w:val="1"/>
                <w:color w:val="auto"/>
              </w:rPr>
            </w:pPr>
          </w:p>
        </w:tc>
      </w:tr>
      <w:tr>
        <w:trPr>
          <w:trHeight w:val="153"/>
        </w:trPr>
        <w:tc>
          <w:tcPr>
            <w:tcW w:w="46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Safety-Kleen Oil</w:t>
            </w:r>
          </w:p>
        </w:tc>
        <w:tc>
          <w:tcPr>
            <w:tcW w:w="4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166,606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gridSpan w:val="2"/>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166,606</w:t>
            </w:r>
          </w:p>
        </w:tc>
        <w:tc>
          <w:tcPr>
            <w:tcW w:w="0" w:type="dxa"/>
            <w:vAlign w:val="bottom"/>
          </w:tcPr>
          <w:p>
            <w:pPr>
              <w:spacing w:after="0"/>
              <w:rPr>
                <w:sz w:val="1"/>
                <w:szCs w:val="1"/>
                <w:color w:val="auto"/>
              </w:rPr>
            </w:pPr>
          </w:p>
        </w:tc>
      </w:tr>
      <w:tr>
        <w:trPr>
          <w:trHeight w:val="142"/>
        </w:trPr>
        <w:tc>
          <w:tcPr>
            <w:tcW w:w="4620" w:type="dxa"/>
            <w:vAlign w:val="bottom"/>
            <w:gridSpan w:val="3"/>
          </w:tcPr>
          <w:p>
            <w:pPr>
              <w:spacing w:after="0"/>
              <w:rPr>
                <w:sz w:val="20"/>
                <w:szCs w:val="20"/>
                <w:color w:val="auto"/>
              </w:rPr>
            </w:pPr>
            <w:r>
              <w:rPr>
                <w:rFonts w:ascii="Arial" w:cs="Arial" w:eastAsia="Arial" w:hAnsi="Arial"/>
                <w:sz w:val="12"/>
                <w:szCs w:val="12"/>
                <w:color w:val="auto"/>
              </w:rPr>
              <w:t>Total third-party revenues</w:t>
            </w:r>
          </w:p>
        </w:tc>
        <w:tc>
          <w:tcPr>
            <w:tcW w:w="1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1,317,756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250,661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Borders>
              <w:bottom w:val="single" w:sz="8" w:color="auto"/>
            </w:tcBorders>
            <w:gridSpan w:val="2"/>
          </w:tcPr>
          <w:p>
            <w:pPr>
              <w:jc w:val="right"/>
              <w:ind w:right="1064"/>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1,568,563</w:t>
            </w: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Contract Balances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360" w:type="dxa"/>
            <w:vAlign w:val="bottom"/>
            <w:gridSpan w:val="2"/>
          </w:tcPr>
          <w:p>
            <w:pPr>
              <w:ind w:left="20"/>
              <w:spacing w:after="0"/>
              <w:rPr>
                <w:sz w:val="20"/>
                <w:szCs w:val="20"/>
                <w:color w:val="auto"/>
              </w:rPr>
            </w:pPr>
            <w:r>
              <w:rPr>
                <w:rFonts w:ascii="Arial" w:cs="Arial" w:eastAsia="Arial" w:hAnsi="Arial"/>
                <w:sz w:val="10"/>
                <w:szCs w:val="10"/>
                <w:b w:val="1"/>
                <w:bCs w:val="1"/>
                <w:color w:val="auto"/>
              </w:rPr>
              <w:t>ands)</w:t>
            </w:r>
          </w:p>
        </w:tc>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2"/>
          </w:tcPr>
          <w:p>
            <w:pPr>
              <w:ind w:left="260"/>
              <w:spacing w:after="0"/>
              <w:rPr>
                <w:sz w:val="20"/>
                <w:szCs w:val="20"/>
                <w:color w:val="auto"/>
              </w:rPr>
            </w:pPr>
            <w:r>
              <w:rPr>
                <w:rFonts w:ascii="Arial" w:cs="Arial" w:eastAsia="Arial" w:hAnsi="Arial"/>
                <w:sz w:val="11"/>
                <w:szCs w:val="11"/>
                <w:b w:val="1"/>
                <w:bCs w:val="1"/>
                <w:color w:val="auto"/>
              </w:rPr>
              <w:t>June 30, 2021</w:t>
            </w:r>
          </w:p>
        </w:tc>
        <w:tc>
          <w:tcPr>
            <w:tcW w:w="1580" w:type="dxa"/>
            <w:vAlign w:val="bottom"/>
          </w:tcPr>
          <w:p>
            <w:pPr>
              <w:jc w:val="right"/>
              <w:ind w:right="502"/>
              <w:spacing w:after="0"/>
              <w:rPr>
                <w:sz w:val="20"/>
                <w:szCs w:val="20"/>
                <w:color w:val="auto"/>
              </w:rPr>
            </w:pPr>
            <w:r>
              <w:rPr>
                <w:rFonts w:ascii="Arial" w:cs="Arial" w:eastAsia="Arial" w:hAnsi="Arial"/>
                <w:sz w:val="11"/>
                <w:szCs w:val="11"/>
                <w:b w:val="1"/>
                <w:bCs w:val="1"/>
                <w:color w:val="auto"/>
              </w:rPr>
              <w:t>December 31, 2020</w:t>
            </w:r>
          </w:p>
        </w:tc>
      </w:tr>
      <w:tr>
        <w:trPr>
          <w:trHeight w:val="20"/>
        </w:trPr>
        <w:tc>
          <w:tcPr>
            <w:tcW w:w="80" w:type="dxa"/>
            <w:vAlign w:val="bottom"/>
          </w:tcPr>
          <w:p>
            <w:pPr>
              <w:spacing w:after="0" w:line="20" w:lineRule="exact"/>
              <w:rPr>
                <w:sz w:val="1"/>
                <w:szCs w:val="1"/>
                <w:color w:val="auto"/>
              </w:rPr>
            </w:pPr>
          </w:p>
        </w:tc>
        <w:tc>
          <w:tcPr>
            <w:tcW w:w="4280" w:type="dxa"/>
            <w:vAlign w:val="bottom"/>
            <w:shd w:val="clear" w:color="auto" w:fill="000000"/>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r>
      <w:tr>
        <w:trPr>
          <w:trHeight w:val="144"/>
        </w:trPr>
        <w:tc>
          <w:tcPr>
            <w:tcW w:w="4360" w:type="dxa"/>
            <w:vAlign w:val="bottom"/>
            <w:gridSpan w:val="2"/>
          </w:tcPr>
          <w:p>
            <w:pPr>
              <w:spacing w:after="0"/>
              <w:rPr>
                <w:sz w:val="20"/>
                <w:szCs w:val="20"/>
                <w:color w:val="auto"/>
              </w:rPr>
            </w:pPr>
            <w:r>
              <w:rPr>
                <w:rFonts w:ascii="Arial" w:cs="Arial" w:eastAsia="Arial" w:hAnsi="Arial"/>
                <w:sz w:val="12"/>
                <w:szCs w:val="12"/>
                <w:color w:val="auto"/>
              </w:rPr>
              <w:t>ables</w:t>
            </w:r>
          </w:p>
        </w:tc>
        <w:tc>
          <w:tcPr>
            <w:tcW w:w="324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Arial" w:cs="Arial" w:eastAsia="Arial" w:hAnsi="Arial"/>
                <w:sz w:val="12"/>
                <w:szCs w:val="12"/>
                <w:color w:val="auto"/>
              </w:rPr>
              <w:t>659,364$</w:t>
            </w:r>
          </w:p>
        </w:tc>
        <w:tc>
          <w:tcPr>
            <w:tcW w:w="10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Arial" w:cs="Arial" w:eastAsia="Arial" w:hAnsi="Arial"/>
                <w:sz w:val="12"/>
                <w:szCs w:val="12"/>
                <w:color w:val="auto"/>
              </w:rPr>
              <w:t>611,534</w:t>
            </w:r>
          </w:p>
        </w:tc>
      </w:tr>
      <w:tr>
        <w:trPr>
          <w:trHeight w:val="153"/>
        </w:trPr>
        <w:tc>
          <w:tcPr>
            <w:tcW w:w="4360" w:type="dxa"/>
            <w:vAlign w:val="bottom"/>
            <w:gridSpan w:val="2"/>
          </w:tcPr>
          <w:p>
            <w:pPr>
              <w:spacing w:after="0"/>
              <w:rPr>
                <w:sz w:val="20"/>
                <w:szCs w:val="20"/>
                <w:color w:val="auto"/>
              </w:rPr>
            </w:pPr>
            <w:r>
              <w:rPr>
                <w:rFonts w:ascii="Arial" w:cs="Arial" w:eastAsia="Arial" w:hAnsi="Arial"/>
                <w:sz w:val="12"/>
                <w:szCs w:val="12"/>
                <w:color w:val="auto"/>
              </w:rPr>
              <w:t>ct assets (unbilled receivables)</w:t>
            </w:r>
          </w:p>
        </w:tc>
        <w:tc>
          <w:tcPr>
            <w:tcW w:w="3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2"/>
                <w:szCs w:val="12"/>
                <w:color w:val="auto"/>
              </w:rPr>
              <w:t>59,446</w:t>
            </w:r>
          </w:p>
        </w:tc>
        <w:tc>
          <w:tcPr>
            <w:tcW w:w="1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2"/>
                <w:szCs w:val="12"/>
                <w:color w:val="auto"/>
              </w:rPr>
              <w:t>55,681</w:t>
            </w:r>
          </w:p>
        </w:tc>
      </w:tr>
      <w:tr>
        <w:trPr>
          <w:trHeight w:val="153"/>
        </w:trPr>
        <w:tc>
          <w:tcPr>
            <w:tcW w:w="80" w:type="dxa"/>
            <w:vAlign w:val="bottom"/>
          </w:tcPr>
          <w:p>
            <w:pPr>
              <w:spacing w:after="0"/>
              <w:rPr>
                <w:sz w:val="20"/>
                <w:szCs w:val="20"/>
                <w:color w:val="auto"/>
              </w:rPr>
            </w:pPr>
            <w:r>
              <w:rPr>
                <w:rFonts w:ascii="Arial" w:cs="Arial" w:eastAsia="Arial" w:hAnsi="Arial"/>
                <w:sz w:val="10"/>
                <w:szCs w:val="10"/>
                <w:color w:val="auto"/>
                <w:w w:val="76"/>
              </w:rPr>
              <w:t>ct</w:t>
            </w:r>
          </w:p>
        </w:tc>
        <w:tc>
          <w:tcPr>
            <w:tcW w:w="4280" w:type="dxa"/>
            <w:vAlign w:val="bottom"/>
            <w:shd w:val="clear" w:color="auto" w:fill="CCEEFF"/>
          </w:tcPr>
          <w:p>
            <w:pPr>
              <w:ind w:left="20"/>
              <w:spacing w:after="0"/>
              <w:rPr>
                <w:sz w:val="20"/>
                <w:szCs w:val="20"/>
                <w:color w:val="auto"/>
              </w:rPr>
            </w:pPr>
            <w:r>
              <w:rPr>
                <w:rFonts w:ascii="Arial" w:cs="Arial" w:eastAsia="Arial" w:hAnsi="Arial"/>
                <w:sz w:val="12"/>
                <w:szCs w:val="12"/>
                <w:color w:val="auto"/>
              </w:rPr>
              <w:t>liabilities (deferred revenue)</w:t>
            </w:r>
          </w:p>
        </w:tc>
        <w:tc>
          <w:tcPr>
            <w:tcW w:w="3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83,733</w:t>
            </w: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74,066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-296545</wp:posOffset>
            </wp:positionV>
            <wp:extent cx="6903720" cy="102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03720" cy="102870"/>
                    </a:xfrm>
                    <a:prstGeom prst="rect">
                      <a:avLst/>
                    </a:prstGeom>
                    <a:noFill/>
                  </pic:spPr>
                </pic:pic>
              </a:graphicData>
            </a:graphic>
          </wp:anchor>
        </w:drawing>
      </w:r>
    </w:p>
    <w:p>
      <w:pPr>
        <w:spacing w:after="0" w:line="133" w:lineRule="exact"/>
        <w:rPr>
          <w:sz w:val="20"/>
          <w:szCs w:val="20"/>
          <w:color w:val="auto"/>
        </w:rPr>
      </w:pPr>
    </w:p>
    <w:p>
      <w:pPr>
        <w:ind w:left="80" w:right="140" w:firstLine="432"/>
        <w:spacing w:after="0" w:line="289" w:lineRule="auto"/>
        <w:rPr>
          <w:sz w:val="20"/>
          <w:szCs w:val="20"/>
          <w:color w:val="auto"/>
        </w:rPr>
      </w:pPr>
      <w:r>
        <w:rPr>
          <w:rFonts w:ascii="Arial" w:cs="Arial" w:eastAsia="Arial" w:hAnsi="Arial"/>
          <w:sz w:val="11"/>
          <w:szCs w:val="11"/>
          <w:color w:val="auto"/>
        </w:rPr>
        <w:t>The timing of revenue recognition, billings and cash collections results in billed accounts receivable, unbilled receivables (contract assets) and customer advances and deposits or deferred revenue (contract liabilities) on the consolidated balance sheet. Generally, billing occurs subsequent to revenue recognition, as a right to payment is not just subject to passage of time, resulting in contract assets. Contract assets are classified as current. The Company sometimes receives advances or deposits from its customers before revenue is recognized, resulting in contract liabilities. These assets and liabilities are reported on the consolidated balance sheet on a contract-by-contract basis at the end of each reporting period. The contract liability balances at the beginning of each period presented were generally fully recognized in the subsequent three-month period.</w:t>
      </w:r>
    </w:p>
    <w:p>
      <w:pPr>
        <w:spacing w:after="0" w:line="125"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(4) BUSINESS COMBINATIONS</w:t>
      </w:r>
    </w:p>
    <w:p>
      <w:pPr>
        <w:spacing w:after="0" w:line="100" w:lineRule="exact"/>
        <w:rPr>
          <w:sz w:val="20"/>
          <w:szCs w:val="20"/>
          <w:color w:val="auto"/>
        </w:rPr>
      </w:pPr>
    </w:p>
    <w:p>
      <w:pPr>
        <w:ind w:left="80"/>
        <w:spacing w:after="0"/>
        <w:rPr>
          <w:sz w:val="20"/>
          <w:szCs w:val="20"/>
          <w:color w:val="auto"/>
        </w:rPr>
      </w:pPr>
      <w:r>
        <w:rPr>
          <w:rFonts w:ascii="Arial" w:cs="Arial" w:eastAsia="Arial" w:hAnsi="Arial"/>
          <w:sz w:val="12"/>
          <w:szCs w:val="12"/>
          <w:b w:val="1"/>
          <w:bCs w:val="1"/>
          <w:i w:val="1"/>
          <w:iCs w:val="1"/>
          <w:color w:val="auto"/>
        </w:rPr>
        <w:t>2021 Acquisition</w:t>
      </w:r>
    </w:p>
    <w:p>
      <w:pPr>
        <w:spacing w:after="0" w:line="105" w:lineRule="exact"/>
        <w:rPr>
          <w:sz w:val="20"/>
          <w:szCs w:val="20"/>
          <w:color w:val="auto"/>
        </w:rPr>
      </w:pPr>
    </w:p>
    <w:p>
      <w:pPr>
        <w:ind w:left="80" w:right="320" w:firstLine="432"/>
        <w:spacing w:after="0" w:line="276" w:lineRule="auto"/>
        <w:rPr>
          <w:sz w:val="20"/>
          <w:szCs w:val="20"/>
          <w:color w:val="auto"/>
        </w:rPr>
      </w:pPr>
      <w:r>
        <w:rPr>
          <w:rFonts w:ascii="Arial" w:cs="Arial" w:eastAsia="Arial" w:hAnsi="Arial"/>
          <w:sz w:val="12"/>
          <w:szCs w:val="12"/>
          <w:color w:val="auto"/>
        </w:rPr>
        <w:t>On March 27, 2021, the Company acquired a privately-owned business for $22.9 million cash consideration. The acquired company increases the Safety-Kleen Sustainability Solutions segment's network within the south central United States. In connection with this acquisition, a preliminary goodwill amount of $16.0 million was recognized.</w:t>
      </w: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42545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80"/>
          </w:cols>
          <w:pgMar w:left="220" w:top="131" w:right="299" w:bottom="1440" w:gutter="0" w:footer="0" w:header="0"/>
        </w:sectPr>
      </w:pPr>
    </w:p>
    <w:bookmarkStart w:id="11" w:name="page12"/>
    <w:bookmarkEnd w:id="1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2021 Proposed Acquisitions</w:t>
      </w:r>
    </w:p>
    <w:p>
      <w:pPr>
        <w:spacing w:after="0" w:line="96" w:lineRule="exact"/>
        <w:rPr>
          <w:sz w:val="20"/>
          <w:szCs w:val="20"/>
          <w:color w:val="auto"/>
        </w:rPr>
      </w:pPr>
    </w:p>
    <w:p>
      <w:pPr>
        <w:ind w:right="60" w:firstLine="432"/>
        <w:spacing w:after="0" w:line="289" w:lineRule="auto"/>
        <w:rPr>
          <w:sz w:val="20"/>
          <w:szCs w:val="20"/>
          <w:color w:val="auto"/>
        </w:rPr>
      </w:pPr>
      <w:r>
        <w:rPr>
          <w:rFonts w:ascii="Arial" w:cs="Arial" w:eastAsia="Arial" w:hAnsi="Arial"/>
          <w:sz w:val="11"/>
          <w:szCs w:val="11"/>
          <w:color w:val="auto"/>
        </w:rPr>
        <w:t>On June 29, 2021, the Company signed a definitive agreement with Vertex Energy, Inc. to acquire certain assets related to Vertex's used motor oil collection and re-refinery business in an all-cash transaction for $140.0 million, subject to working capital and other adjustments. The Company intends to fund the acquisition with available cash. The acquisition will include re-refineries in Marrero, Louisiana and Columbus, Ohio and service locations throughout the Midwest and Gulf Coast, as well as certain associated equipment and an assembled workforce. The acquisition is subject to approval by U.S. regulators and Vertex shareholders, and other customary closing conditions and is currently anticipated to close later in 2021. The acquisition will expand the Safety-Kleen Sustainability Solutions segment's oil re-refining capacity and collection and distribution network.</w:t>
      </w:r>
    </w:p>
    <w:p>
      <w:pPr>
        <w:spacing w:after="0" w:line="66"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On August 3, 2021, the Company signed a definitive agreement to acquire HydroChemPSC ("HPC"), a privately-owned company. With more than 5,000 employees, over 240 service locations and a fleet of specialized vehicles and equipment, HPC is a leading U.S. provider of industrial cleaning, specialty maintenance and utility services. The acquisition will enhance the Company's Environmental Services segment.</w:t>
      </w:r>
    </w:p>
    <w:p>
      <w:pPr>
        <w:spacing w:after="0" w:line="47" w:lineRule="exact"/>
        <w:rPr>
          <w:sz w:val="20"/>
          <w:szCs w:val="20"/>
          <w:color w:val="auto"/>
        </w:rPr>
      </w:pPr>
    </w:p>
    <w:p>
      <w:pPr>
        <w:jc w:val="both"/>
        <w:ind w:right="40" w:firstLine="432"/>
        <w:spacing w:after="0" w:line="263" w:lineRule="auto"/>
        <w:rPr>
          <w:sz w:val="20"/>
          <w:szCs w:val="20"/>
          <w:color w:val="auto"/>
        </w:rPr>
      </w:pPr>
      <w:r>
        <w:rPr>
          <w:rFonts w:ascii="Arial" w:cs="Arial" w:eastAsia="Arial" w:hAnsi="Arial"/>
          <w:sz w:val="12"/>
          <w:szCs w:val="12"/>
          <w:color w:val="auto"/>
        </w:rPr>
        <w:t>Under the terms of the agreement, at the closing of the transaction, the Company will pay cash consideration in an amount equal to $1.25 billion, subject to customary purchase price adjustments. The Company plans to finance the acquisition of HPC with a combination of cash on hand and long-term debt. The Company has obtained a financing commitment from Goldman Sachs Bank USA, for term loan debt financing. The acquisition is subject to approval by regulators, as well as other customary closing conditions, and is anticipated to close later in 2021.</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2020 Acquisition</w:t>
      </w:r>
    </w:p>
    <w:p>
      <w:pPr>
        <w:spacing w:after="0" w:line="105" w:lineRule="exact"/>
        <w:rPr>
          <w:sz w:val="20"/>
          <w:szCs w:val="20"/>
          <w:color w:val="auto"/>
        </w:rPr>
      </w:pPr>
    </w:p>
    <w:p>
      <w:pPr>
        <w:ind w:right="180" w:firstLine="432"/>
        <w:spacing w:after="0" w:line="276" w:lineRule="auto"/>
        <w:rPr>
          <w:sz w:val="20"/>
          <w:szCs w:val="20"/>
          <w:color w:val="auto"/>
        </w:rPr>
      </w:pPr>
      <w:r>
        <w:rPr>
          <w:rFonts w:ascii="Arial" w:cs="Arial" w:eastAsia="Arial" w:hAnsi="Arial"/>
          <w:sz w:val="12"/>
          <w:szCs w:val="12"/>
          <w:color w:val="auto"/>
        </w:rPr>
        <w:t>On April 17, 2020, the Company acquired a privately-owned business for $8.8 million cash consideration. The acquired company expands the Safety-Kleen Sustainability Solutions segment's oil re-refining operations to the northeast United States. In connection with this acquisition, a goodwill amount of $1.4 million was recognized.</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INVENTORIES AND SUPPLIES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Inventories and supplies consisted of the following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92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June 30, 2021</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341"/>
              <w:spacing w:after="0"/>
              <w:rPr>
                <w:sz w:val="20"/>
                <w:szCs w:val="20"/>
                <w:color w:val="auto"/>
              </w:rPr>
            </w:pPr>
            <w:r>
              <w:rPr>
                <w:rFonts w:ascii="Arial" w:cs="Arial" w:eastAsia="Arial" w:hAnsi="Arial"/>
                <w:sz w:val="11"/>
                <w:szCs w:val="11"/>
                <w:b w:val="1"/>
                <w:bCs w:val="1"/>
                <w:color w:val="auto"/>
              </w:rPr>
              <w:t>December 31, 2020</w:t>
            </w:r>
          </w:p>
        </w:tc>
      </w:tr>
      <w:tr>
        <w:trPr>
          <w:trHeight w:val="144"/>
        </w:trPr>
        <w:tc>
          <w:tcPr>
            <w:tcW w:w="7920" w:type="dxa"/>
            <w:vAlign w:val="bottom"/>
            <w:shd w:val="clear" w:color="auto" w:fill="CCEEFF"/>
          </w:tcPr>
          <w:p>
            <w:pPr>
              <w:spacing w:after="0"/>
              <w:rPr>
                <w:sz w:val="20"/>
                <w:szCs w:val="20"/>
                <w:color w:val="auto"/>
              </w:rPr>
            </w:pPr>
            <w:r>
              <w:rPr>
                <w:rFonts w:ascii="Arial" w:cs="Arial" w:eastAsia="Arial" w:hAnsi="Arial"/>
                <w:sz w:val="12"/>
                <w:szCs w:val="12"/>
                <w:color w:val="auto"/>
              </w:rPr>
              <w:t>Oil and oil related products</w:t>
            </w:r>
          </w:p>
        </w:tc>
        <w:tc>
          <w:tcPr>
            <w:tcW w:w="1160" w:type="dxa"/>
            <w:vAlign w:val="bottom"/>
            <w:shd w:val="clear" w:color="auto" w:fill="CCEEFF"/>
          </w:tcPr>
          <w:p>
            <w:pPr>
              <w:jc w:val="right"/>
              <w:ind w:right="105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75,162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76,209</w:t>
            </w:r>
          </w:p>
        </w:tc>
      </w:tr>
      <w:tr>
        <w:trPr>
          <w:trHeight w:val="153"/>
        </w:trPr>
        <w:tc>
          <w:tcPr>
            <w:tcW w:w="7920" w:type="dxa"/>
            <w:vAlign w:val="bottom"/>
          </w:tcPr>
          <w:p>
            <w:pPr>
              <w:spacing w:after="0"/>
              <w:rPr>
                <w:sz w:val="20"/>
                <w:szCs w:val="20"/>
                <w:color w:val="auto"/>
              </w:rPr>
            </w:pPr>
            <w:r>
              <w:rPr>
                <w:rFonts w:ascii="Arial" w:cs="Arial" w:eastAsia="Arial" w:hAnsi="Arial"/>
                <w:sz w:val="12"/>
                <w:szCs w:val="12"/>
                <w:color w:val="auto"/>
              </w:rPr>
              <w:t>Supplies</w:t>
            </w:r>
          </w:p>
        </w:tc>
        <w:tc>
          <w:tcPr>
            <w:tcW w:w="11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w w:val="96"/>
              </w:rPr>
              <w:t>119,388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Arial" w:cs="Arial" w:eastAsia="Arial" w:hAnsi="Arial"/>
                <w:sz w:val="12"/>
                <w:szCs w:val="12"/>
                <w:color w:val="auto"/>
              </w:rPr>
              <w:t>120,007</w:t>
            </w:r>
          </w:p>
        </w:tc>
      </w:tr>
      <w:tr>
        <w:trPr>
          <w:trHeight w:val="153"/>
        </w:trPr>
        <w:tc>
          <w:tcPr>
            <w:tcW w:w="7920" w:type="dxa"/>
            <w:vAlign w:val="bottom"/>
            <w:shd w:val="clear" w:color="auto" w:fill="CCEEFF"/>
          </w:tcPr>
          <w:p>
            <w:pPr>
              <w:spacing w:after="0"/>
              <w:rPr>
                <w:sz w:val="20"/>
                <w:szCs w:val="20"/>
                <w:color w:val="auto"/>
              </w:rPr>
            </w:pPr>
            <w:r>
              <w:rPr>
                <w:rFonts w:ascii="Arial" w:cs="Arial" w:eastAsia="Arial" w:hAnsi="Arial"/>
                <w:sz w:val="12"/>
                <w:szCs w:val="12"/>
                <w:color w:val="auto"/>
              </w:rPr>
              <w:t>Solvent and solutions</w:t>
            </w:r>
          </w:p>
        </w:tc>
        <w:tc>
          <w:tcPr>
            <w:tcW w:w="11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8,976</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8,812</w:t>
            </w:r>
          </w:p>
        </w:tc>
      </w:tr>
      <w:tr>
        <w:trPr>
          <w:trHeight w:val="153"/>
        </w:trPr>
        <w:tc>
          <w:tcPr>
            <w:tcW w:w="79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w:t>
            </w:r>
          </w:p>
        </w:tc>
        <w:tc>
          <w:tcPr>
            <w:tcW w:w="1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12,199</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15,470</w:t>
            </w:r>
          </w:p>
        </w:tc>
      </w:tr>
      <w:tr>
        <w:trPr>
          <w:trHeight w:val="158"/>
        </w:trPr>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inventories and supplies</w:t>
            </w:r>
          </w:p>
        </w:tc>
        <w:tc>
          <w:tcPr>
            <w:tcW w:w="116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6"/>
              </w:rPr>
              <w:t>215,725</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220,498</w:t>
            </w:r>
          </w:p>
        </w:tc>
      </w:tr>
    </w:tbl>
    <w:p>
      <w:pPr>
        <w:spacing w:after="0" w:line="153" w:lineRule="exact"/>
        <w:rPr>
          <w:sz w:val="20"/>
          <w:szCs w:val="20"/>
          <w:color w:val="auto"/>
        </w:rPr>
      </w:pPr>
    </w:p>
    <w:p>
      <w:pPr>
        <w:ind w:right="320" w:firstLine="432"/>
        <w:spacing w:after="0" w:line="276" w:lineRule="auto"/>
        <w:rPr>
          <w:sz w:val="20"/>
          <w:szCs w:val="20"/>
          <w:color w:val="auto"/>
        </w:rPr>
      </w:pPr>
      <w:r>
        <w:rPr>
          <w:rFonts w:ascii="Arial" w:cs="Arial" w:eastAsia="Arial" w:hAnsi="Arial"/>
          <w:sz w:val="12"/>
          <w:szCs w:val="12"/>
          <w:color w:val="auto"/>
        </w:rPr>
        <w:t>Supplies consists primarily of critical spare parts to support the Company's incinerator and re-refinery operations, personal protective equipment and other general supplies used in our normal day-to-day operations. Other inventories consists primarily of parts washer components, cleaning fluids, absorbents and automotive fluids, such as windshield washer fluid and antifreeze.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2" w:name="page13"/>
    <w:bookmarkEnd w:id="1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(6) PROPERTY, PLANT AND EQUIPMENT</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Property, plant and equipment consisted of the following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tcPr>
          <w:p>
            <w:pPr>
              <w:ind w:left="220"/>
              <w:spacing w:after="0"/>
              <w:rPr>
                <w:sz w:val="20"/>
                <w:szCs w:val="20"/>
                <w:color w:val="auto"/>
              </w:rPr>
            </w:pPr>
            <w:r>
              <w:rPr>
                <w:rFonts w:ascii="Arial" w:cs="Arial" w:eastAsia="Arial" w:hAnsi="Arial"/>
                <w:sz w:val="11"/>
                <w:szCs w:val="11"/>
                <w:b w:val="1"/>
                <w:bCs w:val="1"/>
                <w:color w:val="auto"/>
              </w:rPr>
              <w:t>June 30, 2021</w:t>
            </w:r>
          </w:p>
        </w:tc>
        <w:tc>
          <w:tcPr>
            <w:tcW w:w="240" w:type="dxa"/>
            <w:vAlign w:val="bottom"/>
          </w:tcPr>
          <w:p>
            <w:pPr>
              <w:spacing w:after="0"/>
              <w:rPr>
                <w:sz w:val="12"/>
                <w:szCs w:val="12"/>
                <w:color w:val="auto"/>
              </w:rPr>
            </w:pPr>
          </w:p>
        </w:tc>
        <w:tc>
          <w:tcPr>
            <w:tcW w:w="1420" w:type="dxa"/>
            <w:vAlign w:val="bottom"/>
          </w:tcPr>
          <w:p>
            <w:pPr>
              <w:jc w:val="right"/>
              <w:ind w:right="340"/>
              <w:spacing w:after="0"/>
              <w:rPr>
                <w:sz w:val="20"/>
                <w:szCs w:val="20"/>
                <w:color w:val="auto"/>
              </w:rPr>
            </w:pPr>
            <w:r>
              <w:rPr>
                <w:rFonts w:ascii="Arial" w:cs="Arial" w:eastAsia="Arial" w:hAnsi="Arial"/>
                <w:sz w:val="11"/>
                <w:szCs w:val="11"/>
                <w:b w:val="1"/>
                <w:bCs w:val="1"/>
                <w:color w:val="auto"/>
              </w:rPr>
              <w:t>December 31, 2020</w:t>
            </w:r>
          </w:p>
        </w:tc>
      </w:tr>
      <w:tr>
        <w:trPr>
          <w:trHeight w:val="144"/>
        </w:trPr>
        <w:tc>
          <w:tcPr>
            <w:tcW w:w="7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Land</w:t>
            </w:r>
          </w:p>
        </w:tc>
        <w:tc>
          <w:tcPr>
            <w:tcW w:w="28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148,749</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139,776</w:t>
            </w:r>
          </w:p>
        </w:tc>
      </w:tr>
      <w:tr>
        <w:trPr>
          <w:trHeight w:val="153"/>
        </w:trPr>
        <w:tc>
          <w:tcPr>
            <w:tcW w:w="7920" w:type="dxa"/>
            <w:vAlign w:val="bottom"/>
          </w:tcPr>
          <w:p>
            <w:pPr>
              <w:spacing w:after="0"/>
              <w:rPr>
                <w:sz w:val="20"/>
                <w:szCs w:val="20"/>
                <w:color w:val="auto"/>
              </w:rPr>
            </w:pPr>
            <w:r>
              <w:rPr>
                <w:rFonts w:ascii="Arial" w:cs="Arial" w:eastAsia="Arial" w:hAnsi="Arial"/>
                <w:sz w:val="12"/>
                <w:szCs w:val="12"/>
                <w:color w:val="auto"/>
              </w:rPr>
              <w:t>Asset retirement costs (non-landfill)</w:t>
            </w:r>
          </w:p>
        </w:tc>
        <w:tc>
          <w:tcPr>
            <w:tcW w:w="2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17,851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16,407</w:t>
            </w:r>
          </w:p>
        </w:tc>
      </w:tr>
      <w:tr>
        <w:trPr>
          <w:trHeight w:val="153"/>
        </w:trPr>
        <w:tc>
          <w:tcPr>
            <w:tcW w:w="7920" w:type="dxa"/>
            <w:vAlign w:val="bottom"/>
            <w:shd w:val="clear" w:color="auto" w:fill="CCEEFF"/>
          </w:tcPr>
          <w:p>
            <w:pPr>
              <w:spacing w:after="0"/>
              <w:rPr>
                <w:sz w:val="20"/>
                <w:szCs w:val="20"/>
                <w:color w:val="auto"/>
              </w:rPr>
            </w:pPr>
            <w:r>
              <w:rPr>
                <w:rFonts w:ascii="Arial" w:cs="Arial" w:eastAsia="Arial" w:hAnsi="Arial"/>
                <w:sz w:val="12"/>
                <w:szCs w:val="12"/>
                <w:color w:val="auto"/>
              </w:rPr>
              <w:t>Landfill assets</w:t>
            </w: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196,156</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191,687</w:t>
            </w:r>
          </w:p>
        </w:tc>
      </w:tr>
      <w:tr>
        <w:trPr>
          <w:trHeight w:val="153"/>
        </w:trPr>
        <w:tc>
          <w:tcPr>
            <w:tcW w:w="7920" w:type="dxa"/>
            <w:vAlign w:val="bottom"/>
          </w:tcPr>
          <w:p>
            <w:pPr>
              <w:spacing w:after="0" w:line="153" w:lineRule="exact"/>
              <w:rPr>
                <w:sz w:val="20"/>
                <w:szCs w:val="20"/>
                <w:color w:val="auto"/>
              </w:rPr>
            </w:pPr>
            <w:r>
              <w:rPr>
                <w:rFonts w:ascii="Arial" w:cs="Arial" w:eastAsia="Arial" w:hAnsi="Arial"/>
                <w:sz w:val="12"/>
                <w:szCs w:val="12"/>
                <w:color w:val="auto"/>
              </w:rPr>
              <w:t xml:space="preserve">Buildings and improvements </w:t>
            </w:r>
            <w:r>
              <w:rPr>
                <w:rFonts w:ascii="Arial" w:cs="Arial" w:eastAsia="Arial" w:hAnsi="Arial"/>
                <w:sz w:val="15"/>
                <w:szCs w:val="15"/>
                <w:color w:val="auto"/>
                <w:vertAlign w:val="superscript"/>
              </w:rPr>
              <w:t>(1)</w:t>
            </w:r>
          </w:p>
        </w:tc>
        <w:tc>
          <w:tcPr>
            <w:tcW w:w="2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523,136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509,804</w:t>
            </w:r>
          </w:p>
        </w:tc>
      </w:tr>
      <w:tr>
        <w:trPr>
          <w:trHeight w:val="153"/>
        </w:trPr>
        <w:tc>
          <w:tcPr>
            <w:tcW w:w="7920" w:type="dxa"/>
            <w:vAlign w:val="bottom"/>
            <w:shd w:val="clear" w:color="auto" w:fill="CCEEFF"/>
          </w:tcPr>
          <w:p>
            <w:pPr>
              <w:spacing w:after="0"/>
              <w:rPr>
                <w:sz w:val="20"/>
                <w:szCs w:val="20"/>
                <w:color w:val="auto"/>
              </w:rPr>
            </w:pPr>
            <w:r>
              <w:rPr>
                <w:rFonts w:ascii="Arial" w:cs="Arial" w:eastAsia="Arial" w:hAnsi="Arial"/>
                <w:sz w:val="12"/>
                <w:szCs w:val="12"/>
                <w:color w:val="auto"/>
              </w:rPr>
              <w:t>Camp equipment</w:t>
            </w: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157,554</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159,021</w:t>
            </w:r>
          </w:p>
        </w:tc>
      </w:tr>
      <w:tr>
        <w:trPr>
          <w:trHeight w:val="153"/>
        </w:trPr>
        <w:tc>
          <w:tcPr>
            <w:tcW w:w="7920" w:type="dxa"/>
            <w:vAlign w:val="bottom"/>
          </w:tcPr>
          <w:p>
            <w:pPr>
              <w:spacing w:after="0" w:line="153" w:lineRule="exact"/>
              <w:rPr>
                <w:sz w:val="20"/>
                <w:szCs w:val="20"/>
                <w:color w:val="auto"/>
              </w:rPr>
            </w:pPr>
            <w:r>
              <w:rPr>
                <w:rFonts w:ascii="Arial" w:cs="Arial" w:eastAsia="Arial" w:hAnsi="Arial"/>
                <w:sz w:val="12"/>
                <w:szCs w:val="12"/>
                <w:color w:val="auto"/>
              </w:rPr>
              <w:t xml:space="preserve">Vehicles </w:t>
            </w:r>
            <w:r>
              <w:rPr>
                <w:rFonts w:ascii="Arial" w:cs="Arial" w:eastAsia="Arial" w:hAnsi="Arial"/>
                <w:sz w:val="15"/>
                <w:szCs w:val="15"/>
                <w:color w:val="auto"/>
                <w:vertAlign w:val="superscript"/>
              </w:rPr>
              <w:t>(2)</w:t>
            </w:r>
          </w:p>
        </w:tc>
        <w:tc>
          <w:tcPr>
            <w:tcW w:w="2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867,498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844,026</w:t>
            </w:r>
          </w:p>
        </w:tc>
      </w:tr>
      <w:tr>
        <w:trPr>
          <w:trHeight w:val="153"/>
        </w:trPr>
        <w:tc>
          <w:tcPr>
            <w:tcW w:w="792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Equipment </w:t>
            </w:r>
            <w:r>
              <w:rPr>
                <w:rFonts w:ascii="Arial" w:cs="Arial" w:eastAsia="Arial" w:hAnsi="Arial"/>
                <w:sz w:val="15"/>
                <w:szCs w:val="15"/>
                <w:color w:val="auto"/>
                <w:vertAlign w:val="superscript"/>
              </w:rPr>
              <w:t>(3)</w:t>
            </w: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1,821,298</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1,807,235</w:t>
            </w:r>
          </w:p>
        </w:tc>
      </w:tr>
      <w:tr>
        <w:trPr>
          <w:trHeight w:val="153"/>
        </w:trPr>
        <w:tc>
          <w:tcPr>
            <w:tcW w:w="7920" w:type="dxa"/>
            <w:vAlign w:val="bottom"/>
          </w:tcPr>
          <w:p>
            <w:pPr>
              <w:spacing w:after="0"/>
              <w:rPr>
                <w:sz w:val="20"/>
                <w:szCs w:val="20"/>
                <w:color w:val="auto"/>
              </w:rPr>
            </w:pPr>
            <w:r>
              <w:rPr>
                <w:rFonts w:ascii="Arial" w:cs="Arial" w:eastAsia="Arial" w:hAnsi="Arial"/>
                <w:sz w:val="12"/>
                <w:szCs w:val="12"/>
                <w:color w:val="auto"/>
              </w:rPr>
              <w:t>Furniture and fixtures</w:t>
            </w:r>
          </w:p>
        </w:tc>
        <w:tc>
          <w:tcPr>
            <w:tcW w:w="2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7,195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7,082</w:t>
            </w:r>
          </w:p>
        </w:tc>
      </w:tr>
      <w:tr>
        <w:trPr>
          <w:trHeight w:val="153"/>
        </w:trPr>
        <w:tc>
          <w:tcPr>
            <w:tcW w:w="7920" w:type="dxa"/>
            <w:vAlign w:val="bottom"/>
            <w:shd w:val="clear" w:color="auto" w:fill="CCEEFF"/>
          </w:tcPr>
          <w:p>
            <w:pPr>
              <w:spacing w:after="0"/>
              <w:rPr>
                <w:sz w:val="20"/>
                <w:szCs w:val="20"/>
                <w:color w:val="auto"/>
              </w:rPr>
            </w:pPr>
            <w:r>
              <w:rPr>
                <w:rFonts w:ascii="Arial" w:cs="Arial" w:eastAsia="Arial" w:hAnsi="Arial"/>
                <w:sz w:val="12"/>
                <w:szCs w:val="12"/>
                <w:color w:val="auto"/>
              </w:rPr>
              <w:t>Construction in progress</w:t>
            </w:r>
          </w:p>
        </w:tc>
        <w:tc>
          <w:tcPr>
            <w:tcW w:w="28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44,555</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24,378</w:t>
            </w:r>
          </w:p>
        </w:tc>
      </w:tr>
      <w:tr>
        <w:trPr>
          <w:trHeight w:val="142"/>
        </w:trPr>
        <w:tc>
          <w:tcPr>
            <w:tcW w:w="7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3,783,992</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3,699,416</w:t>
            </w:r>
          </w:p>
        </w:tc>
      </w:tr>
      <w:tr>
        <w:trPr>
          <w:trHeight w:val="153"/>
        </w:trPr>
        <w:tc>
          <w:tcPr>
            <w:tcW w:w="7920" w:type="dxa"/>
            <w:vAlign w:val="bottom"/>
            <w:shd w:val="clear" w:color="auto" w:fill="CCEEFF"/>
          </w:tcPr>
          <w:p>
            <w:pPr>
              <w:spacing w:after="0"/>
              <w:rPr>
                <w:sz w:val="20"/>
                <w:szCs w:val="20"/>
                <w:color w:val="auto"/>
              </w:rPr>
            </w:pPr>
            <w:r>
              <w:rPr>
                <w:rFonts w:ascii="Arial" w:cs="Arial" w:eastAsia="Arial" w:hAnsi="Arial"/>
                <w:sz w:val="12"/>
                <w:szCs w:val="12"/>
                <w:color w:val="auto"/>
              </w:rPr>
              <w:t>Less - accumulated depreciation and amortization</w:t>
            </w:r>
          </w:p>
        </w:tc>
        <w:tc>
          <w:tcPr>
            <w:tcW w:w="28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2,252,703</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2,174,118</w:t>
            </w:r>
          </w:p>
        </w:tc>
      </w:tr>
      <w:tr>
        <w:trPr>
          <w:trHeight w:val="142"/>
        </w:trPr>
        <w:tc>
          <w:tcPr>
            <w:tcW w:w="7920" w:type="dxa"/>
            <w:vAlign w:val="bottom"/>
          </w:tcPr>
          <w:p>
            <w:pPr>
              <w:spacing w:after="0"/>
              <w:rPr>
                <w:sz w:val="20"/>
                <w:szCs w:val="20"/>
                <w:color w:val="auto"/>
              </w:rPr>
            </w:pPr>
            <w:r>
              <w:rPr>
                <w:rFonts w:ascii="Arial" w:cs="Arial" w:eastAsia="Arial" w:hAnsi="Arial"/>
                <w:sz w:val="12"/>
                <w:szCs w:val="12"/>
                <w:color w:val="auto"/>
              </w:rPr>
              <w:t>Total property, plant and equipment, net</w:t>
            </w: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1,531,289</w:t>
            </w:r>
          </w:p>
        </w:tc>
        <w:tc>
          <w:tcPr>
            <w:tcW w:w="80" w:type="dxa"/>
            <w:vAlign w:val="bottom"/>
          </w:tcPr>
          <w:p>
            <w:pPr>
              <w:spacing w:after="0"/>
              <w:rPr>
                <w:sz w:val="12"/>
                <w:szCs w:val="12"/>
                <w:color w:val="auto"/>
              </w:rPr>
            </w:pP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1,525,298</w:t>
            </w:r>
          </w:p>
        </w:tc>
      </w:tr>
      <w:tr>
        <w:trPr>
          <w:trHeight w:val="20"/>
        </w:trPr>
        <w:tc>
          <w:tcPr>
            <w:tcW w:w="7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w:t>
      </w:r>
    </w:p>
    <w:p>
      <w:pPr>
        <w:spacing w:after="0" w:line="15" w:lineRule="exact"/>
        <w:rPr>
          <w:sz w:val="20"/>
          <w:szCs w:val="20"/>
          <w:color w:val="auto"/>
        </w:rPr>
      </w:pPr>
    </w:p>
    <w:p>
      <w:pPr>
        <w:ind w:left="380" w:hanging="1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Balances inclusive of gross right-of-use ("ROU") assets classified as finance leases of $8.9 million in both periods.</w:t>
      </w:r>
    </w:p>
    <w:p>
      <w:pPr>
        <w:spacing w:after="0" w:line="6" w:lineRule="exact"/>
        <w:rPr>
          <w:rFonts w:ascii="Arial" w:cs="Arial" w:eastAsia="Arial" w:hAnsi="Arial"/>
          <w:sz w:val="12"/>
          <w:szCs w:val="12"/>
          <w:color w:val="auto"/>
        </w:rPr>
      </w:pPr>
    </w:p>
    <w:p>
      <w:pPr>
        <w:ind w:left="380" w:hanging="1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Balances inclusive of gross ROU assets classified as finance leases of $66.0 million and $47.2 million, respectively.</w:t>
      </w:r>
    </w:p>
    <w:p>
      <w:pPr>
        <w:spacing w:after="0" w:line="6" w:lineRule="exact"/>
        <w:rPr>
          <w:rFonts w:ascii="Arial" w:cs="Arial" w:eastAsia="Arial" w:hAnsi="Arial"/>
          <w:sz w:val="12"/>
          <w:szCs w:val="12"/>
          <w:color w:val="auto"/>
        </w:rPr>
      </w:pPr>
    </w:p>
    <w:p>
      <w:pPr>
        <w:ind w:left="380" w:hanging="1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Balances inclusive of gross ROU assets classified as finance leases of $9.3 million in both periods.</w:t>
      </w:r>
    </w:p>
    <w:p>
      <w:pPr>
        <w:spacing w:after="0" w:line="96" w:lineRule="exact"/>
        <w:rPr>
          <w:sz w:val="20"/>
          <w:szCs w:val="20"/>
          <w:color w:val="auto"/>
        </w:rPr>
      </w:pPr>
    </w:p>
    <w:p>
      <w:pPr>
        <w:ind w:right="160" w:firstLine="432"/>
        <w:spacing w:after="0" w:line="276" w:lineRule="auto"/>
        <w:rPr>
          <w:sz w:val="20"/>
          <w:szCs w:val="20"/>
          <w:color w:val="auto"/>
        </w:rPr>
      </w:pPr>
      <w:r>
        <w:rPr>
          <w:rFonts w:ascii="Arial" w:cs="Arial" w:eastAsia="Arial" w:hAnsi="Arial"/>
          <w:sz w:val="12"/>
          <w:szCs w:val="12"/>
          <w:color w:val="auto"/>
        </w:rPr>
        <w:t>Depreciation expense, inclusive of landfill and finance lease amortization, was $63.8 million and $128.4 million for the three and six months ended June 30, 2021, respectively. Depreciation expense, inclusive of landfill and finance lease amortization, was $63.7 million and $129.0 million for the three and six months ended June 30, 2020,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GOODWILL AND OTHER INTANGIBLE ASSETS</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changes in goodwill by segment for the six months ended June 30, 2021 were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Environmental Services</w:t>
            </w:r>
          </w:p>
        </w:tc>
        <w:tc>
          <w:tcPr>
            <w:tcW w:w="80" w:type="dxa"/>
            <w:vAlign w:val="bottom"/>
          </w:tcPr>
          <w:p>
            <w:pPr>
              <w:spacing w:after="0"/>
              <w:rPr>
                <w:sz w:val="10"/>
                <w:szCs w:val="10"/>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6"/>
              </w:rPr>
              <w:t>Safety-Kleen</w:t>
            </w:r>
          </w:p>
        </w:tc>
        <w:tc>
          <w:tcPr>
            <w:tcW w:w="280" w:type="dxa"/>
            <w:vAlign w:val="bottom"/>
          </w:tcPr>
          <w:p>
            <w:pPr>
              <w:spacing w:after="0"/>
              <w:rPr>
                <w:sz w:val="10"/>
                <w:szCs w:val="10"/>
                <w:color w:val="auto"/>
              </w:rPr>
            </w:pPr>
          </w:p>
        </w:tc>
        <w:tc>
          <w:tcPr>
            <w:tcW w:w="980" w:type="dxa"/>
            <w:vAlign w:val="bottom"/>
            <w:vMerge w:val="restart"/>
          </w:tcPr>
          <w:p>
            <w:pPr>
              <w:jc w:val="right"/>
              <w:ind w:right="441"/>
              <w:spacing w:after="0"/>
              <w:rPr>
                <w:sz w:val="20"/>
                <w:szCs w:val="20"/>
                <w:color w:val="auto"/>
              </w:rPr>
            </w:pPr>
            <w:r>
              <w:rPr>
                <w:rFonts w:ascii="Arial" w:cs="Arial" w:eastAsia="Arial" w:hAnsi="Arial"/>
                <w:sz w:val="11"/>
                <w:szCs w:val="11"/>
                <w:b w:val="1"/>
                <w:bCs w:val="1"/>
                <w:color w:val="auto"/>
              </w:rPr>
              <w:t>Totals</w:t>
            </w:r>
          </w:p>
        </w:tc>
        <w:tc>
          <w:tcPr>
            <w:tcW w:w="0" w:type="dxa"/>
            <w:vAlign w:val="bottom"/>
          </w:tcPr>
          <w:p>
            <w:pPr>
              <w:spacing w:after="0"/>
              <w:rPr>
                <w:sz w:val="1"/>
                <w:szCs w:val="1"/>
                <w:color w:val="auto"/>
              </w:rPr>
            </w:pPr>
          </w:p>
        </w:tc>
      </w:tr>
      <w:tr>
        <w:trPr>
          <w:trHeight w:val="142"/>
        </w:trPr>
        <w:tc>
          <w:tcPr>
            <w:tcW w:w="7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8"/>
              </w:rPr>
              <w:t>Sustainability Solutions</w:t>
            </w:r>
          </w:p>
        </w:tc>
        <w:tc>
          <w:tcPr>
            <w:tcW w:w="2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January 1, 2021</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401,918</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125,105</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527,023</w:t>
            </w:r>
          </w:p>
        </w:tc>
        <w:tc>
          <w:tcPr>
            <w:tcW w:w="0" w:type="dxa"/>
            <w:vAlign w:val="bottom"/>
          </w:tcPr>
          <w:p>
            <w:pPr>
              <w:spacing w:after="0"/>
              <w:rPr>
                <w:sz w:val="1"/>
                <w:szCs w:val="1"/>
                <w:color w:val="auto"/>
              </w:rPr>
            </w:pPr>
          </w:p>
        </w:tc>
      </w:tr>
      <w:tr>
        <w:trPr>
          <w:trHeight w:val="153"/>
        </w:trPr>
        <w:tc>
          <w:tcPr>
            <w:tcW w:w="7280" w:type="dxa"/>
            <w:vAlign w:val="bottom"/>
          </w:tcPr>
          <w:p>
            <w:pPr>
              <w:spacing w:after="0"/>
              <w:rPr>
                <w:sz w:val="20"/>
                <w:szCs w:val="20"/>
                <w:color w:val="auto"/>
              </w:rPr>
            </w:pPr>
            <w:r>
              <w:rPr>
                <w:rFonts w:ascii="Arial" w:cs="Arial" w:eastAsia="Arial" w:hAnsi="Arial"/>
                <w:sz w:val="12"/>
                <w:szCs w:val="12"/>
                <w:color w:val="auto"/>
              </w:rPr>
              <w:t>Increase from current period acquisition</w:t>
            </w:r>
          </w:p>
        </w:tc>
        <w:tc>
          <w:tcPr>
            <w:tcW w:w="80" w:type="dxa"/>
            <w:vAlign w:val="bottom"/>
          </w:tcPr>
          <w:p>
            <w:pPr>
              <w:spacing w:after="0"/>
              <w:rPr>
                <w:sz w:val="13"/>
                <w:szCs w:val="13"/>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180" w:type="dxa"/>
            <w:vAlign w:val="bottom"/>
          </w:tcPr>
          <w:p>
            <w:pPr>
              <w:jc w:val="right"/>
              <w:ind w:right="2"/>
              <w:spacing w:after="0"/>
              <w:rPr>
                <w:sz w:val="20"/>
                <w:szCs w:val="20"/>
                <w:color w:val="auto"/>
              </w:rPr>
            </w:pPr>
            <w:r>
              <w:rPr>
                <w:rFonts w:ascii="Arial" w:cs="Arial" w:eastAsia="Arial" w:hAnsi="Arial"/>
                <w:sz w:val="12"/>
                <w:szCs w:val="12"/>
                <w:color w:val="auto"/>
              </w:rPr>
              <w:t>15,958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15,958</w:t>
            </w:r>
          </w:p>
        </w:tc>
        <w:tc>
          <w:tcPr>
            <w:tcW w:w="0" w:type="dxa"/>
            <w:vAlign w:val="bottom"/>
          </w:tcPr>
          <w:p>
            <w:pPr>
              <w:spacing w:after="0"/>
              <w:rPr>
                <w:sz w:val="1"/>
                <w:szCs w:val="1"/>
                <w:color w:val="auto"/>
              </w:rPr>
            </w:pPr>
          </w:p>
        </w:tc>
      </w:tr>
      <w:tr>
        <w:trPr>
          <w:trHeight w:val="153"/>
        </w:trPr>
        <w:tc>
          <w:tcPr>
            <w:tcW w:w="7280" w:type="dxa"/>
            <w:vAlign w:val="bottom"/>
            <w:shd w:val="clear" w:color="auto" w:fill="CCEEFF"/>
          </w:tcPr>
          <w:p>
            <w:pPr>
              <w:spacing w:after="0"/>
              <w:rPr>
                <w:sz w:val="20"/>
                <w:szCs w:val="20"/>
                <w:color w:val="auto"/>
              </w:rPr>
            </w:pPr>
            <w:r>
              <w:rPr>
                <w:rFonts w:ascii="Arial" w:cs="Arial" w:eastAsia="Arial" w:hAnsi="Arial"/>
                <w:sz w:val="12"/>
                <w:szCs w:val="12"/>
                <w:color w:val="auto"/>
              </w:rPr>
              <w:t>Foreign currency translation</w:t>
            </w:r>
          </w:p>
        </w:tc>
        <w:tc>
          <w:tcPr>
            <w:tcW w:w="8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1,218</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440</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1,658</w:t>
            </w:r>
          </w:p>
        </w:tc>
        <w:tc>
          <w:tcPr>
            <w:tcW w:w="0" w:type="dxa"/>
            <w:vAlign w:val="bottom"/>
          </w:tcPr>
          <w:p>
            <w:pPr>
              <w:spacing w:after="0"/>
              <w:rPr>
                <w:sz w:val="1"/>
                <w:szCs w:val="1"/>
                <w:color w:val="auto"/>
              </w:rPr>
            </w:pPr>
          </w:p>
        </w:tc>
      </w:tr>
      <w:tr>
        <w:trPr>
          <w:trHeight w:val="142"/>
        </w:trPr>
        <w:tc>
          <w:tcPr>
            <w:tcW w:w="7280" w:type="dxa"/>
            <w:vAlign w:val="bottom"/>
          </w:tcPr>
          <w:p>
            <w:pPr>
              <w:spacing w:after="0"/>
              <w:rPr>
                <w:sz w:val="20"/>
                <w:szCs w:val="20"/>
                <w:color w:val="auto"/>
              </w:rPr>
            </w:pPr>
            <w:r>
              <w:rPr>
                <w:rFonts w:ascii="Arial" w:cs="Arial" w:eastAsia="Arial" w:hAnsi="Arial"/>
                <w:sz w:val="12"/>
                <w:szCs w:val="12"/>
                <w:color w:val="auto"/>
              </w:rPr>
              <w:t>Balance at June 30, 2021</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403,136</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141,503</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544,639</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right="60" w:firstLine="432"/>
        <w:spacing w:after="0" w:line="254" w:lineRule="auto"/>
        <w:rPr>
          <w:sz w:val="20"/>
          <w:szCs w:val="20"/>
          <w:color w:val="auto"/>
        </w:rPr>
      </w:pPr>
      <w:r>
        <w:rPr>
          <w:rFonts w:ascii="Arial" w:cs="Arial" w:eastAsia="Arial" w:hAnsi="Arial"/>
          <w:sz w:val="12"/>
          <w:szCs w:val="12"/>
          <w:color w:val="auto"/>
        </w:rPr>
        <w:t xml:space="preserve">The balances in the table above have been recast to reflect the Company's segment change in the first quarter of 2021. As discussed in Note 17, "Segment Reporting," as a result of operational and managerial changes, the Company changed its operating segments in accordance with ASC 280, </w:t>
      </w:r>
      <w:r>
        <w:rPr>
          <w:rFonts w:ascii="Arial" w:cs="Arial" w:eastAsia="Arial" w:hAnsi="Arial"/>
          <w:sz w:val="12"/>
          <w:szCs w:val="12"/>
          <w:i w:val="1"/>
          <w:iCs w:val="1"/>
          <w:color w:val="auto"/>
        </w:rPr>
        <w:t>Segment Reporting</w:t>
      </w:r>
      <w:r>
        <w:rPr>
          <w:rFonts w:ascii="Arial" w:cs="Arial" w:eastAsia="Arial" w:hAnsi="Arial"/>
          <w:sz w:val="12"/>
          <w:szCs w:val="12"/>
          <w:color w:val="auto"/>
        </w:rPr>
        <w:t>. In addition, the Company concluded that, for purposes of reviewing for potential goodwill impairment, it now has three reporting units. The Environmental Services operating segment has two reporting units consisting of (i) Environmental Sales and Service which includes the legacy Environmental Sales and Service reporting unit and certain operations previously included within Safety-Kleen Environmental Services including the core service offerings of containerized waste, parts washer and vacuum services and (ii) Environmental Facilities, unchanged from prior year. The Safety-Kleen Sustainability Solutions operating segment is a single reporting unit which includes the legacy Safety-Kleen Oil reporting unit and the remaining operations of the legacy Safety-Kleen Environmental Services reporting unit primarily consisting of collection services for waste oil, anti-freeze and used oil filters as well as the sale of bulk blended re-refined oil and other automotive related finished fluid products. The Company allocated goodwill to the newly identified reporting units using a relative fair value approach. In addition, the Company completed an assessment of any potential goodwill impairment for all reporting units immediately prior and subsequent to the reallocation and determined that no impairment existed.</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3" w:name="page14"/>
    <w:bookmarkEnd w:id="1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June 30, 2021 and December 31, 2020, the Company's intangible assets consisted of the following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6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June 30, 2021</w:t>
            </w: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w w:val="88"/>
              </w:rPr>
              <w:t>December 31, 2020</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4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Cost</w:t>
            </w:r>
          </w:p>
        </w:tc>
        <w:tc>
          <w:tcPr>
            <w:tcW w:w="160" w:type="dxa"/>
            <w:vAlign w:val="bottom"/>
          </w:tcPr>
          <w:p>
            <w:pPr>
              <w:spacing w:after="0"/>
              <w:rPr>
                <w:sz w:val="8"/>
                <w:szCs w:val="8"/>
                <w:color w:val="auto"/>
              </w:rPr>
            </w:pPr>
          </w:p>
        </w:tc>
        <w:tc>
          <w:tcPr>
            <w:tcW w:w="1120" w:type="dxa"/>
            <w:vAlign w:val="bottom"/>
            <w:gridSpan w:val="2"/>
          </w:tcPr>
          <w:p>
            <w:pPr>
              <w:ind w:left="120"/>
              <w:spacing w:after="0" w:line="99" w:lineRule="exact"/>
              <w:rPr>
                <w:sz w:val="20"/>
                <w:szCs w:val="20"/>
                <w:color w:val="auto"/>
              </w:rPr>
            </w:pPr>
            <w:r>
              <w:rPr>
                <w:rFonts w:ascii="Arial" w:cs="Arial" w:eastAsia="Arial" w:hAnsi="Arial"/>
                <w:sz w:val="11"/>
                <w:szCs w:val="11"/>
                <w:b w:val="1"/>
                <w:bCs w:val="1"/>
                <w:color w:val="auto"/>
              </w:rPr>
              <w:t>Accumulated</w:t>
            </w:r>
          </w:p>
        </w:tc>
        <w:tc>
          <w:tcPr>
            <w:tcW w:w="240" w:type="dxa"/>
            <w:vAlign w:val="bottom"/>
          </w:tcPr>
          <w:p>
            <w:pPr>
              <w:spacing w:after="0"/>
              <w:rPr>
                <w:sz w:val="8"/>
                <w:szCs w:val="8"/>
                <w:color w:val="auto"/>
              </w:rPr>
            </w:pPr>
          </w:p>
        </w:tc>
        <w:tc>
          <w:tcPr>
            <w:tcW w:w="8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Net</w:t>
            </w:r>
          </w:p>
        </w:tc>
        <w:tc>
          <w:tcPr>
            <w:tcW w:w="220" w:type="dxa"/>
            <w:vAlign w:val="bottom"/>
          </w:tcPr>
          <w:p>
            <w:pPr>
              <w:spacing w:after="0"/>
              <w:rPr>
                <w:sz w:val="8"/>
                <w:szCs w:val="8"/>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Cost</w:t>
            </w:r>
          </w:p>
        </w:tc>
        <w:tc>
          <w:tcPr>
            <w:tcW w:w="120" w:type="dxa"/>
            <w:vAlign w:val="bottom"/>
          </w:tcPr>
          <w:p>
            <w:pPr>
              <w:spacing w:after="0"/>
              <w:rPr>
                <w:sz w:val="8"/>
                <w:szCs w:val="8"/>
                <w:color w:val="auto"/>
              </w:rPr>
            </w:pPr>
          </w:p>
        </w:tc>
        <w:tc>
          <w:tcPr>
            <w:tcW w:w="1180" w:type="dxa"/>
            <w:vAlign w:val="bottom"/>
            <w:gridSpan w:val="2"/>
          </w:tcPr>
          <w:p>
            <w:pPr>
              <w:jc w:val="center"/>
              <w:ind w:right="240"/>
              <w:spacing w:after="0" w:line="99" w:lineRule="exact"/>
              <w:rPr>
                <w:sz w:val="20"/>
                <w:szCs w:val="20"/>
                <w:color w:val="auto"/>
              </w:rPr>
            </w:pPr>
            <w:r>
              <w:rPr>
                <w:rFonts w:ascii="Arial" w:cs="Arial" w:eastAsia="Arial" w:hAnsi="Arial"/>
                <w:sz w:val="11"/>
                <w:szCs w:val="11"/>
                <w:b w:val="1"/>
                <w:bCs w:val="1"/>
                <w:color w:val="auto"/>
                <w:w w:val="89"/>
              </w:rPr>
              <w:t>Accumulated</w:t>
            </w:r>
          </w:p>
        </w:tc>
        <w:tc>
          <w:tcPr>
            <w:tcW w:w="220" w:type="dxa"/>
            <w:vAlign w:val="bottom"/>
          </w:tcPr>
          <w:p>
            <w:pPr>
              <w:spacing w:after="0"/>
              <w:rPr>
                <w:sz w:val="8"/>
                <w:szCs w:val="8"/>
                <w:color w:val="auto"/>
              </w:rPr>
            </w:pPr>
          </w:p>
        </w:tc>
        <w:tc>
          <w:tcPr>
            <w:tcW w:w="740" w:type="dxa"/>
            <w:vAlign w:val="bottom"/>
            <w:vMerge w:val="restart"/>
          </w:tcPr>
          <w:p>
            <w:pPr>
              <w:jc w:val="right"/>
              <w:ind w:right="341"/>
              <w:spacing w:after="0"/>
              <w:rPr>
                <w:sz w:val="20"/>
                <w:szCs w:val="20"/>
                <w:color w:val="auto"/>
              </w:rPr>
            </w:pPr>
            <w:r>
              <w:rPr>
                <w:rFonts w:ascii="Arial" w:cs="Arial" w:eastAsia="Arial" w:hAnsi="Arial"/>
                <w:sz w:val="11"/>
                <w:szCs w:val="11"/>
                <w:b w:val="1"/>
                <w:bCs w:val="1"/>
                <w:color w:val="auto"/>
              </w:rPr>
              <w:t>Net</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Amortization</w:t>
            </w:r>
          </w:p>
        </w:tc>
        <w:tc>
          <w:tcPr>
            <w:tcW w:w="2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Amortization</w:t>
            </w:r>
          </w:p>
        </w:tc>
        <w:tc>
          <w:tcPr>
            <w:tcW w:w="2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Permits</w:t>
            </w: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186,292</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99,143</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87,149</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183,766</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95,033</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88,733</w:t>
            </w:r>
          </w:p>
        </w:tc>
        <w:tc>
          <w:tcPr>
            <w:tcW w:w="0" w:type="dxa"/>
            <w:vAlign w:val="bottom"/>
          </w:tcPr>
          <w:p>
            <w:pPr>
              <w:spacing w:after="0"/>
              <w:rPr>
                <w:sz w:val="1"/>
                <w:szCs w:val="1"/>
                <w:color w:val="auto"/>
              </w:rPr>
            </w:pPr>
          </w:p>
        </w:tc>
      </w:tr>
      <w:tr>
        <w:trPr>
          <w:trHeight w:val="153"/>
        </w:trPr>
        <w:tc>
          <w:tcPr>
            <w:tcW w:w="4600" w:type="dxa"/>
            <w:vAlign w:val="bottom"/>
          </w:tcPr>
          <w:p>
            <w:pPr>
              <w:spacing w:after="0"/>
              <w:rPr>
                <w:sz w:val="20"/>
                <w:szCs w:val="20"/>
                <w:color w:val="auto"/>
              </w:rPr>
            </w:pPr>
            <w:r>
              <w:rPr>
                <w:rFonts w:ascii="Arial" w:cs="Arial" w:eastAsia="Arial" w:hAnsi="Arial"/>
                <w:sz w:val="12"/>
                <w:szCs w:val="12"/>
                <w:color w:val="auto"/>
              </w:rPr>
              <w:t>Customer and supplier relationships</w:t>
            </w: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366,913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207,196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159,717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382,083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211,895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170,188</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Other intangible assets</w:t>
            </w: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21,223</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17,309</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3,914</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39,287</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34,744</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4,543</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20"/>
                <w:szCs w:val="20"/>
                <w:color w:val="auto"/>
              </w:rPr>
            </w:pPr>
            <w:r>
              <w:rPr>
                <w:rFonts w:ascii="Arial" w:cs="Arial" w:eastAsia="Arial" w:hAnsi="Arial"/>
                <w:sz w:val="12"/>
                <w:szCs w:val="12"/>
                <w:color w:val="auto"/>
              </w:rPr>
              <w:t>Total amortizable permits and other intangible assets</w:t>
            </w: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574,428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323,648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250,780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605,136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341,672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263,464</w:t>
            </w:r>
          </w:p>
        </w:tc>
        <w:tc>
          <w:tcPr>
            <w:tcW w:w="0" w:type="dxa"/>
            <w:vAlign w:val="bottom"/>
          </w:tcPr>
          <w:p>
            <w:pPr>
              <w:spacing w:after="0"/>
              <w:rPr>
                <w:sz w:val="1"/>
                <w:szCs w:val="1"/>
                <w:color w:val="auto"/>
              </w:rPr>
            </w:pPr>
          </w:p>
        </w:tc>
      </w:tr>
      <w:tr>
        <w:trPr>
          <w:trHeight w:val="153"/>
        </w:trPr>
        <w:tc>
          <w:tcPr>
            <w:tcW w:w="4600" w:type="dxa"/>
            <w:vAlign w:val="bottom"/>
            <w:shd w:val="clear" w:color="auto" w:fill="CCEEFF"/>
          </w:tcPr>
          <w:p>
            <w:pPr>
              <w:spacing w:after="0"/>
              <w:rPr>
                <w:sz w:val="20"/>
                <w:szCs w:val="20"/>
                <w:color w:val="auto"/>
              </w:rPr>
            </w:pPr>
            <w:r>
              <w:rPr>
                <w:rFonts w:ascii="Arial" w:cs="Arial" w:eastAsia="Arial" w:hAnsi="Arial"/>
                <w:sz w:val="12"/>
                <w:szCs w:val="12"/>
                <w:color w:val="auto"/>
              </w:rPr>
              <w:t>Trademarks and trade names</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123,450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123,450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123,156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123,156</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20"/>
                <w:szCs w:val="20"/>
                <w:color w:val="auto"/>
              </w:rPr>
            </w:pPr>
            <w:r>
              <w:rPr>
                <w:rFonts w:ascii="Arial" w:cs="Arial" w:eastAsia="Arial" w:hAnsi="Arial"/>
                <w:sz w:val="12"/>
                <w:szCs w:val="12"/>
                <w:color w:val="auto"/>
              </w:rPr>
              <w:t>Total permits and other intangible assets</w:t>
            </w: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697,878</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323,648</w:t>
            </w: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374,230</w:t>
            </w: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728,292</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341,672</w:t>
            </w: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386,620</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right="300" w:firstLine="432"/>
        <w:spacing w:after="0" w:line="263" w:lineRule="auto"/>
        <w:rPr>
          <w:sz w:val="20"/>
          <w:szCs w:val="20"/>
          <w:color w:val="auto"/>
        </w:rPr>
      </w:pPr>
      <w:r>
        <w:rPr>
          <w:rFonts w:ascii="Arial" w:cs="Arial" w:eastAsia="Arial" w:hAnsi="Arial"/>
          <w:sz w:val="12"/>
          <w:szCs w:val="12"/>
          <w:color w:val="auto"/>
        </w:rPr>
        <w:t>Amortization expense of permits, customer and supplier relationships and other intangible assets was $7.8 million and $15.4 million in the three and six months ended June 30, 2021, respectively. Amortization expense of permits, customer and supplier relationships and other intangible assets was $8.8 million and $18.0 million in the three and six months ended June 30, 2020, respectively. The net decrease in total amortizable permits and other intangible assets is attributable to writing off fully amortized intangible assets with a cost of $35.4 million during the six months ended June 30, 2021.</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expected amortization of the net carrying amount of finite-lived intangible assets at June 30, 2021 was as follows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920" w:type="dxa"/>
            <w:vAlign w:val="bottom"/>
            <w:gridSpan w:val="2"/>
          </w:tcPr>
          <w:p>
            <w:pPr>
              <w:spacing w:after="0"/>
              <w:rPr>
                <w:sz w:val="20"/>
                <w:szCs w:val="20"/>
                <w:color w:val="auto"/>
              </w:rPr>
            </w:pPr>
            <w:r>
              <w:rPr>
                <w:rFonts w:ascii="Arial" w:cs="Arial" w:eastAsia="Arial" w:hAnsi="Arial"/>
                <w:sz w:val="11"/>
                <w:szCs w:val="11"/>
                <w:b w:val="1"/>
                <w:bCs w:val="1"/>
                <w:color w:val="auto"/>
              </w:rPr>
              <w:t>Years Ending December 31,</w:t>
            </w:r>
          </w:p>
        </w:tc>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tcPr>
          <w:p>
            <w:pPr>
              <w:jc w:val="right"/>
              <w:ind w:right="241"/>
              <w:spacing w:after="0"/>
              <w:rPr>
                <w:sz w:val="20"/>
                <w:szCs w:val="20"/>
                <w:color w:val="auto"/>
              </w:rPr>
            </w:pPr>
            <w:r>
              <w:rPr>
                <w:rFonts w:ascii="Arial" w:cs="Arial" w:eastAsia="Arial" w:hAnsi="Arial"/>
                <w:sz w:val="11"/>
                <w:szCs w:val="11"/>
                <w:b w:val="1"/>
                <w:bCs w:val="1"/>
                <w:color w:val="auto"/>
                <w:w w:val="97"/>
              </w:rPr>
              <w:t>Expected Amortization</w:t>
            </w:r>
          </w:p>
        </w:tc>
      </w:tr>
      <w:tr>
        <w:trPr>
          <w:trHeight w:val="20"/>
        </w:trPr>
        <w:tc>
          <w:tcPr>
            <w:tcW w:w="1280" w:type="dxa"/>
            <w:vAlign w:val="bottom"/>
            <w:tcBorders>
              <w:top w:val="single" w:sz="8" w:color="auto"/>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29"/>
        </w:trPr>
        <w:tc>
          <w:tcPr>
            <w:tcW w:w="792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2021 (six months)</w:t>
            </w:r>
          </w:p>
        </w:tc>
        <w:tc>
          <w:tcPr>
            <w:tcW w:w="2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40"/>
              <w:spacing w:after="0" w:line="129" w:lineRule="exact"/>
              <w:rPr>
                <w:sz w:val="20"/>
                <w:szCs w:val="20"/>
                <w:color w:val="auto"/>
              </w:rPr>
            </w:pPr>
            <w:r>
              <w:rPr>
                <w:rFonts w:ascii="Arial" w:cs="Arial" w:eastAsia="Arial" w:hAnsi="Arial"/>
                <w:sz w:val="12"/>
                <w:szCs w:val="12"/>
                <w:color w:val="auto"/>
                <w:w w:val="89"/>
              </w:rPr>
              <w:t>$</w:t>
            </w:r>
          </w:p>
        </w:tc>
        <w:tc>
          <w:tcPr>
            <w:tcW w:w="1480" w:type="dxa"/>
            <w:vAlign w:val="bottom"/>
            <w:shd w:val="clear" w:color="auto" w:fill="CCEEFF"/>
          </w:tcPr>
          <w:p>
            <w:pPr>
              <w:jc w:val="right"/>
              <w:ind w:right="1"/>
              <w:spacing w:after="0" w:line="129" w:lineRule="exact"/>
              <w:rPr>
                <w:sz w:val="20"/>
                <w:szCs w:val="20"/>
                <w:color w:val="auto"/>
              </w:rPr>
            </w:pPr>
            <w:r>
              <w:rPr>
                <w:rFonts w:ascii="Arial" w:cs="Arial" w:eastAsia="Arial" w:hAnsi="Arial"/>
                <w:sz w:val="12"/>
                <w:szCs w:val="12"/>
                <w:color w:val="auto"/>
              </w:rPr>
              <w:t>15,119</w:t>
            </w:r>
          </w:p>
        </w:tc>
      </w:tr>
      <w:tr>
        <w:trPr>
          <w:trHeight w:val="153"/>
        </w:trPr>
        <w:tc>
          <w:tcPr>
            <w:tcW w:w="1280" w:type="dxa"/>
            <w:vAlign w:val="bottom"/>
          </w:tcPr>
          <w:p>
            <w:pPr>
              <w:spacing w:after="0"/>
              <w:rPr>
                <w:sz w:val="20"/>
                <w:szCs w:val="20"/>
                <w:color w:val="auto"/>
              </w:rPr>
            </w:pPr>
            <w:r>
              <w:rPr>
                <w:rFonts w:ascii="Arial" w:cs="Arial" w:eastAsia="Arial" w:hAnsi="Arial"/>
                <w:sz w:val="12"/>
                <w:szCs w:val="12"/>
                <w:color w:val="auto"/>
              </w:rPr>
              <w:t>2022</w:t>
            </w:r>
          </w:p>
        </w:tc>
        <w:tc>
          <w:tcPr>
            <w:tcW w:w="6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right"/>
              <w:ind w:right="1"/>
              <w:spacing w:after="0"/>
              <w:rPr>
                <w:sz w:val="20"/>
                <w:szCs w:val="20"/>
                <w:color w:val="auto"/>
              </w:rPr>
            </w:pPr>
            <w:r>
              <w:rPr>
                <w:rFonts w:ascii="Arial" w:cs="Arial" w:eastAsia="Arial" w:hAnsi="Arial"/>
                <w:sz w:val="12"/>
                <w:szCs w:val="12"/>
                <w:color w:val="auto"/>
              </w:rPr>
              <w:t>30,075</w:t>
            </w:r>
          </w:p>
        </w:tc>
      </w:tr>
      <w:tr>
        <w:trPr>
          <w:trHeight w:val="153"/>
        </w:trPr>
        <w:tc>
          <w:tcPr>
            <w:tcW w:w="1280" w:type="dxa"/>
            <w:vAlign w:val="bottom"/>
            <w:shd w:val="clear" w:color="auto" w:fill="CCEEFF"/>
          </w:tcPr>
          <w:p>
            <w:pPr>
              <w:spacing w:after="0"/>
              <w:rPr>
                <w:sz w:val="20"/>
                <w:szCs w:val="20"/>
                <w:color w:val="auto"/>
              </w:rPr>
            </w:pPr>
            <w:r>
              <w:rPr>
                <w:rFonts w:ascii="Arial" w:cs="Arial" w:eastAsia="Arial" w:hAnsi="Arial"/>
                <w:sz w:val="12"/>
                <w:szCs w:val="12"/>
                <w:color w:val="auto"/>
              </w:rPr>
              <w:t>2023</w:t>
            </w:r>
          </w:p>
        </w:tc>
        <w:tc>
          <w:tcPr>
            <w:tcW w:w="6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25,735</w:t>
            </w:r>
          </w:p>
        </w:tc>
      </w:tr>
      <w:tr>
        <w:trPr>
          <w:trHeight w:val="153"/>
        </w:trPr>
        <w:tc>
          <w:tcPr>
            <w:tcW w:w="1280" w:type="dxa"/>
            <w:vAlign w:val="bottom"/>
          </w:tcPr>
          <w:p>
            <w:pPr>
              <w:spacing w:after="0"/>
              <w:rPr>
                <w:sz w:val="20"/>
                <w:szCs w:val="20"/>
                <w:color w:val="auto"/>
              </w:rPr>
            </w:pPr>
            <w:r>
              <w:rPr>
                <w:rFonts w:ascii="Arial" w:cs="Arial" w:eastAsia="Arial" w:hAnsi="Arial"/>
                <w:sz w:val="12"/>
                <w:szCs w:val="12"/>
                <w:color w:val="auto"/>
              </w:rPr>
              <w:t>2024</w:t>
            </w:r>
          </w:p>
        </w:tc>
        <w:tc>
          <w:tcPr>
            <w:tcW w:w="6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right"/>
              <w:ind w:right="1"/>
              <w:spacing w:after="0"/>
              <w:rPr>
                <w:sz w:val="20"/>
                <w:szCs w:val="20"/>
                <w:color w:val="auto"/>
              </w:rPr>
            </w:pPr>
            <w:r>
              <w:rPr>
                <w:rFonts w:ascii="Arial" w:cs="Arial" w:eastAsia="Arial" w:hAnsi="Arial"/>
                <w:sz w:val="12"/>
                <w:szCs w:val="12"/>
                <w:color w:val="auto"/>
              </w:rPr>
              <w:t>24,231</w:t>
            </w:r>
          </w:p>
        </w:tc>
      </w:tr>
      <w:tr>
        <w:trPr>
          <w:trHeight w:val="153"/>
        </w:trPr>
        <w:tc>
          <w:tcPr>
            <w:tcW w:w="1280" w:type="dxa"/>
            <w:vAlign w:val="bottom"/>
            <w:shd w:val="clear" w:color="auto" w:fill="CCEEFF"/>
          </w:tcPr>
          <w:p>
            <w:pPr>
              <w:spacing w:after="0"/>
              <w:rPr>
                <w:sz w:val="20"/>
                <w:szCs w:val="20"/>
                <w:color w:val="auto"/>
              </w:rPr>
            </w:pPr>
            <w:r>
              <w:rPr>
                <w:rFonts w:ascii="Arial" w:cs="Arial" w:eastAsia="Arial" w:hAnsi="Arial"/>
                <w:sz w:val="12"/>
                <w:szCs w:val="12"/>
                <w:color w:val="auto"/>
              </w:rPr>
              <w:t>2025</w:t>
            </w:r>
          </w:p>
        </w:tc>
        <w:tc>
          <w:tcPr>
            <w:tcW w:w="6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23,254</w:t>
            </w:r>
          </w:p>
        </w:tc>
      </w:tr>
      <w:tr>
        <w:trPr>
          <w:trHeight w:val="153"/>
        </w:trPr>
        <w:tc>
          <w:tcPr>
            <w:tcW w:w="792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Thereafter</w:t>
            </w:r>
          </w:p>
        </w:tc>
        <w:tc>
          <w:tcPr>
            <w:tcW w:w="280" w:type="dxa"/>
            <w:vAlign w:val="bottom"/>
            <w:tcBorders>
              <w:bottom w:val="single" w:sz="8" w:color="CCEEFF"/>
            </w:tcBorders>
          </w:tcPr>
          <w:p>
            <w:pPr>
              <w:spacing w:after="0"/>
              <w:rPr>
                <w:sz w:val="13"/>
                <w:szCs w:val="13"/>
                <w:color w:val="auto"/>
              </w:rPr>
            </w:pPr>
          </w:p>
        </w:tc>
        <w:tc>
          <w:tcPr>
            <w:tcW w:w="13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132,366</w:t>
            </w:r>
          </w:p>
        </w:tc>
      </w:tr>
      <w:tr>
        <w:trPr>
          <w:trHeight w:val="162"/>
        </w:trPr>
        <w:tc>
          <w:tcPr>
            <w:tcW w:w="1280" w:type="dxa"/>
            <w:vAlign w:val="bottom"/>
            <w:tcBorders>
              <w:bottom w:val="single" w:sz="8" w:color="CCEEFF"/>
            </w:tcBorders>
            <w:shd w:val="clear" w:color="auto" w:fill="CCEEFF"/>
          </w:tcPr>
          <w:p>
            <w:pPr>
              <w:spacing w:after="0"/>
              <w:rPr>
                <w:sz w:val="14"/>
                <w:szCs w:val="14"/>
                <w:color w:val="auto"/>
              </w:rPr>
            </w:pPr>
          </w:p>
        </w:tc>
        <w:tc>
          <w:tcPr>
            <w:tcW w:w="664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250,780</w:t>
            </w:r>
          </w:p>
        </w:tc>
      </w:tr>
      <w:tr>
        <w:trPr>
          <w:trHeight w:val="554"/>
        </w:trPr>
        <w:tc>
          <w:tcPr>
            <w:tcW w:w="7920" w:type="dxa"/>
            <w:vAlign w:val="bottom"/>
            <w:gridSpan w:val="2"/>
          </w:tcPr>
          <w:p>
            <w:pPr>
              <w:spacing w:after="0"/>
              <w:rPr>
                <w:sz w:val="20"/>
                <w:szCs w:val="20"/>
                <w:color w:val="auto"/>
              </w:rPr>
            </w:pPr>
            <w:r>
              <w:rPr>
                <w:rFonts w:ascii="Arial" w:cs="Arial" w:eastAsia="Arial" w:hAnsi="Arial"/>
                <w:sz w:val="12"/>
                <w:szCs w:val="12"/>
                <w:b w:val="1"/>
                <w:bCs w:val="1"/>
                <w:color w:val="auto"/>
              </w:rPr>
              <w:t>(8) ACCRUED EXPENSES</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4"/>
        </w:trPr>
        <w:tc>
          <w:tcPr>
            <w:tcW w:w="7920" w:type="dxa"/>
            <w:vAlign w:val="bottom"/>
            <w:gridSpan w:val="2"/>
          </w:tcPr>
          <w:p>
            <w:pPr>
              <w:ind w:left="420"/>
              <w:spacing w:after="0"/>
              <w:rPr>
                <w:sz w:val="20"/>
                <w:szCs w:val="20"/>
                <w:color w:val="auto"/>
              </w:rPr>
            </w:pPr>
            <w:r>
              <w:rPr>
                <w:rFonts w:ascii="Arial" w:cs="Arial" w:eastAsia="Arial" w:hAnsi="Arial"/>
                <w:sz w:val="12"/>
                <w:szCs w:val="12"/>
                <w:color w:val="auto"/>
              </w:rPr>
              <w:t>Accrued expenses consisted of the following (in thousands):</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160"/>
        </w:trPr>
        <w:tc>
          <w:tcPr>
            <w:tcW w:w="128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2"/>
          </w:tcPr>
          <w:p>
            <w:pPr>
              <w:ind w:left="220"/>
              <w:spacing w:after="0"/>
              <w:rPr>
                <w:sz w:val="20"/>
                <w:szCs w:val="20"/>
                <w:color w:val="auto"/>
              </w:rPr>
            </w:pPr>
            <w:r>
              <w:rPr>
                <w:rFonts w:ascii="Arial" w:cs="Arial" w:eastAsia="Arial" w:hAnsi="Arial"/>
                <w:sz w:val="11"/>
                <w:szCs w:val="11"/>
                <w:b w:val="1"/>
                <w:bCs w:val="1"/>
                <w:color w:val="auto"/>
              </w:rPr>
              <w:t>June 30, 2021</w:t>
            </w:r>
          </w:p>
        </w:tc>
        <w:tc>
          <w:tcPr>
            <w:tcW w:w="180" w:type="dxa"/>
            <w:vAlign w:val="bottom"/>
          </w:tcPr>
          <w:p>
            <w:pPr>
              <w:spacing w:after="0"/>
              <w:rPr>
                <w:sz w:val="13"/>
                <w:szCs w:val="13"/>
                <w:color w:val="auto"/>
              </w:rPr>
            </w:pPr>
          </w:p>
        </w:tc>
        <w:tc>
          <w:tcPr>
            <w:tcW w:w="1480" w:type="dxa"/>
            <w:vAlign w:val="bottom"/>
          </w:tcPr>
          <w:p>
            <w:pPr>
              <w:jc w:val="right"/>
              <w:ind w:right="341"/>
              <w:spacing w:after="0"/>
              <w:rPr>
                <w:sz w:val="20"/>
                <w:szCs w:val="20"/>
                <w:color w:val="auto"/>
              </w:rPr>
            </w:pPr>
            <w:r>
              <w:rPr>
                <w:rFonts w:ascii="Arial" w:cs="Arial" w:eastAsia="Arial" w:hAnsi="Arial"/>
                <w:sz w:val="11"/>
                <w:szCs w:val="11"/>
                <w:b w:val="1"/>
                <w:bCs w:val="1"/>
                <w:color w:val="auto"/>
              </w:rPr>
              <w:t>December 31, 2020</w:t>
            </w:r>
          </w:p>
        </w:tc>
      </w:tr>
      <w:tr>
        <w:trPr>
          <w:trHeight w:val="144"/>
        </w:trPr>
        <w:tc>
          <w:tcPr>
            <w:tcW w:w="7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Accrued insurance</w:t>
            </w:r>
          </w:p>
        </w:tc>
        <w:tc>
          <w:tcPr>
            <w:tcW w:w="28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78,708</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4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77,514</w:t>
            </w:r>
          </w:p>
        </w:tc>
      </w:tr>
      <w:tr>
        <w:trPr>
          <w:trHeight w:val="153"/>
        </w:trPr>
        <w:tc>
          <w:tcPr>
            <w:tcW w:w="7920" w:type="dxa"/>
            <w:vAlign w:val="bottom"/>
            <w:gridSpan w:val="2"/>
          </w:tcPr>
          <w:p>
            <w:pPr>
              <w:spacing w:after="0"/>
              <w:rPr>
                <w:sz w:val="20"/>
                <w:szCs w:val="20"/>
                <w:color w:val="auto"/>
              </w:rPr>
            </w:pPr>
            <w:r>
              <w:rPr>
                <w:rFonts w:ascii="Arial" w:cs="Arial" w:eastAsia="Arial" w:hAnsi="Arial"/>
                <w:sz w:val="12"/>
                <w:szCs w:val="12"/>
                <w:color w:val="auto"/>
              </w:rPr>
              <w:t>Accrued interest</w:t>
            </w:r>
          </w:p>
        </w:tc>
        <w:tc>
          <w:tcPr>
            <w:tcW w:w="2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19,760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right"/>
              <w:ind w:right="1"/>
              <w:spacing w:after="0"/>
              <w:rPr>
                <w:sz w:val="20"/>
                <w:szCs w:val="20"/>
                <w:color w:val="auto"/>
              </w:rPr>
            </w:pPr>
            <w:r>
              <w:rPr>
                <w:rFonts w:ascii="Arial" w:cs="Arial" w:eastAsia="Arial" w:hAnsi="Arial"/>
                <w:sz w:val="12"/>
                <w:szCs w:val="12"/>
                <w:color w:val="auto"/>
              </w:rPr>
              <w:t>19,697</w:t>
            </w:r>
          </w:p>
        </w:tc>
      </w:tr>
      <w:tr>
        <w:trPr>
          <w:trHeight w:val="153"/>
        </w:trPr>
        <w:tc>
          <w:tcPr>
            <w:tcW w:w="7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Accrued compensation and benefits</w:t>
            </w: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94,856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81,437</w:t>
            </w:r>
          </w:p>
        </w:tc>
      </w:tr>
      <w:tr>
        <w:trPr>
          <w:trHeight w:val="153"/>
        </w:trPr>
        <w:tc>
          <w:tcPr>
            <w:tcW w:w="7920" w:type="dxa"/>
            <w:vAlign w:val="bottom"/>
            <w:gridSpan w:val="2"/>
          </w:tcPr>
          <w:p>
            <w:pPr>
              <w:spacing w:after="0"/>
              <w:rPr>
                <w:sz w:val="20"/>
                <w:szCs w:val="20"/>
                <w:color w:val="auto"/>
              </w:rPr>
            </w:pPr>
            <w:r>
              <w:rPr>
                <w:rFonts w:ascii="Arial" w:cs="Arial" w:eastAsia="Arial" w:hAnsi="Arial"/>
                <w:sz w:val="12"/>
                <w:szCs w:val="12"/>
                <w:color w:val="auto"/>
              </w:rPr>
              <w:t>Accrued income, real estate, sales and other taxes</w:t>
            </w:r>
          </w:p>
        </w:tc>
        <w:tc>
          <w:tcPr>
            <w:tcW w:w="2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25,616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right"/>
              <w:ind w:right="1"/>
              <w:spacing w:after="0"/>
              <w:rPr>
                <w:sz w:val="20"/>
                <w:szCs w:val="20"/>
                <w:color w:val="auto"/>
              </w:rPr>
            </w:pPr>
            <w:r>
              <w:rPr>
                <w:rFonts w:ascii="Arial" w:cs="Arial" w:eastAsia="Arial" w:hAnsi="Arial"/>
                <w:sz w:val="12"/>
                <w:szCs w:val="12"/>
                <w:color w:val="auto"/>
              </w:rPr>
              <w:t>25,843</w:t>
            </w:r>
          </w:p>
        </w:tc>
      </w:tr>
      <w:tr>
        <w:trPr>
          <w:trHeight w:val="153"/>
        </w:trPr>
        <w:tc>
          <w:tcPr>
            <w:tcW w:w="7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Interest rate swap liability</w:t>
            </w: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25,929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33,630</w:t>
            </w:r>
          </w:p>
        </w:tc>
      </w:tr>
      <w:tr>
        <w:trPr>
          <w:trHeight w:val="153"/>
        </w:trPr>
        <w:tc>
          <w:tcPr>
            <w:tcW w:w="792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Accrued other</w:t>
            </w: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66,787</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57,702</w:t>
            </w:r>
          </w:p>
        </w:tc>
      </w:tr>
      <w:tr>
        <w:trPr>
          <w:trHeight w:val="158"/>
        </w:trPr>
        <w:tc>
          <w:tcPr>
            <w:tcW w:w="1280" w:type="dxa"/>
            <w:vAlign w:val="bottom"/>
            <w:tcBorders>
              <w:bottom w:val="single" w:sz="8" w:color="CCEEFF"/>
            </w:tcBorders>
            <w:shd w:val="clear" w:color="auto" w:fill="CCEEFF"/>
          </w:tcPr>
          <w:p>
            <w:pPr>
              <w:spacing w:after="0"/>
              <w:rPr>
                <w:sz w:val="13"/>
                <w:szCs w:val="13"/>
                <w:color w:val="auto"/>
              </w:rPr>
            </w:pPr>
          </w:p>
        </w:tc>
        <w:tc>
          <w:tcPr>
            <w:tcW w:w="664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311,656</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295,823</w:t>
            </w: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4" w:name="page15"/>
    <w:bookmarkEnd w:id="1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CLOSURE AND POST-CLOSURE LIABILITIES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changes to closure and post-closure liabilities (also referred to as “asset retirement obligations”) from January 1, 2021 through June 30, 2021 were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80" w:type="dxa"/>
            <w:vAlign w:val="bottom"/>
          </w:tcPr>
          <w:p>
            <w:pPr>
              <w:spacing w:after="0"/>
              <w:rPr>
                <w:sz w:val="10"/>
                <w:szCs w:val="10"/>
                <w:color w:val="auto"/>
              </w:rPr>
            </w:pPr>
          </w:p>
        </w:tc>
        <w:tc>
          <w:tcPr>
            <w:tcW w:w="1040" w:type="dxa"/>
            <w:vAlign w:val="bottom"/>
          </w:tcPr>
          <w:p>
            <w:pPr>
              <w:jc w:val="center"/>
              <w:ind w:left="344"/>
              <w:spacing w:after="0"/>
              <w:rPr>
                <w:sz w:val="20"/>
                <w:szCs w:val="20"/>
                <w:color w:val="auto"/>
              </w:rPr>
            </w:pPr>
            <w:r>
              <w:rPr>
                <w:rFonts w:ascii="Arial" w:cs="Arial" w:eastAsia="Arial" w:hAnsi="Arial"/>
                <w:sz w:val="11"/>
                <w:szCs w:val="11"/>
                <w:b w:val="1"/>
                <w:bCs w:val="1"/>
                <w:color w:val="auto"/>
                <w:w w:val="91"/>
              </w:rPr>
              <w:t>Landfill</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3"/>
              </w:rPr>
              <w:t>Non-Landfill</w:t>
            </w: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680" w:type="dxa"/>
            <w:vAlign w:val="bottom"/>
          </w:tcPr>
          <w:p>
            <w:pPr>
              <w:spacing w:after="0"/>
              <w:rPr>
                <w:sz w:val="9"/>
                <w:szCs w:val="9"/>
                <w:color w:val="auto"/>
              </w:rPr>
            </w:pPr>
          </w:p>
        </w:tc>
        <w:tc>
          <w:tcPr>
            <w:tcW w:w="1040" w:type="dxa"/>
            <w:vAlign w:val="bottom"/>
          </w:tcPr>
          <w:p>
            <w:pPr>
              <w:jc w:val="center"/>
              <w:ind w:left="344"/>
              <w:spacing w:after="0" w:line="108" w:lineRule="exact"/>
              <w:rPr>
                <w:sz w:val="20"/>
                <w:szCs w:val="20"/>
                <w:color w:val="auto"/>
              </w:rPr>
            </w:pPr>
            <w:r>
              <w:rPr>
                <w:rFonts w:ascii="Arial" w:cs="Arial" w:eastAsia="Arial" w:hAnsi="Arial"/>
                <w:sz w:val="11"/>
                <w:szCs w:val="11"/>
                <w:b w:val="1"/>
                <w:bCs w:val="1"/>
                <w:color w:val="auto"/>
                <w:w w:val="90"/>
              </w:rPr>
              <w:t>Retirement</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gridSpan w:val="2"/>
          </w:tcPr>
          <w:p>
            <w:pPr>
              <w:jc w:val="center"/>
              <w:ind w:right="360"/>
              <w:spacing w:after="0" w:line="108" w:lineRule="exact"/>
              <w:rPr>
                <w:sz w:val="20"/>
                <w:szCs w:val="20"/>
                <w:color w:val="auto"/>
              </w:rPr>
            </w:pPr>
            <w:r>
              <w:rPr>
                <w:rFonts w:ascii="Arial" w:cs="Arial" w:eastAsia="Arial" w:hAnsi="Arial"/>
                <w:sz w:val="11"/>
                <w:szCs w:val="11"/>
                <w:b w:val="1"/>
                <w:bCs w:val="1"/>
                <w:color w:val="auto"/>
                <w:w w:val="90"/>
              </w:rPr>
              <w:t>Retirement</w:t>
            </w:r>
          </w:p>
        </w:tc>
        <w:tc>
          <w:tcPr>
            <w:tcW w:w="340" w:type="dxa"/>
            <w:vAlign w:val="bottom"/>
          </w:tcPr>
          <w:p>
            <w:pPr>
              <w:spacing w:after="0"/>
              <w:rPr>
                <w:sz w:val="9"/>
                <w:szCs w:val="9"/>
                <w:color w:val="auto"/>
              </w:rPr>
            </w:pPr>
          </w:p>
        </w:tc>
        <w:tc>
          <w:tcPr>
            <w:tcW w:w="1120" w:type="dxa"/>
            <w:vAlign w:val="bottom"/>
            <w:vMerge w:val="restart"/>
          </w:tcPr>
          <w:p>
            <w:pPr>
              <w:jc w:val="right"/>
              <w:ind w:right="56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1040" w:type="dxa"/>
            <w:vAlign w:val="bottom"/>
          </w:tcPr>
          <w:p>
            <w:pPr>
              <w:jc w:val="center"/>
              <w:ind w:left="384"/>
              <w:spacing w:after="0"/>
              <w:rPr>
                <w:sz w:val="20"/>
                <w:szCs w:val="20"/>
                <w:color w:val="auto"/>
              </w:rPr>
            </w:pPr>
            <w:r>
              <w:rPr>
                <w:rFonts w:ascii="Arial" w:cs="Arial" w:eastAsia="Arial" w:hAnsi="Arial"/>
                <w:sz w:val="11"/>
                <w:szCs w:val="11"/>
                <w:b w:val="1"/>
                <w:bCs w:val="1"/>
                <w:color w:val="auto"/>
                <w:w w:val="96"/>
              </w:rPr>
              <w:t>Liability</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1"/>
              </w:rPr>
              <w:t>Liability</w:t>
            </w:r>
          </w:p>
        </w:tc>
        <w:tc>
          <w:tcPr>
            <w:tcW w:w="3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January 1, 2021</w:t>
            </w:r>
          </w:p>
        </w:tc>
        <w:tc>
          <w:tcPr>
            <w:tcW w:w="1040" w:type="dxa"/>
            <w:vAlign w:val="bottom"/>
            <w:tcBorders>
              <w:top w:val="single" w:sz="8" w:color="auto"/>
            </w:tcBorders>
            <w:shd w:val="clear" w:color="auto" w:fill="CCEEFF"/>
          </w:tcPr>
          <w:p>
            <w:pPr>
              <w:jc w:val="right"/>
              <w:ind w:right="904"/>
              <w:spacing w:after="0"/>
              <w:rPr>
                <w:sz w:val="20"/>
                <w:szCs w:val="20"/>
                <w:color w:val="auto"/>
              </w:rPr>
            </w:pPr>
            <w:r>
              <w:rPr>
                <w:rFonts w:ascii="Arial" w:cs="Arial" w:eastAsia="Arial" w:hAnsi="Arial"/>
                <w:sz w:val="12"/>
                <w:szCs w:val="12"/>
                <w:color w:val="auto"/>
                <w:w w:val="8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48,412</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39,514</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87,926</w:t>
            </w:r>
          </w:p>
        </w:tc>
        <w:tc>
          <w:tcPr>
            <w:tcW w:w="0" w:type="dxa"/>
            <w:vAlign w:val="bottom"/>
          </w:tcPr>
          <w:p>
            <w:pPr>
              <w:spacing w:after="0"/>
              <w:rPr>
                <w:sz w:val="1"/>
                <w:szCs w:val="1"/>
                <w:color w:val="auto"/>
              </w:rPr>
            </w:pPr>
          </w:p>
        </w:tc>
      </w:tr>
      <w:tr>
        <w:trPr>
          <w:trHeight w:val="153"/>
        </w:trPr>
        <w:tc>
          <w:tcPr>
            <w:tcW w:w="6680" w:type="dxa"/>
            <w:vAlign w:val="bottom"/>
          </w:tcPr>
          <w:p>
            <w:pPr>
              <w:spacing w:after="0"/>
              <w:rPr>
                <w:sz w:val="20"/>
                <w:szCs w:val="20"/>
                <w:color w:val="auto"/>
              </w:rPr>
            </w:pPr>
            <w:r>
              <w:rPr>
                <w:rFonts w:ascii="Arial" w:cs="Arial" w:eastAsia="Arial" w:hAnsi="Arial"/>
                <w:sz w:val="12"/>
                <w:szCs w:val="12"/>
                <w:color w:val="auto"/>
              </w:rPr>
              <w:t>Liabilities assumed in acquisitions</w:t>
            </w:r>
          </w:p>
        </w:tc>
        <w:tc>
          <w:tcPr>
            <w:tcW w:w="104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451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451</w:t>
            </w:r>
          </w:p>
        </w:tc>
        <w:tc>
          <w:tcPr>
            <w:tcW w:w="0" w:type="dxa"/>
            <w:vAlign w:val="bottom"/>
          </w:tcPr>
          <w:p>
            <w:pPr>
              <w:spacing w:after="0"/>
              <w:rPr>
                <w:sz w:val="1"/>
                <w:szCs w:val="1"/>
                <w:color w:val="auto"/>
              </w:rPr>
            </w:pPr>
          </w:p>
        </w:tc>
      </w:tr>
      <w:tr>
        <w:trPr>
          <w:trHeight w:val="153"/>
        </w:trPr>
        <w:tc>
          <w:tcPr>
            <w:tcW w:w="6680" w:type="dxa"/>
            <w:vAlign w:val="bottom"/>
            <w:shd w:val="clear" w:color="auto" w:fill="CCEEFF"/>
          </w:tcPr>
          <w:p>
            <w:pPr>
              <w:spacing w:after="0"/>
              <w:rPr>
                <w:sz w:val="20"/>
                <w:szCs w:val="20"/>
                <w:color w:val="auto"/>
              </w:rPr>
            </w:pPr>
            <w:r>
              <w:rPr>
                <w:rFonts w:ascii="Arial" w:cs="Arial" w:eastAsia="Arial" w:hAnsi="Arial"/>
                <w:sz w:val="12"/>
                <w:szCs w:val="12"/>
                <w:color w:val="auto"/>
              </w:rPr>
              <w:t>New asset retirement obligations</w:t>
            </w: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1,342</w:t>
            </w:r>
          </w:p>
        </w:tc>
        <w:tc>
          <w:tcPr>
            <w:tcW w:w="0" w:type="dxa"/>
            <w:vAlign w:val="bottom"/>
          </w:tcPr>
          <w:p>
            <w:pPr>
              <w:spacing w:after="0"/>
              <w:rPr>
                <w:sz w:val="1"/>
                <w:szCs w:val="1"/>
                <w:color w:val="auto"/>
              </w:rPr>
            </w:pPr>
          </w:p>
        </w:tc>
      </w:tr>
      <w:tr>
        <w:trPr>
          <w:trHeight w:val="153"/>
        </w:trPr>
        <w:tc>
          <w:tcPr>
            <w:tcW w:w="6680" w:type="dxa"/>
            <w:vAlign w:val="bottom"/>
          </w:tcPr>
          <w:p>
            <w:pPr>
              <w:spacing w:after="0"/>
              <w:rPr>
                <w:sz w:val="20"/>
                <w:szCs w:val="20"/>
                <w:color w:val="auto"/>
              </w:rPr>
            </w:pPr>
            <w:r>
              <w:rPr>
                <w:rFonts w:ascii="Arial" w:cs="Arial" w:eastAsia="Arial" w:hAnsi="Arial"/>
                <w:sz w:val="12"/>
                <w:szCs w:val="12"/>
                <w:color w:val="auto"/>
              </w:rPr>
              <w:t>Accretion</w:t>
            </w:r>
          </w:p>
        </w:tc>
        <w:tc>
          <w:tcPr>
            <w:tcW w:w="10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1,781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1,844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3,625</w:t>
            </w:r>
          </w:p>
        </w:tc>
        <w:tc>
          <w:tcPr>
            <w:tcW w:w="0" w:type="dxa"/>
            <w:vAlign w:val="bottom"/>
          </w:tcPr>
          <w:p>
            <w:pPr>
              <w:spacing w:after="0"/>
              <w:rPr>
                <w:sz w:val="1"/>
                <w:szCs w:val="1"/>
                <w:color w:val="auto"/>
              </w:rPr>
            </w:pPr>
          </w:p>
        </w:tc>
      </w:tr>
      <w:tr>
        <w:trPr>
          <w:trHeight w:val="153"/>
        </w:trPr>
        <w:tc>
          <w:tcPr>
            <w:tcW w:w="6680" w:type="dxa"/>
            <w:vAlign w:val="bottom"/>
            <w:shd w:val="clear" w:color="auto" w:fill="CCEEFF"/>
          </w:tcPr>
          <w:p>
            <w:pPr>
              <w:spacing w:after="0"/>
              <w:rPr>
                <w:sz w:val="20"/>
                <w:szCs w:val="20"/>
                <w:color w:val="auto"/>
              </w:rPr>
            </w:pPr>
            <w:r>
              <w:rPr>
                <w:rFonts w:ascii="Arial" w:cs="Arial" w:eastAsia="Arial" w:hAnsi="Arial"/>
                <w:sz w:val="12"/>
                <w:szCs w:val="12"/>
                <w:color w:val="auto"/>
              </w:rPr>
              <w:t>Changes in estimates recorded to consolidated statement of operations</w:t>
            </w:r>
          </w:p>
        </w:tc>
        <w:tc>
          <w:tcPr>
            <w:tcW w:w="10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w:t>
            </w:r>
          </w:p>
        </w:tc>
        <w:tc>
          <w:tcPr>
            <w:tcW w:w="0" w:type="dxa"/>
            <w:vAlign w:val="bottom"/>
          </w:tcPr>
          <w:p>
            <w:pPr>
              <w:spacing w:after="0"/>
              <w:rPr>
                <w:sz w:val="1"/>
                <w:szCs w:val="1"/>
                <w:color w:val="auto"/>
              </w:rPr>
            </w:pPr>
          </w:p>
        </w:tc>
      </w:tr>
      <w:tr>
        <w:trPr>
          <w:trHeight w:val="153"/>
        </w:trPr>
        <w:tc>
          <w:tcPr>
            <w:tcW w:w="6680" w:type="dxa"/>
            <w:vAlign w:val="bottom"/>
          </w:tcPr>
          <w:p>
            <w:pPr>
              <w:spacing w:after="0"/>
              <w:rPr>
                <w:sz w:val="20"/>
                <w:szCs w:val="20"/>
                <w:color w:val="auto"/>
              </w:rPr>
            </w:pPr>
            <w:r>
              <w:rPr>
                <w:rFonts w:ascii="Arial" w:cs="Arial" w:eastAsia="Arial" w:hAnsi="Arial"/>
                <w:sz w:val="12"/>
                <w:szCs w:val="12"/>
                <w:color w:val="auto"/>
              </w:rPr>
              <w:t>Changes in estimates recorded to consolidated balance sheet</w:t>
            </w:r>
          </w:p>
        </w:tc>
        <w:tc>
          <w:tcPr>
            <w:tcW w:w="104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1,137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1,137</w:t>
            </w:r>
          </w:p>
        </w:tc>
        <w:tc>
          <w:tcPr>
            <w:tcW w:w="0" w:type="dxa"/>
            <w:vAlign w:val="bottom"/>
          </w:tcPr>
          <w:p>
            <w:pPr>
              <w:spacing w:after="0"/>
              <w:rPr>
                <w:sz w:val="1"/>
                <w:szCs w:val="1"/>
                <w:color w:val="auto"/>
              </w:rPr>
            </w:pPr>
          </w:p>
        </w:tc>
      </w:tr>
      <w:tr>
        <w:trPr>
          <w:trHeight w:val="153"/>
        </w:trPr>
        <w:tc>
          <w:tcPr>
            <w:tcW w:w="6680" w:type="dxa"/>
            <w:vAlign w:val="bottom"/>
            <w:shd w:val="clear" w:color="auto" w:fill="CCEEFF"/>
          </w:tcPr>
          <w:p>
            <w:pPr>
              <w:spacing w:after="0"/>
              <w:rPr>
                <w:sz w:val="20"/>
                <w:szCs w:val="20"/>
                <w:color w:val="auto"/>
              </w:rPr>
            </w:pPr>
            <w:r>
              <w:rPr>
                <w:rFonts w:ascii="Arial" w:cs="Arial" w:eastAsia="Arial" w:hAnsi="Arial"/>
                <w:sz w:val="12"/>
                <w:szCs w:val="12"/>
                <w:color w:val="auto"/>
              </w:rPr>
              <w:t>Expenditures</w:t>
            </w:r>
          </w:p>
        </w:tc>
        <w:tc>
          <w:tcPr>
            <w:tcW w:w="10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(1,163)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(1,482)</w:t>
            </w:r>
          </w:p>
        </w:tc>
        <w:tc>
          <w:tcPr>
            <w:tcW w:w="0" w:type="dxa"/>
            <w:vAlign w:val="bottom"/>
          </w:tcPr>
          <w:p>
            <w:pPr>
              <w:spacing w:after="0"/>
              <w:rPr>
                <w:sz w:val="1"/>
                <w:szCs w:val="1"/>
                <w:color w:val="auto"/>
              </w:rPr>
            </w:pPr>
          </w:p>
        </w:tc>
      </w:tr>
      <w:tr>
        <w:trPr>
          <w:trHeight w:val="153"/>
        </w:trPr>
        <w:tc>
          <w:tcPr>
            <w:tcW w:w="66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Currency translation and other</w:t>
            </w:r>
          </w:p>
        </w:tc>
        <w:tc>
          <w:tcPr>
            <w:tcW w:w="10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153</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195</w:t>
            </w:r>
          </w:p>
        </w:tc>
        <w:tc>
          <w:tcPr>
            <w:tcW w:w="0" w:type="dxa"/>
            <w:vAlign w:val="bottom"/>
          </w:tcPr>
          <w:p>
            <w:pPr>
              <w:spacing w:after="0"/>
              <w:rPr>
                <w:sz w:val="1"/>
                <w:szCs w:val="1"/>
                <w:color w:val="auto"/>
              </w:rPr>
            </w:pPr>
          </w:p>
        </w:tc>
      </w:tr>
      <w:tr>
        <w:trPr>
          <w:trHeight w:val="158"/>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June 30, 2021</w:t>
            </w:r>
          </w:p>
        </w:tc>
        <w:tc>
          <w:tcPr>
            <w:tcW w:w="1040" w:type="dxa"/>
            <w:vAlign w:val="bottom"/>
            <w:tcBorders>
              <w:bottom w:val="single" w:sz="8" w:color="auto"/>
            </w:tcBorders>
            <w:shd w:val="clear" w:color="auto" w:fill="CCEEFF"/>
          </w:tcPr>
          <w:p>
            <w:pPr>
              <w:jc w:val="right"/>
              <w:ind w:right="904"/>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50,525</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42,969</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93,494</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the six months ended June 30, 2021, there were no significant charges (benefits) resulting from changes in estimates for closure and post-closure liabilities.</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New asset retirement obligations incurred during the first six months of 2021 were discounted at the credit-adjusted risk-free rate of 4.84%.</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REMEDIAL LIABILITIES</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changes to remedial liabilities from January 1, 2021 through June 30, 2021 were as follows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9"/>
              </w:rPr>
              <w:t>Remedial</w:t>
            </w: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tcPr>
          <w:p>
            <w:pPr>
              <w:jc w:val="center"/>
              <w:ind w:right="280"/>
              <w:spacing w:after="0" w:line="108" w:lineRule="exact"/>
              <w:rPr>
                <w:sz w:val="20"/>
                <w:szCs w:val="20"/>
                <w:color w:val="auto"/>
              </w:rPr>
            </w:pPr>
            <w:r>
              <w:rPr>
                <w:rFonts w:ascii="Arial" w:cs="Arial" w:eastAsia="Arial" w:hAnsi="Arial"/>
                <w:sz w:val="11"/>
                <w:szCs w:val="11"/>
                <w:b w:val="1"/>
                <w:bCs w:val="1"/>
                <w:color w:val="auto"/>
                <w:w w:val="90"/>
              </w:rPr>
              <w:t>Liabilities</w:t>
            </w: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1"/>
                <w:szCs w:val="11"/>
                <w:b w:val="1"/>
                <w:bCs w:val="1"/>
                <w:color w:val="auto"/>
                <w:w w:val="89"/>
              </w:rPr>
              <w:t>Remedial</w:t>
            </w:r>
          </w:p>
        </w:tc>
        <w:tc>
          <w:tcPr>
            <w:tcW w:w="180" w:type="dxa"/>
            <w:vAlign w:val="bottom"/>
          </w:tcPr>
          <w:p>
            <w:pPr>
              <w:spacing w:after="0"/>
              <w:rPr>
                <w:sz w:val="9"/>
                <w:szCs w:val="9"/>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1"/>
                <w:szCs w:val="11"/>
                <w:b w:val="1"/>
                <w:bCs w:val="1"/>
                <w:color w:val="auto"/>
                <w:w w:val="89"/>
              </w:rPr>
              <w:t>Remedial</w:t>
            </w:r>
          </w:p>
        </w:tc>
        <w:tc>
          <w:tcPr>
            <w:tcW w:w="180" w:type="dxa"/>
            <w:vAlign w:val="bottom"/>
          </w:tcPr>
          <w:p>
            <w:pPr>
              <w:spacing w:after="0"/>
              <w:rPr>
                <w:sz w:val="9"/>
                <w:szCs w:val="9"/>
                <w:color w:val="auto"/>
              </w:rPr>
            </w:pPr>
          </w:p>
        </w:tc>
        <w:tc>
          <w:tcPr>
            <w:tcW w:w="1220" w:type="dxa"/>
            <w:vAlign w:val="bottom"/>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w w:val="91"/>
              </w:rPr>
              <w:t>(Including</w:t>
            </w: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tcPr>
          <w:p>
            <w:pPr>
              <w:jc w:val="center"/>
              <w:ind w:right="280"/>
              <w:spacing w:after="0" w:line="108" w:lineRule="exact"/>
              <w:rPr>
                <w:sz w:val="20"/>
                <w:szCs w:val="20"/>
                <w:color w:val="auto"/>
              </w:rPr>
            </w:pPr>
            <w:r>
              <w:rPr>
                <w:rFonts w:ascii="Arial" w:cs="Arial" w:eastAsia="Arial" w:hAnsi="Arial"/>
                <w:sz w:val="11"/>
                <w:szCs w:val="11"/>
                <w:b w:val="1"/>
                <w:bCs w:val="1"/>
                <w:color w:val="auto"/>
                <w:w w:val="91"/>
              </w:rPr>
              <w:t>Superfund) for</w:t>
            </w: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w w:val="90"/>
              </w:rPr>
              <w:t>Liabilities for</w:t>
            </w:r>
          </w:p>
        </w:tc>
        <w:tc>
          <w:tcPr>
            <w:tcW w:w="180" w:type="dxa"/>
            <w:vAlign w:val="bottom"/>
          </w:tcPr>
          <w:p>
            <w:pPr>
              <w:spacing w:after="0"/>
              <w:rPr>
                <w:sz w:val="9"/>
                <w:szCs w:val="9"/>
                <w:color w:val="auto"/>
              </w:rPr>
            </w:pPr>
          </w:p>
        </w:tc>
        <w:tc>
          <w:tcPr>
            <w:tcW w:w="1140" w:type="dxa"/>
            <w:vAlign w:val="bottom"/>
            <w:gridSpan w:val="2"/>
          </w:tcPr>
          <w:p>
            <w:pPr>
              <w:jc w:val="center"/>
              <w:ind w:right="280"/>
              <w:spacing w:after="0" w:line="108" w:lineRule="exact"/>
              <w:rPr>
                <w:sz w:val="20"/>
                <w:szCs w:val="20"/>
                <w:color w:val="auto"/>
              </w:rPr>
            </w:pPr>
            <w:r>
              <w:rPr>
                <w:rFonts w:ascii="Arial" w:cs="Arial" w:eastAsia="Arial" w:hAnsi="Arial"/>
                <w:sz w:val="11"/>
                <w:szCs w:val="11"/>
                <w:b w:val="1"/>
                <w:bCs w:val="1"/>
                <w:color w:val="auto"/>
                <w:w w:val="90"/>
              </w:rPr>
              <w:t>Liabilities for</w:t>
            </w:r>
          </w:p>
        </w:tc>
        <w:tc>
          <w:tcPr>
            <w:tcW w:w="180" w:type="dxa"/>
            <w:vAlign w:val="bottom"/>
          </w:tcPr>
          <w:p>
            <w:pPr>
              <w:spacing w:after="0"/>
              <w:rPr>
                <w:sz w:val="9"/>
                <w:szCs w:val="9"/>
                <w:color w:val="auto"/>
              </w:rPr>
            </w:pPr>
          </w:p>
        </w:tc>
        <w:tc>
          <w:tcPr>
            <w:tcW w:w="1220" w:type="dxa"/>
            <w:vAlign w:val="bottom"/>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w w:val="93"/>
              </w:rPr>
              <w:t>Non-Landfill</w:t>
            </w:r>
          </w:p>
        </w:tc>
        <w:tc>
          <w:tcPr>
            <w:tcW w:w="260" w:type="dxa"/>
            <w:vAlign w:val="bottom"/>
          </w:tcPr>
          <w:p>
            <w:pPr>
              <w:spacing w:after="0"/>
              <w:rPr>
                <w:sz w:val="9"/>
                <w:szCs w:val="9"/>
                <w:color w:val="auto"/>
              </w:rPr>
            </w:pPr>
          </w:p>
        </w:tc>
        <w:tc>
          <w:tcPr>
            <w:tcW w:w="900" w:type="dxa"/>
            <w:vAlign w:val="bottom"/>
            <w:vMerge w:val="restart"/>
          </w:tcPr>
          <w:p>
            <w:pPr>
              <w:jc w:val="right"/>
              <w:ind w:right="40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0"/>
              </w:rPr>
              <w:t>Landfill Sites</w:t>
            </w:r>
          </w:p>
        </w:tc>
        <w:tc>
          <w:tcPr>
            <w:tcW w:w="180" w:type="dxa"/>
            <w:vAlign w:val="bottom"/>
          </w:tcPr>
          <w:p>
            <w:pPr>
              <w:spacing w:after="0"/>
              <w:rPr>
                <w:sz w:val="12"/>
                <w:szCs w:val="12"/>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8"/>
              </w:rPr>
              <w:t>Inactive Sites</w:t>
            </w:r>
          </w:p>
        </w:tc>
        <w:tc>
          <w:tcPr>
            <w:tcW w:w="180" w:type="dxa"/>
            <w:vAlign w:val="bottom"/>
          </w:tcPr>
          <w:p>
            <w:pPr>
              <w:spacing w:after="0"/>
              <w:rPr>
                <w:sz w:val="12"/>
                <w:szCs w:val="12"/>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9"/>
              </w:rPr>
              <w:t>Operations</w:t>
            </w:r>
          </w:p>
        </w:tc>
        <w:tc>
          <w:tcPr>
            <w:tcW w:w="2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January 1, 2021</w:t>
            </w: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1,865</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63,060</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49,888</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114,813</w:t>
            </w:r>
          </w:p>
        </w:tc>
        <w:tc>
          <w:tcPr>
            <w:tcW w:w="0" w:type="dxa"/>
            <w:vAlign w:val="bottom"/>
          </w:tcPr>
          <w:p>
            <w:pPr>
              <w:spacing w:after="0"/>
              <w:rPr>
                <w:sz w:val="1"/>
                <w:szCs w:val="1"/>
                <w:color w:val="auto"/>
              </w:rPr>
            </w:pPr>
          </w:p>
        </w:tc>
      </w:tr>
      <w:tr>
        <w:trPr>
          <w:trHeight w:val="153"/>
        </w:trPr>
        <w:tc>
          <w:tcPr>
            <w:tcW w:w="6120" w:type="dxa"/>
            <w:vAlign w:val="bottom"/>
          </w:tcPr>
          <w:p>
            <w:pPr>
              <w:spacing w:after="0"/>
              <w:rPr>
                <w:sz w:val="20"/>
                <w:szCs w:val="20"/>
                <w:color w:val="auto"/>
              </w:rPr>
            </w:pPr>
            <w:r>
              <w:rPr>
                <w:rFonts w:ascii="Arial" w:cs="Arial" w:eastAsia="Arial" w:hAnsi="Arial"/>
                <w:sz w:val="12"/>
                <w:szCs w:val="12"/>
                <w:color w:val="auto"/>
              </w:rPr>
              <w:t>Accretion</w:t>
            </w:r>
          </w:p>
        </w:tc>
        <w:tc>
          <w:tcPr>
            <w:tcW w:w="180" w:type="dxa"/>
            <w:vAlign w:val="bottom"/>
          </w:tcPr>
          <w:p>
            <w:pPr>
              <w:spacing w:after="0"/>
              <w:rPr>
                <w:sz w:val="13"/>
                <w:szCs w:val="13"/>
                <w:color w:val="auto"/>
              </w:rPr>
            </w:pP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45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1,320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2"/>
                <w:szCs w:val="12"/>
                <w:color w:val="auto"/>
              </w:rPr>
              <w:t>836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1"/>
              <w:spacing w:after="0"/>
              <w:rPr>
                <w:sz w:val="20"/>
                <w:szCs w:val="20"/>
                <w:color w:val="auto"/>
              </w:rPr>
            </w:pPr>
            <w:r>
              <w:rPr>
                <w:rFonts w:ascii="Arial" w:cs="Arial" w:eastAsia="Arial" w:hAnsi="Arial"/>
                <w:sz w:val="12"/>
                <w:szCs w:val="12"/>
                <w:color w:val="auto"/>
              </w:rPr>
              <w:t>2,201</w:t>
            </w:r>
          </w:p>
        </w:tc>
        <w:tc>
          <w:tcPr>
            <w:tcW w:w="0" w:type="dxa"/>
            <w:vAlign w:val="bottom"/>
          </w:tcPr>
          <w:p>
            <w:pPr>
              <w:spacing w:after="0"/>
              <w:rPr>
                <w:sz w:val="1"/>
                <w:szCs w:val="1"/>
                <w:color w:val="auto"/>
              </w:rPr>
            </w:pPr>
          </w:p>
        </w:tc>
      </w:tr>
      <w:tr>
        <w:trPr>
          <w:trHeight w:val="153"/>
        </w:trPr>
        <w:tc>
          <w:tcPr>
            <w:tcW w:w="6120" w:type="dxa"/>
            <w:vAlign w:val="bottom"/>
            <w:shd w:val="clear" w:color="auto" w:fill="CCEEFF"/>
          </w:tcPr>
          <w:p>
            <w:pPr>
              <w:spacing w:after="0"/>
              <w:rPr>
                <w:sz w:val="20"/>
                <w:szCs w:val="20"/>
                <w:color w:val="auto"/>
              </w:rPr>
            </w:pPr>
            <w:r>
              <w:rPr>
                <w:rFonts w:ascii="Arial" w:cs="Arial" w:eastAsia="Arial" w:hAnsi="Arial"/>
                <w:sz w:val="12"/>
                <w:szCs w:val="12"/>
                <w:color w:val="auto"/>
              </w:rPr>
              <w:t>Changes in estimates recorded to consolidated statement of operations</w:t>
            </w: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145</w:t>
            </w:r>
          </w:p>
        </w:tc>
        <w:tc>
          <w:tcPr>
            <w:tcW w:w="0" w:type="dxa"/>
            <w:vAlign w:val="bottom"/>
          </w:tcPr>
          <w:p>
            <w:pPr>
              <w:spacing w:after="0"/>
              <w:rPr>
                <w:sz w:val="1"/>
                <w:szCs w:val="1"/>
                <w:color w:val="auto"/>
              </w:rPr>
            </w:pPr>
          </w:p>
        </w:tc>
      </w:tr>
      <w:tr>
        <w:trPr>
          <w:trHeight w:val="153"/>
        </w:trPr>
        <w:tc>
          <w:tcPr>
            <w:tcW w:w="6120" w:type="dxa"/>
            <w:vAlign w:val="bottom"/>
          </w:tcPr>
          <w:p>
            <w:pPr>
              <w:spacing w:after="0"/>
              <w:rPr>
                <w:sz w:val="20"/>
                <w:szCs w:val="20"/>
                <w:color w:val="auto"/>
              </w:rPr>
            </w:pPr>
            <w:r>
              <w:rPr>
                <w:rFonts w:ascii="Arial" w:cs="Arial" w:eastAsia="Arial" w:hAnsi="Arial"/>
                <w:sz w:val="12"/>
                <w:szCs w:val="12"/>
                <w:color w:val="auto"/>
              </w:rPr>
              <w:t>Expenditures</w:t>
            </w:r>
          </w:p>
        </w:tc>
        <w:tc>
          <w:tcPr>
            <w:tcW w:w="1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(2,833)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(2,255)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(5,112)</w:t>
            </w:r>
          </w:p>
        </w:tc>
        <w:tc>
          <w:tcPr>
            <w:tcW w:w="0" w:type="dxa"/>
            <w:vAlign w:val="bottom"/>
          </w:tcPr>
          <w:p>
            <w:pPr>
              <w:spacing w:after="0"/>
              <w:rPr>
                <w:sz w:val="1"/>
                <w:szCs w:val="1"/>
                <w:color w:val="auto"/>
              </w:rPr>
            </w:pPr>
          </w:p>
        </w:tc>
      </w:tr>
      <w:tr>
        <w:trPr>
          <w:trHeight w:val="153"/>
        </w:trPr>
        <w:tc>
          <w:tcPr>
            <w:tcW w:w="6120" w:type="dxa"/>
            <w:vAlign w:val="bottom"/>
            <w:shd w:val="clear" w:color="auto" w:fill="CCEEFF"/>
          </w:tcPr>
          <w:p>
            <w:pPr>
              <w:spacing w:after="0"/>
              <w:rPr>
                <w:sz w:val="20"/>
                <w:szCs w:val="20"/>
                <w:color w:val="auto"/>
              </w:rPr>
            </w:pPr>
            <w:r>
              <w:rPr>
                <w:rFonts w:ascii="Arial" w:cs="Arial" w:eastAsia="Arial" w:hAnsi="Arial"/>
                <w:sz w:val="12"/>
                <w:szCs w:val="12"/>
                <w:color w:val="auto"/>
              </w:rPr>
              <w:t>Currency translation and other</w:t>
            </w: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1,212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407</w:t>
            </w:r>
          </w:p>
        </w:tc>
        <w:tc>
          <w:tcPr>
            <w:tcW w:w="0" w:type="dxa"/>
            <w:vAlign w:val="bottom"/>
          </w:tcPr>
          <w:p>
            <w:pPr>
              <w:spacing w:after="0"/>
              <w:rPr>
                <w:sz w:val="1"/>
                <w:szCs w:val="1"/>
                <w:color w:val="auto"/>
              </w:rPr>
            </w:pPr>
          </w:p>
        </w:tc>
      </w:tr>
      <w:tr>
        <w:trPr>
          <w:trHeight w:val="142"/>
        </w:trPr>
        <w:tc>
          <w:tcPr>
            <w:tcW w:w="6120" w:type="dxa"/>
            <w:vAlign w:val="bottom"/>
          </w:tcPr>
          <w:p>
            <w:pPr>
              <w:spacing w:after="0"/>
              <w:rPr>
                <w:sz w:val="20"/>
                <w:szCs w:val="20"/>
                <w:color w:val="auto"/>
              </w:rPr>
            </w:pPr>
            <w:r>
              <w:rPr>
                <w:rFonts w:ascii="Arial" w:cs="Arial" w:eastAsia="Arial" w:hAnsi="Arial"/>
                <w:sz w:val="12"/>
                <w:szCs w:val="12"/>
                <w:color w:val="auto"/>
              </w:rPr>
              <w:t>Balance at June 30, 2021</w:t>
            </w: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1,864</w:t>
            </w: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61,054</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49,536</w:t>
            </w:r>
          </w:p>
        </w:tc>
        <w:tc>
          <w:tcPr>
            <w:tcW w:w="8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112,454</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the six months ended June 30, 2021, there were no significant (benefits) charges resulting from changes in estimates for remedial liabilities.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5" w:name="page16"/>
    <w:bookmarkEnd w:id="1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(11) FINANCING ARRANGEMENTS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is a summary of the Company’s financing arrangements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920" w:type="dxa"/>
            <w:vAlign w:val="bottom"/>
            <w:gridSpan w:val="3"/>
          </w:tcPr>
          <w:p>
            <w:pPr>
              <w:spacing w:after="0"/>
              <w:rPr>
                <w:sz w:val="20"/>
                <w:szCs w:val="20"/>
                <w:color w:val="auto"/>
              </w:rPr>
            </w:pPr>
            <w:r>
              <w:rPr>
                <w:rFonts w:ascii="Arial" w:cs="Arial" w:eastAsia="Arial" w:hAnsi="Arial"/>
                <w:sz w:val="12"/>
                <w:szCs w:val="12"/>
                <w:b w:val="1"/>
                <w:bCs w:val="1"/>
                <w:color w:val="auto"/>
              </w:rPr>
              <w:t>Current Debt:</w:t>
            </w:r>
          </w:p>
        </w:tc>
        <w:tc>
          <w:tcPr>
            <w:tcW w:w="280" w:type="dxa"/>
            <w:vAlign w:val="bottom"/>
          </w:tcPr>
          <w:p>
            <w:pPr>
              <w:spacing w:after="0"/>
              <w:rPr>
                <w:sz w:val="12"/>
                <w:szCs w:val="12"/>
                <w:color w:val="auto"/>
              </w:rPr>
            </w:pPr>
          </w:p>
        </w:tc>
        <w:tc>
          <w:tcPr>
            <w:tcW w:w="1440" w:type="dxa"/>
            <w:vAlign w:val="bottom"/>
            <w:gridSpan w:val="2"/>
          </w:tcPr>
          <w:p>
            <w:pPr>
              <w:ind w:left="220"/>
              <w:spacing w:after="0"/>
              <w:rPr>
                <w:sz w:val="20"/>
                <w:szCs w:val="20"/>
                <w:color w:val="auto"/>
              </w:rPr>
            </w:pPr>
            <w:r>
              <w:rPr>
                <w:rFonts w:ascii="Arial" w:cs="Arial" w:eastAsia="Arial" w:hAnsi="Arial"/>
                <w:sz w:val="11"/>
                <w:szCs w:val="11"/>
                <w:b w:val="1"/>
                <w:bCs w:val="1"/>
                <w:color w:val="auto"/>
              </w:rPr>
              <w:t>June 30, 2021</w:t>
            </w:r>
          </w:p>
        </w:tc>
        <w:tc>
          <w:tcPr>
            <w:tcW w:w="240" w:type="dxa"/>
            <w:vAlign w:val="bottom"/>
          </w:tcPr>
          <w:p>
            <w:pPr>
              <w:spacing w:after="0"/>
              <w:rPr>
                <w:sz w:val="12"/>
                <w:szCs w:val="12"/>
                <w:color w:val="auto"/>
              </w:rPr>
            </w:pPr>
          </w:p>
        </w:tc>
        <w:tc>
          <w:tcPr>
            <w:tcW w:w="1420" w:type="dxa"/>
            <w:vAlign w:val="bottom"/>
          </w:tcPr>
          <w:p>
            <w:pPr>
              <w:jc w:val="right"/>
              <w:ind w:right="341"/>
              <w:spacing w:after="0"/>
              <w:rPr>
                <w:sz w:val="20"/>
                <w:szCs w:val="20"/>
                <w:color w:val="auto"/>
              </w:rPr>
            </w:pPr>
            <w:r>
              <w:rPr>
                <w:rFonts w:ascii="Arial" w:cs="Arial" w:eastAsia="Arial" w:hAnsi="Arial"/>
                <w:sz w:val="11"/>
                <w:szCs w:val="11"/>
                <w:b w:val="1"/>
                <w:bCs w:val="1"/>
                <w:color w:val="auto"/>
              </w:rPr>
              <w:t>December 31, 2020</w:t>
            </w:r>
          </w:p>
        </w:tc>
      </w:tr>
      <w:tr>
        <w:trPr>
          <w:trHeight w:val="20"/>
        </w:trPr>
        <w:tc>
          <w:tcPr>
            <w:tcW w:w="74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45"/>
        </w:trPr>
        <w:tc>
          <w:tcPr>
            <w:tcW w:w="7920" w:type="dxa"/>
            <w:vAlign w:val="bottom"/>
            <w:tcBorders>
              <w:bottom w:val="single" w:sz="8" w:color="CCEEFF"/>
            </w:tcBorders>
            <w:gridSpan w:val="3"/>
            <w:shd w:val="clear" w:color="auto" w:fill="CCEEFF"/>
          </w:tcPr>
          <w:p>
            <w:pPr>
              <w:spacing w:after="0" w:line="129" w:lineRule="exact"/>
              <w:rPr>
                <w:sz w:val="20"/>
                <w:szCs w:val="20"/>
                <w:color w:val="auto"/>
              </w:rPr>
            </w:pPr>
            <w:r>
              <w:rPr>
                <w:rFonts w:ascii="Arial" w:cs="Arial" w:eastAsia="Arial" w:hAnsi="Arial"/>
                <w:sz w:val="12"/>
                <w:szCs w:val="12"/>
                <w:color w:val="auto"/>
              </w:rPr>
              <w:t>Secured senior term loans ("Term Loans")</w:t>
            </w: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7,535</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shd w:val="clear" w:color="auto" w:fill="CCEEFF"/>
          </w:tcPr>
          <w:p>
            <w:pPr>
              <w:jc w:val="right"/>
              <w:ind w:right="1"/>
              <w:spacing w:after="0" w:line="129" w:lineRule="exact"/>
              <w:rPr>
                <w:sz w:val="20"/>
                <w:szCs w:val="20"/>
                <w:color w:val="auto"/>
              </w:rPr>
            </w:pPr>
            <w:r>
              <w:rPr>
                <w:rFonts w:ascii="Arial" w:cs="Arial" w:eastAsia="Arial" w:hAnsi="Arial"/>
                <w:sz w:val="12"/>
                <w:szCs w:val="12"/>
                <w:color w:val="auto"/>
              </w:rPr>
              <w:t>7,535</w:t>
            </w:r>
          </w:p>
        </w:tc>
      </w:tr>
      <w:tr>
        <w:trPr>
          <w:trHeight w:val="126"/>
        </w:trPr>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tcPr>
          <w:p>
            <w:pPr>
              <w:spacing w:after="0"/>
              <w:rPr>
                <w:sz w:val="10"/>
                <w:szCs w:val="10"/>
                <w:color w:val="auto"/>
              </w:rPr>
            </w:pPr>
          </w:p>
        </w:tc>
      </w:tr>
      <w:tr>
        <w:trPr>
          <w:trHeight w:val="126"/>
        </w:trPr>
        <w:tc>
          <w:tcPr>
            <w:tcW w:w="7920" w:type="dxa"/>
            <w:vAlign w:val="bottom"/>
            <w:gridSpan w:val="3"/>
            <w:shd w:val="clear" w:color="auto" w:fill="CCEEFF"/>
          </w:tcPr>
          <w:p>
            <w:pPr>
              <w:spacing w:after="0" w:line="126" w:lineRule="exact"/>
              <w:rPr>
                <w:sz w:val="20"/>
                <w:szCs w:val="20"/>
                <w:color w:val="auto"/>
              </w:rPr>
            </w:pPr>
            <w:r>
              <w:rPr>
                <w:rFonts w:ascii="Arial" w:cs="Arial" w:eastAsia="Arial" w:hAnsi="Arial"/>
                <w:sz w:val="12"/>
                <w:szCs w:val="12"/>
                <w:b w:val="1"/>
                <w:bCs w:val="1"/>
                <w:color w:val="auto"/>
              </w:rPr>
              <w:t>Long-Term Debt:</w:t>
            </w:r>
          </w:p>
        </w:tc>
        <w:tc>
          <w:tcPr>
            <w:tcW w:w="2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r>
      <w:tr>
        <w:trPr>
          <w:trHeight w:val="27"/>
        </w:trPr>
        <w:tc>
          <w:tcPr>
            <w:tcW w:w="7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r>
        <w:trPr>
          <w:trHeight w:val="153"/>
        </w:trPr>
        <w:tc>
          <w:tcPr>
            <w:tcW w:w="7920" w:type="dxa"/>
            <w:vAlign w:val="bottom"/>
            <w:gridSpan w:val="3"/>
          </w:tcPr>
          <w:p>
            <w:pPr>
              <w:spacing w:after="0"/>
              <w:rPr>
                <w:sz w:val="20"/>
                <w:szCs w:val="20"/>
                <w:color w:val="auto"/>
              </w:rPr>
            </w:pPr>
            <w:r>
              <w:rPr>
                <w:rFonts w:ascii="Arial" w:cs="Arial" w:eastAsia="Arial" w:hAnsi="Arial"/>
                <w:sz w:val="12"/>
                <w:szCs w:val="12"/>
                <w:color w:val="auto"/>
              </w:rPr>
              <w:t>Secured senior Term Loans due June 30, 2024</w:t>
            </w: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715,859</w:t>
            </w:r>
          </w:p>
        </w:tc>
        <w:tc>
          <w:tcPr>
            <w:tcW w:w="8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420" w:type="dxa"/>
            <w:vAlign w:val="bottom"/>
          </w:tcPr>
          <w:p>
            <w:pPr>
              <w:jc w:val="right"/>
              <w:ind w:right="1"/>
              <w:spacing w:after="0"/>
              <w:rPr>
                <w:sz w:val="20"/>
                <w:szCs w:val="20"/>
                <w:color w:val="auto"/>
              </w:rPr>
            </w:pPr>
            <w:r>
              <w:rPr>
                <w:rFonts w:ascii="Arial" w:cs="Arial" w:eastAsia="Arial" w:hAnsi="Arial"/>
                <w:sz w:val="12"/>
                <w:szCs w:val="12"/>
                <w:color w:val="auto"/>
              </w:rPr>
              <w:t>719,626</w:t>
            </w:r>
          </w:p>
        </w:tc>
      </w:tr>
      <w:tr>
        <w:trPr>
          <w:trHeight w:val="153"/>
        </w:trPr>
        <w:tc>
          <w:tcPr>
            <w:tcW w:w="79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Unsecured senior notes, at 4.875%, due July 15, 2027 ("2027 Notes")</w:t>
            </w: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545,000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545,000</w:t>
            </w:r>
          </w:p>
        </w:tc>
      </w:tr>
      <w:tr>
        <w:trPr>
          <w:trHeight w:val="153"/>
        </w:trPr>
        <w:tc>
          <w:tcPr>
            <w:tcW w:w="792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color w:val="auto"/>
              </w:rPr>
              <w:t>Unsecured senior notes, at 5.125%, due July 15, 2029 ("2029 Notes")</w:t>
            </w: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300,000</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300,000</w:t>
            </w:r>
          </w:p>
        </w:tc>
      </w:tr>
      <w:tr>
        <w:trPr>
          <w:trHeight w:val="142"/>
        </w:trPr>
        <w:tc>
          <w:tcPr>
            <w:tcW w:w="79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Long-term debt, at par</w:t>
            </w: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1,560,859</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1,564,626</w:t>
            </w:r>
          </w:p>
        </w:tc>
      </w:tr>
      <w:tr>
        <w:trPr>
          <w:trHeight w:val="142"/>
        </w:trPr>
        <w:tc>
          <w:tcPr>
            <w:tcW w:w="792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color w:val="auto"/>
              </w:rPr>
              <w:t>Unamortized debt issuance costs and premium, net</w:t>
            </w:r>
          </w:p>
        </w:tc>
        <w:tc>
          <w:tcPr>
            <w:tcW w:w="2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(13,461)</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(14,985)</w:t>
            </w:r>
          </w:p>
        </w:tc>
      </w:tr>
      <w:tr>
        <w:trPr>
          <w:trHeight w:val="158"/>
        </w:trPr>
        <w:tc>
          <w:tcPr>
            <w:tcW w:w="79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2"/>
                <w:szCs w:val="12"/>
                <w:color w:val="auto"/>
              </w:rPr>
              <w:t>Long-term debt, at carrying value</w:t>
            </w: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1,547,398</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1,549,641</w:t>
            </w: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Financing Activities</w:t>
      </w:r>
    </w:p>
    <w:p>
      <w:pPr>
        <w:spacing w:after="0" w:line="109" w:lineRule="exact"/>
        <w:rPr>
          <w:sz w:val="20"/>
          <w:szCs w:val="20"/>
          <w:color w:val="auto"/>
        </w:rPr>
      </w:pPr>
    </w:p>
    <w:p>
      <w:pPr>
        <w:jc w:val="both"/>
        <w:ind w:right="120" w:firstLine="432"/>
        <w:spacing w:after="0" w:line="263" w:lineRule="auto"/>
        <w:rPr>
          <w:sz w:val="20"/>
          <w:szCs w:val="20"/>
          <w:color w:val="auto"/>
        </w:rPr>
      </w:pPr>
      <w:r>
        <w:rPr>
          <w:rFonts w:ascii="Arial" w:cs="Arial" w:eastAsia="Arial" w:hAnsi="Arial"/>
          <w:sz w:val="12"/>
          <w:szCs w:val="12"/>
          <w:color w:val="auto"/>
        </w:rPr>
        <w:t>As of June 30, 2021 and December 31, 2020, the estimated fair value of the Company’s outstanding long-term debt, including the current portion, was $1.6 billion. The Company’s estimates of fair value of its long-term debt, including the current portion, are based on quoted market prices or other available market data which are considered Level 2 measures according to the fair value hierarchy. Level 2 utilizes quoted market prices in markets that are not active, broker or dealer quotations or alternative pricing sources with reasonable levels of price transparency for similar assets and liabilities.</w:t>
      </w:r>
    </w:p>
    <w:p>
      <w:pPr>
        <w:spacing w:after="0" w:line="77" w:lineRule="exact"/>
        <w:rPr>
          <w:sz w:val="20"/>
          <w:szCs w:val="20"/>
          <w:color w:val="auto"/>
        </w:rPr>
      </w:pPr>
    </w:p>
    <w:p>
      <w:pPr>
        <w:ind w:right="360" w:firstLine="432"/>
        <w:spacing w:after="0" w:line="276" w:lineRule="auto"/>
        <w:rPr>
          <w:sz w:val="20"/>
          <w:szCs w:val="20"/>
          <w:color w:val="auto"/>
        </w:rPr>
      </w:pPr>
      <w:r>
        <w:rPr>
          <w:rFonts w:ascii="Arial" w:cs="Arial" w:eastAsia="Arial" w:hAnsi="Arial"/>
          <w:sz w:val="12"/>
          <w:szCs w:val="12"/>
          <w:color w:val="auto"/>
        </w:rPr>
        <w:t>The Company maintains a $400.0 million revolving credit facility under which the Company had no outstanding loan balances as of June 30, 2021 and December 31, 2020. As of June 30, 2021, the Company had $287.3 million available to borrow under the revolving credit facility and outstanding letters of credit were $112.7 million.</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Flow Hedges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Company’s strategy to hedge against fluctuations in variable interest rates involves entering into interest rate derivative agreements.</w:t>
      </w:r>
    </w:p>
    <w:p>
      <w:pPr>
        <w:spacing w:after="0" w:line="105" w:lineRule="exact"/>
        <w:rPr>
          <w:sz w:val="20"/>
          <w:szCs w:val="20"/>
          <w:color w:val="auto"/>
        </w:rPr>
      </w:pPr>
    </w:p>
    <w:p>
      <w:pPr>
        <w:ind w:right="140" w:firstLine="432"/>
        <w:spacing w:after="0" w:line="263" w:lineRule="auto"/>
        <w:rPr>
          <w:sz w:val="20"/>
          <w:szCs w:val="20"/>
          <w:color w:val="auto"/>
        </w:rPr>
      </w:pPr>
      <w:r>
        <w:rPr>
          <w:rFonts w:ascii="Arial" w:cs="Arial" w:eastAsia="Arial" w:hAnsi="Arial"/>
          <w:sz w:val="12"/>
          <w:szCs w:val="12"/>
          <w:color w:val="auto"/>
        </w:rPr>
        <w:t>Although the interest rate on the Term Loans is variable, the Company has effectively fixed the interest rate on $350.0 million aggregate principal amount of the Term Loans outstanding by entering into interest rate swap agreements in 2018 with a notional amount of $350.0 million. Under the terms of the interest rate swap agreements, the Company receives interest based on the one-month LIBOR index and pays interest at a weighted average annual interest rate of 2.92%, resulting in an effective annual interest rate of 4.67%. The interest rate swap agreements terminate in 2024.</w:t>
      </w:r>
    </w:p>
    <w:p>
      <w:pPr>
        <w:spacing w:after="0" w:line="68" w:lineRule="exact"/>
        <w:rPr>
          <w:sz w:val="20"/>
          <w:szCs w:val="20"/>
          <w:color w:val="auto"/>
        </w:rPr>
      </w:pPr>
    </w:p>
    <w:p>
      <w:pPr>
        <w:jc w:val="both"/>
        <w:ind w:right="340" w:firstLine="432"/>
        <w:spacing w:after="0" w:line="263" w:lineRule="auto"/>
        <w:rPr>
          <w:sz w:val="20"/>
          <w:szCs w:val="20"/>
          <w:color w:val="auto"/>
        </w:rPr>
      </w:pPr>
      <w:r>
        <w:rPr>
          <w:rFonts w:ascii="Arial" w:cs="Arial" w:eastAsia="Arial" w:hAnsi="Arial"/>
          <w:sz w:val="12"/>
          <w:szCs w:val="12"/>
          <w:color w:val="auto"/>
        </w:rPr>
        <w:t>The Company recognizes derivative instruments as either assets or liabilities on the balance sheet at fair value. No ineffectiveness has been identified on these swaps and, therefore, all unrealized changes in fair value are recorded in accumulated other comprehensive loss. Amounts are reclassified from accumulated other comprehensive loss into interest expense on the statement of operations in the same period or periods during which the hedged transaction affects earnings.</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1"/>
          <w:szCs w:val="11"/>
          <w:color w:val="auto"/>
        </w:rPr>
        <w:t>As of June 30, 2021 and December 31, 2020, the Company has recorded a derivative liability with a fair value of $25.9 million and $33.6 million, respectively, within accrued expenses in connection with these cash flow</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hedges.</w:t>
      </w:r>
    </w:p>
    <w:p>
      <w:pPr>
        <w:spacing w:after="0" w:line="96"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The fair value of the interest rate swaps is calculated using discounted cash flow valuation methodologies based upon the one-month LIBOR yield curves that are observable at commonly quoted intervals for the full term of the interest rate swaps and as such is considered a Level 2 measure according to the fair value hierarchy.</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(12) INCOME TAXES</w:t>
      </w:r>
    </w:p>
    <w:p>
      <w:pPr>
        <w:spacing w:after="0" w:line="100"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The Company records a tax provision or benefit on an interim basis using an estimated annual effective tax rate. This rate is applied to the current period ordinary income or loss to determine the income tax provision or benefit allocated to the interim period. Losses from jurisdictions for which no benefit can be recognized and the income tax effects of unusual or infrequent items are excluded from the estimated annual effective tax rate and are recognized in the impacted interim period. The estimated annual effective tax rate may be significantly impacted by projected earnings mix by tax jurisdiction. Adjustments to the estimated annual effective income tax rate are recognized in the period when such estimates are revised.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6" w:name="page17"/>
    <w:bookmarkEnd w:id="1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Company’s effective tax rate for the three and six months ended June 30, 2021 was 25.9% and 27.3%, compared to 29.0% and 34.7%, respectively, for the comparable periods in 2020.</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1"/>
          <w:szCs w:val="11"/>
          <w:color w:val="auto"/>
        </w:rPr>
        <w:t>As of June 30, 2021 and December 31, 2020, the Company had recorded $5.1 million and $5.5 million, respectively, of liabilities for unrecognized tax benefits and $2.3 million and $2.1 million, respectively, of accrued</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interest.</w:t>
      </w:r>
    </w:p>
    <w:p>
      <w:pPr>
        <w:spacing w:after="0" w:line="2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(13) EARNINGS PER SHARE</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are computations of basic and diluted earnings per share (in thousands, except per share amounts):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1"/>
                <w:szCs w:val="11"/>
                <w:b w:val="1"/>
                <w:bCs w:val="1"/>
                <w:color w:val="auto"/>
                <w:w w:val="97"/>
              </w:rPr>
              <w:t>Three Months Ended</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gridSpan w:val="3"/>
          </w:tcPr>
          <w:p>
            <w:pPr>
              <w:jc w:val="right"/>
              <w:ind w:right="72"/>
              <w:spacing w:after="0"/>
              <w:rPr>
                <w:sz w:val="20"/>
                <w:szCs w:val="20"/>
                <w:color w:val="auto"/>
              </w:rPr>
            </w:pPr>
            <w:r>
              <w:rPr>
                <w:rFonts w:ascii="Arial" w:cs="Arial" w:eastAsia="Arial" w:hAnsi="Arial"/>
                <w:sz w:val="11"/>
                <w:szCs w:val="11"/>
                <w:b w:val="1"/>
                <w:bCs w:val="1"/>
                <w:color w:val="auto"/>
              </w:rPr>
              <w:t>Six Months Ended</w:t>
            </w:r>
          </w:p>
        </w:tc>
        <w:tc>
          <w:tcPr>
            <w:tcW w:w="1000" w:type="dxa"/>
            <w:vAlign w:val="bottom"/>
          </w:tcPr>
          <w:p>
            <w:pPr>
              <w:spacing w:after="0"/>
              <w:rPr>
                <w:sz w:val="12"/>
                <w:szCs w:val="12"/>
                <w:color w:val="auto"/>
              </w:rPr>
            </w:pPr>
          </w:p>
        </w:tc>
      </w:tr>
      <w:tr>
        <w:trPr>
          <w:trHeight w:val="146"/>
        </w:trPr>
        <w:tc>
          <w:tcPr>
            <w:tcW w:w="502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1"/>
                <w:szCs w:val="11"/>
                <w:b w:val="1"/>
                <w:bCs w:val="1"/>
                <w:color w:val="auto"/>
              </w:rPr>
              <w:t>June 30,</w:t>
            </w:r>
          </w:p>
        </w:tc>
        <w:tc>
          <w:tcPr>
            <w:tcW w:w="9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1"/>
                <w:szCs w:val="11"/>
                <w:b w:val="1"/>
                <w:bCs w:val="1"/>
                <w:color w:val="auto"/>
              </w:rPr>
              <w:t>June 30,</w:t>
            </w:r>
          </w:p>
        </w:tc>
        <w:tc>
          <w:tcPr>
            <w:tcW w:w="1000" w:type="dxa"/>
            <w:vAlign w:val="bottom"/>
            <w:tcBorders>
              <w:bottom w:val="single" w:sz="8" w:color="auto"/>
            </w:tcBorders>
          </w:tcPr>
          <w:p>
            <w:pPr>
              <w:spacing w:after="0"/>
              <w:rPr>
                <w:sz w:val="12"/>
                <w:szCs w:val="12"/>
                <w:color w:val="auto"/>
              </w:rPr>
            </w:pPr>
          </w:p>
        </w:tc>
      </w:tr>
      <w:tr>
        <w:trPr>
          <w:trHeight w:val="133"/>
        </w:trPr>
        <w:tc>
          <w:tcPr>
            <w:tcW w:w="502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81"/>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82"/>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81"/>
              <w:spacing w:after="0"/>
              <w:rPr>
                <w:sz w:val="20"/>
                <w:szCs w:val="20"/>
                <w:color w:val="auto"/>
              </w:rPr>
            </w:pPr>
            <w:r>
              <w:rPr>
                <w:rFonts w:ascii="Arial" w:cs="Arial" w:eastAsia="Arial" w:hAnsi="Arial"/>
                <w:sz w:val="11"/>
                <w:szCs w:val="11"/>
                <w:b w:val="1"/>
                <w:bCs w:val="1"/>
                <w:color w:val="auto"/>
              </w:rPr>
              <w:t>2020</w:t>
            </w:r>
          </w:p>
        </w:tc>
      </w:tr>
      <w:tr>
        <w:trPr>
          <w:trHeight w:val="135"/>
        </w:trPr>
        <w:tc>
          <w:tcPr>
            <w:tcW w:w="50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Numerator for basic and diluted earnings per share:</w:t>
            </w:r>
          </w:p>
        </w:tc>
        <w:tc>
          <w:tcPr>
            <w:tcW w:w="9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53"/>
        </w:trPr>
        <w:tc>
          <w:tcPr>
            <w:tcW w:w="502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Net income</w:t>
            </w:r>
          </w:p>
        </w:tc>
        <w:tc>
          <w:tcPr>
            <w:tcW w:w="960" w:type="dxa"/>
            <w:vAlign w:val="bottom"/>
            <w:tcBorders>
              <w:bottom w:val="single" w:sz="8" w:color="auto"/>
            </w:tcBorders>
          </w:tcPr>
          <w:p>
            <w:pPr>
              <w:jc w:val="right"/>
              <w:ind w:right="85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67,075</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29,023</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88,811</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40,595</w:t>
            </w:r>
          </w:p>
        </w:tc>
      </w:tr>
      <w:tr>
        <w:trPr>
          <w:trHeight w:val="124"/>
        </w:trPr>
        <w:tc>
          <w:tcPr>
            <w:tcW w:w="50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153"/>
        </w:trPr>
        <w:tc>
          <w:tcPr>
            <w:tcW w:w="5020" w:type="dxa"/>
            <w:vAlign w:val="bottom"/>
          </w:tcPr>
          <w:p>
            <w:pPr>
              <w:spacing w:after="0"/>
              <w:rPr>
                <w:sz w:val="20"/>
                <w:szCs w:val="20"/>
                <w:color w:val="auto"/>
              </w:rPr>
            </w:pPr>
            <w:r>
              <w:rPr>
                <w:rFonts w:ascii="Arial" w:cs="Arial" w:eastAsia="Arial" w:hAnsi="Arial"/>
                <w:sz w:val="12"/>
                <w:szCs w:val="12"/>
                <w:color w:val="auto"/>
              </w:rPr>
              <w:t>Denominator:</w:t>
            </w: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3"/>
        </w:trPr>
        <w:tc>
          <w:tcPr>
            <w:tcW w:w="5020" w:type="dxa"/>
            <w:vAlign w:val="bottom"/>
            <w:shd w:val="clear" w:color="auto" w:fill="CCEEFF"/>
          </w:tcPr>
          <w:p>
            <w:pPr>
              <w:ind w:left="80"/>
              <w:spacing w:after="0"/>
              <w:rPr>
                <w:sz w:val="20"/>
                <w:szCs w:val="20"/>
                <w:color w:val="auto"/>
              </w:rPr>
            </w:pPr>
            <w:r>
              <w:rPr>
                <w:rFonts w:ascii="Arial" w:cs="Arial" w:eastAsia="Arial" w:hAnsi="Arial"/>
                <w:sz w:val="12"/>
                <w:szCs w:val="12"/>
                <w:color w:val="auto"/>
              </w:rPr>
              <w:t>Basic shares outstanding</w:t>
            </w: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54,529</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55,590</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54,625</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55,673</w:t>
            </w:r>
          </w:p>
        </w:tc>
      </w:tr>
      <w:tr>
        <w:trPr>
          <w:trHeight w:val="153"/>
        </w:trPr>
        <w:tc>
          <w:tcPr>
            <w:tcW w:w="502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Dilutive effect of outstanding stock awards</w:t>
            </w:r>
          </w:p>
        </w:tc>
        <w:tc>
          <w:tcPr>
            <w:tcW w:w="9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325</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158</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320</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209</w:t>
            </w:r>
          </w:p>
        </w:tc>
      </w:tr>
      <w:tr>
        <w:trPr>
          <w:trHeight w:val="158"/>
        </w:trPr>
        <w:tc>
          <w:tcPr>
            <w:tcW w:w="5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Dilutive shares outstanding</w:t>
            </w:r>
          </w:p>
        </w:tc>
        <w:tc>
          <w:tcPr>
            <w:tcW w:w="9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54,854</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55,748</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54,945</w:t>
            </w: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55,882</w:t>
            </w:r>
          </w:p>
        </w:tc>
      </w:tr>
      <w:tr>
        <w:trPr>
          <w:trHeight w:val="126"/>
        </w:trPr>
        <w:tc>
          <w:tcPr>
            <w:tcW w:w="5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69"/>
        </w:trPr>
        <w:tc>
          <w:tcPr>
            <w:tcW w:w="5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Basic earnings per share:</w:t>
            </w:r>
          </w:p>
        </w:tc>
        <w:tc>
          <w:tcPr>
            <w:tcW w:w="960" w:type="dxa"/>
            <w:vAlign w:val="bottom"/>
            <w:tcBorders>
              <w:bottom w:val="single" w:sz="8" w:color="auto"/>
            </w:tcBorders>
            <w:shd w:val="clear" w:color="auto" w:fill="CCEEFF"/>
          </w:tcPr>
          <w:p>
            <w:pPr>
              <w:jc w:val="right"/>
              <w:ind w:right="85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1.23</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0.52</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1.63</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0.73</w:t>
            </w:r>
          </w:p>
        </w:tc>
      </w:tr>
      <w:tr>
        <w:trPr>
          <w:trHeight w:val="45"/>
        </w:trPr>
        <w:tc>
          <w:tcPr>
            <w:tcW w:w="50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169"/>
        </w:trPr>
        <w:tc>
          <w:tcPr>
            <w:tcW w:w="5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Diluted earnings per share:</w:t>
            </w:r>
          </w:p>
        </w:tc>
        <w:tc>
          <w:tcPr>
            <w:tcW w:w="960" w:type="dxa"/>
            <w:vAlign w:val="bottom"/>
            <w:tcBorders>
              <w:bottom w:val="single" w:sz="8" w:color="auto"/>
            </w:tcBorders>
            <w:shd w:val="clear" w:color="auto" w:fill="CCEEFF"/>
          </w:tcPr>
          <w:p>
            <w:pPr>
              <w:jc w:val="right"/>
              <w:ind w:right="85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1.22</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0.52</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1.62</w:t>
            </w: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0.73</w:t>
            </w:r>
          </w:p>
        </w:tc>
      </w:tr>
    </w:tbl>
    <w:p>
      <w:pPr>
        <w:spacing w:after="0" w:line="135" w:lineRule="exact"/>
        <w:rPr>
          <w:sz w:val="20"/>
          <w:szCs w:val="20"/>
          <w:color w:val="auto"/>
        </w:rPr>
      </w:pPr>
    </w:p>
    <w:p>
      <w:pPr>
        <w:ind w:right="120" w:firstLine="432"/>
        <w:spacing w:after="0" w:line="263" w:lineRule="auto"/>
        <w:rPr>
          <w:sz w:val="20"/>
          <w:szCs w:val="20"/>
          <w:color w:val="auto"/>
        </w:rPr>
      </w:pPr>
      <w:r>
        <w:rPr>
          <w:rFonts w:ascii="Arial" w:cs="Arial" w:eastAsia="Arial" w:hAnsi="Arial"/>
          <w:sz w:val="12"/>
          <w:szCs w:val="12"/>
          <w:color w:val="auto"/>
        </w:rPr>
        <w:t>For the three months ended June 30, 2021 and June 30, 2020, all then outstanding performance awards and restricted stock awards were included in the calculation of diluted earnings per share except for 33,708 and 96,018, respectively, of performance stock awards for which the performance criteria were not attained at the reporting dates and 500 and 149,460, respectively, of restricted stock awards and performance awards which were excluded as their inclusion would have an antidilutive effect.</w:t>
      </w:r>
    </w:p>
    <w:p>
      <w:pPr>
        <w:spacing w:after="0" w:line="68"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For the six months ended June 30, 2021 and June 30, 2020, all then outstanding performance awards and restricted stock awards were included in the calculation of diluted earnings per share except for 33,708 and 96,018, respectively, of performance stock awards for which the performance criteria were not attained at the reporting dates and 12,604 and 14,716, respectively, of restricted stock awards which were excluded as their inclusion would have an antidilutive effect.</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(14) ACCUMULATED OTHER COMPREHENSIVE LOSS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changes in accumulated other comprehensive loss by component and related tax impacts for the six months ended June 30, 2021 were as follows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89"/>
              </w:rPr>
              <w:t>Foreign Currency</w:t>
            </w:r>
          </w:p>
        </w:tc>
        <w:tc>
          <w:tcPr>
            <w:tcW w:w="1340" w:type="dxa"/>
            <w:vAlign w:val="bottom"/>
            <w:gridSpan w:val="3"/>
          </w:tcPr>
          <w:p>
            <w:pPr>
              <w:ind w:left="20"/>
              <w:spacing w:after="0"/>
              <w:rPr>
                <w:sz w:val="20"/>
                <w:szCs w:val="20"/>
                <w:color w:val="auto"/>
              </w:rPr>
            </w:pPr>
            <w:r>
              <w:rPr>
                <w:rFonts w:ascii="Arial" w:cs="Arial" w:eastAsia="Arial" w:hAnsi="Arial"/>
                <w:sz w:val="11"/>
                <w:szCs w:val="11"/>
                <w:b w:val="1"/>
                <w:bCs w:val="1"/>
                <w:color w:val="auto"/>
                <w:w w:val="94"/>
              </w:rPr>
              <w:t>Unrealized Gains (Losses)</w:t>
            </w:r>
          </w:p>
        </w:tc>
        <w:tc>
          <w:tcPr>
            <w:tcW w:w="13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w w:val="94"/>
              </w:rPr>
              <w:t>Unrealized (Losses) Gains</w:t>
            </w:r>
          </w:p>
        </w:tc>
        <w:tc>
          <w:tcPr>
            <w:tcW w:w="120" w:type="dxa"/>
            <w:vAlign w:val="bottom"/>
          </w:tcPr>
          <w:p>
            <w:pPr>
              <w:spacing w:after="0"/>
              <w:rPr>
                <w:sz w:val="10"/>
                <w:szCs w:val="10"/>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Unrealized Losses on</w:t>
            </w: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8"/>
              </w:rPr>
              <w:t>on Available-For-Sale</w:t>
            </w:r>
          </w:p>
        </w:tc>
        <w:tc>
          <w:tcPr>
            <w:tcW w:w="134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8"/>
              </w:rPr>
              <w:t>Unfunded Pension</w:t>
            </w:r>
          </w:p>
        </w:tc>
        <w:tc>
          <w:tcPr>
            <w:tcW w:w="300" w:type="dxa"/>
            <w:vAlign w:val="bottom"/>
          </w:tcPr>
          <w:p>
            <w:pPr>
              <w:spacing w:after="0"/>
              <w:rPr>
                <w:sz w:val="9"/>
                <w:szCs w:val="9"/>
                <w:color w:val="auto"/>
              </w:rPr>
            </w:pPr>
          </w:p>
        </w:tc>
        <w:tc>
          <w:tcPr>
            <w:tcW w:w="960" w:type="dxa"/>
            <w:vAlign w:val="bottom"/>
            <w:vMerge w:val="restart"/>
          </w:tcPr>
          <w:p>
            <w:pPr>
              <w:jc w:val="right"/>
              <w:ind w:right="461"/>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Translation</w:t>
            </w:r>
          </w:p>
        </w:tc>
        <w:tc>
          <w:tcPr>
            <w:tcW w:w="100" w:type="dxa"/>
            <w:vAlign w:val="bottom"/>
          </w:tcPr>
          <w:p>
            <w:pPr>
              <w:spacing w:after="0"/>
              <w:rPr>
                <w:sz w:val="12"/>
                <w:szCs w:val="12"/>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Securities</w:t>
            </w:r>
          </w:p>
        </w:tc>
        <w:tc>
          <w:tcPr>
            <w:tcW w:w="80" w:type="dxa"/>
            <w:vAlign w:val="bottom"/>
          </w:tcPr>
          <w:p>
            <w:pPr>
              <w:spacing w:after="0"/>
              <w:rPr>
                <w:sz w:val="12"/>
                <w:szCs w:val="12"/>
                <w:color w:val="auto"/>
              </w:rPr>
            </w:pPr>
          </w:p>
        </w:tc>
        <w:tc>
          <w:tcPr>
            <w:tcW w:w="1260" w:type="dxa"/>
            <w:vAlign w:val="bottom"/>
            <w:gridSpan w:val="2"/>
          </w:tcPr>
          <w:p>
            <w:pPr>
              <w:ind w:left="20"/>
              <w:spacing w:after="0"/>
              <w:rPr>
                <w:sz w:val="20"/>
                <w:szCs w:val="20"/>
                <w:color w:val="auto"/>
              </w:rPr>
            </w:pPr>
            <w:r>
              <w:rPr>
                <w:rFonts w:ascii="Arial" w:cs="Arial" w:eastAsia="Arial" w:hAnsi="Arial"/>
                <w:sz w:val="11"/>
                <w:szCs w:val="11"/>
                <w:b w:val="1"/>
                <w:bCs w:val="1"/>
                <w:color w:val="auto"/>
              </w:rPr>
              <w:t>on Interest Rate Hedge</w:t>
            </w:r>
          </w:p>
        </w:tc>
        <w:tc>
          <w:tcPr>
            <w:tcW w:w="120" w:type="dxa"/>
            <w:vAlign w:val="bottom"/>
          </w:tcPr>
          <w:p>
            <w:pPr>
              <w:spacing w:after="0"/>
              <w:rPr>
                <w:sz w:val="12"/>
                <w:szCs w:val="12"/>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Liability</w:t>
            </w:r>
          </w:p>
        </w:tc>
        <w:tc>
          <w:tcPr>
            <w:tcW w:w="3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January 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(176,234)</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11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135</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(33,629)</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2"/>
                <w:szCs w:val="12"/>
                <w:color w:val="auto"/>
                <w:w w:val="94"/>
              </w:rPr>
              <w:t>(1,749)</w:t>
            </w: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(211,477)</w:t>
            </w:r>
          </w:p>
        </w:tc>
        <w:tc>
          <w:tcPr>
            <w:tcW w:w="0" w:type="dxa"/>
            <w:vAlign w:val="bottom"/>
          </w:tcPr>
          <w:p>
            <w:pPr>
              <w:spacing w:after="0"/>
              <w:rPr>
                <w:sz w:val="1"/>
                <w:szCs w:val="1"/>
                <w:color w:val="auto"/>
              </w:rPr>
            </w:pPr>
          </w:p>
        </w:tc>
      </w:tr>
      <w:tr>
        <w:trPr>
          <w:trHeight w:val="153"/>
        </w:trPr>
        <w:tc>
          <w:tcPr>
            <w:tcW w:w="4680" w:type="dxa"/>
            <w:vAlign w:val="bottom"/>
          </w:tcPr>
          <w:p>
            <w:pPr>
              <w:spacing w:after="0"/>
              <w:rPr>
                <w:sz w:val="20"/>
                <w:szCs w:val="20"/>
                <w:color w:val="auto"/>
              </w:rPr>
            </w:pPr>
            <w:r>
              <w:rPr>
                <w:rFonts w:ascii="Arial" w:cs="Arial" w:eastAsia="Arial" w:hAnsi="Arial"/>
                <w:sz w:val="12"/>
                <w:szCs w:val="12"/>
                <w:color w:val="auto"/>
              </w:rPr>
              <w:t>Other comprehensive income (loss) before reclassifications</w:t>
            </w:r>
          </w:p>
        </w:tc>
        <w:tc>
          <w:tcPr>
            <w:tcW w:w="14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Arial" w:cs="Arial" w:eastAsia="Arial" w:hAnsi="Arial"/>
                <w:sz w:val="12"/>
                <w:szCs w:val="12"/>
                <w:color w:val="auto"/>
              </w:rPr>
              <w:t>15,009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(155)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2,759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ind w:left="9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17,613</w:t>
            </w:r>
          </w:p>
        </w:tc>
        <w:tc>
          <w:tcPr>
            <w:tcW w:w="0" w:type="dxa"/>
            <w:vAlign w:val="bottom"/>
          </w:tcPr>
          <w:p>
            <w:pPr>
              <w:spacing w:after="0"/>
              <w:rPr>
                <w:sz w:val="1"/>
                <w:szCs w:val="1"/>
                <w:color w:val="auto"/>
              </w:rPr>
            </w:pPr>
          </w:p>
        </w:tc>
      </w:tr>
      <w:tr>
        <w:trPr>
          <w:trHeight w:val="153"/>
        </w:trPr>
        <w:tc>
          <w:tcPr>
            <w:tcW w:w="4680" w:type="dxa"/>
            <w:vAlign w:val="bottom"/>
            <w:shd w:val="clear" w:color="auto" w:fill="CCEEFF"/>
          </w:tcPr>
          <w:p>
            <w:pPr>
              <w:spacing w:after="0"/>
              <w:rPr>
                <w:sz w:val="20"/>
                <w:szCs w:val="20"/>
                <w:color w:val="auto"/>
              </w:rPr>
            </w:pPr>
            <w:r>
              <w:rPr>
                <w:rFonts w:ascii="Arial" w:cs="Arial" w:eastAsia="Arial" w:hAnsi="Arial"/>
                <w:sz w:val="12"/>
                <w:szCs w:val="12"/>
                <w:color w:val="auto"/>
              </w:rPr>
              <w:t>Amounts reclassified out of accumulated other comprehensive loss</w:t>
            </w: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4,942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ind w:left="96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4,942</w:t>
            </w:r>
          </w:p>
        </w:tc>
        <w:tc>
          <w:tcPr>
            <w:tcW w:w="0" w:type="dxa"/>
            <w:vAlign w:val="bottom"/>
          </w:tcPr>
          <w:p>
            <w:pPr>
              <w:spacing w:after="0"/>
              <w:rPr>
                <w:sz w:val="1"/>
                <w:szCs w:val="1"/>
                <w:color w:val="auto"/>
              </w:rPr>
            </w:pPr>
          </w:p>
        </w:tc>
      </w:tr>
      <w:tr>
        <w:trPr>
          <w:trHeight w:val="153"/>
        </w:trPr>
        <w:tc>
          <w:tcPr>
            <w:tcW w:w="46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Tax benefit</w:t>
            </w: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33</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ind w:left="96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42"/>
        </w:trPr>
        <w:tc>
          <w:tcPr>
            <w:tcW w:w="4680" w:type="dxa"/>
            <w:vAlign w:val="bottom"/>
            <w:shd w:val="clear" w:color="auto" w:fill="CCEEFF"/>
          </w:tcPr>
          <w:p>
            <w:pPr>
              <w:spacing w:after="0"/>
              <w:rPr>
                <w:sz w:val="20"/>
                <w:szCs w:val="20"/>
                <w:color w:val="auto"/>
              </w:rPr>
            </w:pPr>
            <w:r>
              <w:rPr>
                <w:rFonts w:ascii="Arial" w:cs="Arial" w:eastAsia="Arial" w:hAnsi="Arial"/>
                <w:sz w:val="12"/>
                <w:szCs w:val="12"/>
                <w:color w:val="auto"/>
              </w:rPr>
              <w:t>Other comprehensive income (loss)</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15,009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7,701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96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22,588</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20"/>
                <w:szCs w:val="20"/>
                <w:color w:val="auto"/>
              </w:rPr>
            </w:pPr>
            <w:r>
              <w:rPr>
                <w:rFonts w:ascii="Arial" w:cs="Arial" w:eastAsia="Arial" w:hAnsi="Arial"/>
                <w:sz w:val="12"/>
                <w:szCs w:val="12"/>
                <w:color w:val="auto"/>
              </w:rPr>
              <w:t>Balance at June 30, 2021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(161,225)</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w w:val="89"/>
              </w:rPr>
              <w:t>$</w:t>
            </w:r>
          </w:p>
        </w:tc>
        <w:tc>
          <w:tcPr>
            <w:tcW w:w="11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13</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(25,928)</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2"/>
                <w:szCs w:val="12"/>
                <w:color w:val="auto"/>
                <w:w w:val="94"/>
              </w:rPr>
              <w:t>(1,749)</w:t>
            </w:r>
          </w:p>
        </w:tc>
        <w:tc>
          <w:tcPr>
            <w:tcW w:w="8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(188,889)</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181"/>
              <w:spacing w:after="0"/>
              <w:rPr>
                <w:sz w:val="20"/>
                <w:szCs w:val="20"/>
                <w:color w:val="auto"/>
              </w:rPr>
            </w:pPr>
            <w:r>
              <w:rPr>
                <w:rFonts w:ascii="Arial" w:cs="Arial" w:eastAsia="Arial" w:hAnsi="Arial"/>
                <w:sz w:val="12"/>
                <w:szCs w:val="12"/>
                <w:color w:val="auto"/>
              </w:rPr>
              <w:t>15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46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7" w:name="page18"/>
    <w:bookmarkEnd w:id="1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ind w:right="540" w:firstLine="432"/>
        <w:spacing w:after="0" w:line="276" w:lineRule="auto"/>
        <w:rPr>
          <w:sz w:val="20"/>
          <w:szCs w:val="20"/>
          <w:color w:val="auto"/>
        </w:rPr>
      </w:pPr>
      <w:r>
        <w:rPr>
          <w:rFonts w:ascii="Arial" w:cs="Arial" w:eastAsia="Arial" w:hAnsi="Arial"/>
          <w:sz w:val="12"/>
          <w:szCs w:val="12"/>
          <w:color w:val="auto"/>
        </w:rPr>
        <w:t>The amount reclassified out of accumulated other comprehensive loss into the consolidated statement of operations, with presentation location, during the three and six months ended June 30, 2021 was as follows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40" w:type="dxa"/>
            <w:vAlign w:val="bottom"/>
            <w:vMerge w:val="restart"/>
          </w:tcPr>
          <w:p>
            <w:pPr>
              <w:ind w:left="740"/>
              <w:spacing w:after="0"/>
              <w:rPr>
                <w:sz w:val="20"/>
                <w:szCs w:val="20"/>
                <w:color w:val="auto"/>
              </w:rPr>
            </w:pPr>
            <w:r>
              <w:rPr>
                <w:rFonts w:ascii="Arial" w:cs="Arial" w:eastAsia="Arial" w:hAnsi="Arial"/>
                <w:sz w:val="11"/>
                <w:szCs w:val="11"/>
                <w:b w:val="1"/>
                <w:bCs w:val="1"/>
                <w:color w:val="auto"/>
              </w:rPr>
              <w:t>Other Comprehensive Income (Loss) Component</w:t>
            </w:r>
          </w:p>
        </w:tc>
        <w:tc>
          <w:tcPr>
            <w:tcW w:w="10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9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For the Three Months Ended June 30,</w:t>
            </w:r>
          </w:p>
        </w:tc>
        <w:tc>
          <w:tcPr>
            <w:tcW w:w="80" w:type="dxa"/>
            <w:vAlign w:val="bottom"/>
          </w:tcPr>
          <w:p>
            <w:pPr>
              <w:spacing w:after="0"/>
              <w:rPr>
                <w:sz w:val="10"/>
                <w:szCs w:val="10"/>
                <w:color w:val="auto"/>
              </w:rPr>
            </w:pPr>
          </w:p>
        </w:tc>
        <w:tc>
          <w:tcPr>
            <w:tcW w:w="5380" w:type="dxa"/>
            <w:vAlign w:val="bottom"/>
            <w:gridSpan w:val="4"/>
          </w:tcPr>
          <w:p>
            <w:pPr>
              <w:jc w:val="center"/>
              <w:ind w:right="3666"/>
              <w:spacing w:after="0"/>
              <w:rPr>
                <w:sz w:val="20"/>
                <w:szCs w:val="20"/>
                <w:color w:val="auto"/>
              </w:rPr>
            </w:pPr>
            <w:r>
              <w:rPr>
                <w:rFonts w:ascii="Arial" w:cs="Arial" w:eastAsia="Arial" w:hAnsi="Arial"/>
                <w:sz w:val="11"/>
                <w:szCs w:val="11"/>
                <w:b w:val="1"/>
                <w:bCs w:val="1"/>
                <w:color w:val="auto"/>
                <w:w w:val="88"/>
              </w:rPr>
              <w:t>For the Six Months Ended June 30,</w:t>
            </w:r>
          </w:p>
        </w:tc>
        <w:tc>
          <w:tcPr>
            <w:tcW w:w="0" w:type="dxa"/>
            <w:vAlign w:val="bottom"/>
          </w:tcPr>
          <w:p>
            <w:pPr>
              <w:spacing w:after="0"/>
              <w:rPr>
                <w:sz w:val="1"/>
                <w:szCs w:val="1"/>
                <w:color w:val="auto"/>
              </w:rPr>
            </w:pPr>
          </w:p>
        </w:tc>
      </w:tr>
      <w:tr>
        <w:trPr>
          <w:trHeight w:val="142"/>
        </w:trPr>
        <w:tc>
          <w:tcPr>
            <w:tcW w:w="37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tcPr>
          <w:p>
            <w:pPr>
              <w:jc w:val="right"/>
              <w:ind w:right="804"/>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2021</w:t>
            </w: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560" w:type="dxa"/>
            <w:vAlign w:val="bottom"/>
            <w:tcBorders>
              <w:bottom w:val="single" w:sz="8" w:color="auto"/>
            </w:tcBorders>
          </w:tcPr>
          <w:p>
            <w:pPr>
              <w:ind w:left="1580"/>
              <w:spacing w:after="0"/>
              <w:rPr>
                <w:sz w:val="20"/>
                <w:szCs w:val="20"/>
                <w:color w:val="auto"/>
              </w:rPr>
            </w:pPr>
            <w:r>
              <w:rPr>
                <w:rFonts w:ascii="Arial" w:cs="Arial" w:eastAsia="Arial" w:hAnsi="Arial"/>
                <w:sz w:val="11"/>
                <w:szCs w:val="11"/>
                <w:b w:val="1"/>
                <w:bCs w:val="1"/>
                <w:color w:val="auto"/>
              </w:rPr>
              <w:t>Location</w:t>
            </w:r>
          </w:p>
        </w:tc>
        <w:tc>
          <w:tcPr>
            <w:tcW w:w="0" w:type="dxa"/>
            <w:vAlign w:val="bottom"/>
          </w:tcPr>
          <w:p>
            <w:pPr>
              <w:spacing w:after="0"/>
              <w:rPr>
                <w:sz w:val="1"/>
                <w:szCs w:val="1"/>
                <w:color w:val="auto"/>
              </w:rPr>
            </w:pPr>
          </w:p>
        </w:tc>
      </w:tr>
      <w:tr>
        <w:trPr>
          <w:trHeight w:val="144"/>
        </w:trPr>
        <w:tc>
          <w:tcPr>
            <w:tcW w:w="3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Unrealized losses on interest rate hedge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(2,494)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CCEEFF"/>
          </w:tcPr>
          <w:p>
            <w:pPr>
              <w:spacing w:after="0"/>
              <w:rPr>
                <w:sz w:val="12"/>
                <w:szCs w:val="12"/>
                <w:color w:val="auto"/>
              </w:rPr>
            </w:pPr>
          </w:p>
        </w:tc>
        <w:tc>
          <w:tcPr>
            <w:tcW w:w="4220" w:type="dxa"/>
            <w:vAlign w:val="bottom"/>
            <w:gridSpan w:val="3"/>
            <w:shd w:val="clear" w:color="auto" w:fill="CCEEFF"/>
          </w:tcPr>
          <w:p>
            <w:pPr>
              <w:ind w:left="220"/>
              <w:spacing w:after="0"/>
              <w:rPr>
                <w:sz w:val="20"/>
                <w:szCs w:val="20"/>
                <w:color w:val="auto"/>
              </w:rPr>
            </w:pPr>
            <w:r>
              <w:rPr>
                <w:rFonts w:ascii="Arial" w:cs="Arial" w:eastAsia="Arial" w:hAnsi="Arial"/>
                <w:sz w:val="12"/>
                <w:szCs w:val="12"/>
                <w:color w:val="auto"/>
              </w:rPr>
              <w:t>(4,942)  Interest expense, net of interest income</w:t>
            </w: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(15) STOCK-BASED COMPENSATION</w:t>
      </w:r>
    </w:p>
    <w:p>
      <w:pPr>
        <w:spacing w:after="0" w:line="109" w:lineRule="exact"/>
        <w:rPr>
          <w:sz w:val="20"/>
          <w:szCs w:val="20"/>
          <w:color w:val="auto"/>
        </w:rPr>
      </w:pPr>
    </w:p>
    <w:p>
      <w:pPr>
        <w:ind w:right="60" w:firstLine="432"/>
        <w:spacing w:after="0" w:line="289" w:lineRule="auto"/>
        <w:rPr>
          <w:sz w:val="20"/>
          <w:szCs w:val="20"/>
          <w:color w:val="auto"/>
        </w:rPr>
      </w:pPr>
      <w:r>
        <w:rPr>
          <w:rFonts w:ascii="Arial" w:cs="Arial" w:eastAsia="Arial" w:hAnsi="Arial"/>
          <w:sz w:val="11"/>
          <w:szCs w:val="11"/>
          <w:color w:val="auto"/>
        </w:rPr>
        <w:t>Total stock-based compensation cost charged to selling, general and administrative expenses for the three and six months ended June 30, 2021 was $3.3 million and $6.8 million, respectively. Total stock-based compensation cost charged to selling, general and administrative expenses for the three and six months ended June 30, 2020 was $2.8 million and $6.1 million, respectively. The total income tax benefit recognized in the consolidated statements of operations from stock-based compensation expense for the three and six months ended June 30, 2021 was $0.8 million and $1.5 million, respectively. The total income tax benefit recognized in the consolidated statements of operations from stock-based compensation expense for the three and six months ended June 30, 2020 was $0.4 million and $1.2 million,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Restricted Stock Awards</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information about restricted stock awards for the six months ended June 30, 2021: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jc w:val="center"/>
              <w:ind w:right="162"/>
              <w:spacing w:after="0"/>
              <w:rPr>
                <w:sz w:val="20"/>
                <w:szCs w:val="20"/>
                <w:color w:val="auto"/>
              </w:rPr>
            </w:pPr>
            <w:r>
              <w:rPr>
                <w:rFonts w:ascii="Arial" w:cs="Arial" w:eastAsia="Arial" w:hAnsi="Arial"/>
                <w:sz w:val="11"/>
                <w:szCs w:val="11"/>
                <w:b w:val="1"/>
                <w:bCs w:val="1"/>
                <w:color w:val="auto"/>
                <w:w w:val="87"/>
              </w:rPr>
              <w:t>Weighted Average</w:t>
            </w:r>
          </w:p>
        </w:tc>
        <w:tc>
          <w:tcPr>
            <w:tcW w:w="0" w:type="dxa"/>
            <w:vAlign w:val="bottom"/>
          </w:tcPr>
          <w:p>
            <w:pPr>
              <w:spacing w:after="0"/>
              <w:rPr>
                <w:sz w:val="1"/>
                <w:szCs w:val="1"/>
                <w:color w:val="auto"/>
              </w:rPr>
            </w:pPr>
          </w:p>
        </w:tc>
      </w:tr>
      <w:tr>
        <w:trPr>
          <w:trHeight w:val="108"/>
        </w:trPr>
        <w:tc>
          <w:tcPr>
            <w:tcW w:w="8200" w:type="dxa"/>
            <w:vAlign w:val="bottom"/>
            <w:vMerge w:val="restart"/>
          </w:tcPr>
          <w:p>
            <w:pPr>
              <w:spacing w:after="0"/>
              <w:rPr>
                <w:sz w:val="20"/>
                <w:szCs w:val="20"/>
                <w:color w:val="auto"/>
              </w:rPr>
            </w:pPr>
            <w:r>
              <w:rPr>
                <w:rFonts w:ascii="Arial" w:cs="Arial" w:eastAsia="Arial" w:hAnsi="Arial"/>
                <w:sz w:val="11"/>
                <w:szCs w:val="11"/>
                <w:b w:val="1"/>
                <w:bCs w:val="1"/>
                <w:color w:val="auto"/>
              </w:rPr>
              <w:t>Restricted Stock</w:t>
            </w:r>
          </w:p>
        </w:tc>
        <w:tc>
          <w:tcPr>
            <w:tcW w:w="1500" w:type="dxa"/>
            <w:vAlign w:val="bottom"/>
            <w:vMerge w:val="restart"/>
          </w:tcPr>
          <w:p>
            <w:pPr>
              <w:jc w:val="right"/>
              <w:ind w:right="261"/>
              <w:spacing w:after="0"/>
              <w:rPr>
                <w:sz w:val="20"/>
                <w:szCs w:val="20"/>
                <w:color w:val="auto"/>
              </w:rPr>
            </w:pPr>
            <w:r>
              <w:rPr>
                <w:rFonts w:ascii="Arial" w:cs="Arial" w:eastAsia="Arial" w:hAnsi="Arial"/>
                <w:sz w:val="11"/>
                <w:szCs w:val="11"/>
                <w:b w:val="1"/>
                <w:bCs w:val="1"/>
                <w:color w:val="auto"/>
              </w:rPr>
              <w:t>Number of Shares</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jc w:val="center"/>
              <w:ind w:right="142"/>
              <w:spacing w:after="0" w:line="108" w:lineRule="exact"/>
              <w:rPr>
                <w:sz w:val="20"/>
                <w:szCs w:val="20"/>
                <w:color w:val="auto"/>
              </w:rPr>
            </w:pPr>
            <w:r>
              <w:rPr>
                <w:rFonts w:ascii="Arial" w:cs="Arial" w:eastAsia="Arial" w:hAnsi="Arial"/>
                <w:sz w:val="11"/>
                <w:szCs w:val="11"/>
                <w:b w:val="1"/>
                <w:bCs w:val="1"/>
                <w:color w:val="auto"/>
                <w:w w:val="94"/>
              </w:rPr>
              <w:t>Grant-Date</w:t>
            </w:r>
          </w:p>
        </w:tc>
        <w:tc>
          <w:tcPr>
            <w:tcW w:w="0" w:type="dxa"/>
            <w:vAlign w:val="bottom"/>
          </w:tcPr>
          <w:p>
            <w:pPr>
              <w:spacing w:after="0"/>
              <w:rPr>
                <w:sz w:val="1"/>
                <w:szCs w:val="1"/>
                <w:color w:val="auto"/>
              </w:rPr>
            </w:pPr>
          </w:p>
        </w:tc>
      </w:tr>
      <w:tr>
        <w:trPr>
          <w:trHeight w:val="142"/>
        </w:trPr>
        <w:tc>
          <w:tcPr>
            <w:tcW w:w="8200" w:type="dxa"/>
            <w:vAlign w:val="bottom"/>
            <w:tcBorders>
              <w:bottom w:val="single" w:sz="8" w:color="CCEEFF"/>
            </w:tcBorders>
            <w:vMerge w:val="continue"/>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ind w:right="162"/>
              <w:spacing w:after="0"/>
              <w:rPr>
                <w:sz w:val="20"/>
                <w:szCs w:val="20"/>
                <w:color w:val="auto"/>
              </w:rPr>
            </w:pPr>
            <w:r>
              <w:rPr>
                <w:rFonts w:ascii="Arial" w:cs="Arial" w:eastAsia="Arial" w:hAnsi="Arial"/>
                <w:sz w:val="11"/>
                <w:szCs w:val="11"/>
                <w:b w:val="1"/>
                <w:bCs w:val="1"/>
                <w:color w:val="auto"/>
                <w:w w:val="91"/>
              </w:rPr>
              <w:t>Fair Value</w:t>
            </w:r>
          </w:p>
        </w:tc>
        <w:tc>
          <w:tcPr>
            <w:tcW w:w="0" w:type="dxa"/>
            <w:vAlign w:val="bottom"/>
          </w:tcPr>
          <w:p>
            <w:pPr>
              <w:spacing w:after="0"/>
              <w:rPr>
                <w:sz w:val="1"/>
                <w:szCs w:val="1"/>
                <w:color w:val="auto"/>
              </w:rPr>
            </w:pPr>
          </w:p>
        </w:tc>
      </w:tr>
      <w:tr>
        <w:trPr>
          <w:trHeight w:val="144"/>
        </w:trPr>
        <w:tc>
          <w:tcPr>
            <w:tcW w:w="8200" w:type="dxa"/>
            <w:vAlign w:val="bottom"/>
            <w:shd w:val="clear" w:color="auto" w:fill="CCEEFF"/>
          </w:tcPr>
          <w:p>
            <w:pPr>
              <w:spacing w:after="0"/>
              <w:rPr>
                <w:sz w:val="20"/>
                <w:szCs w:val="20"/>
                <w:color w:val="auto"/>
              </w:rPr>
            </w:pPr>
            <w:r>
              <w:rPr>
                <w:rFonts w:ascii="Arial" w:cs="Arial" w:eastAsia="Arial" w:hAnsi="Arial"/>
                <w:sz w:val="12"/>
                <w:szCs w:val="12"/>
                <w:color w:val="auto"/>
              </w:rPr>
              <w:t>Balance at January 1, 2021</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493,879</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59.74</w:t>
            </w:r>
          </w:p>
        </w:tc>
        <w:tc>
          <w:tcPr>
            <w:tcW w:w="0" w:type="dxa"/>
            <w:vAlign w:val="bottom"/>
          </w:tcPr>
          <w:p>
            <w:pPr>
              <w:spacing w:after="0"/>
              <w:rPr>
                <w:sz w:val="1"/>
                <w:szCs w:val="1"/>
                <w:color w:val="auto"/>
              </w:rPr>
            </w:pPr>
          </w:p>
        </w:tc>
      </w:tr>
      <w:tr>
        <w:trPr>
          <w:trHeight w:val="153"/>
        </w:trPr>
        <w:tc>
          <w:tcPr>
            <w:tcW w:w="8200" w:type="dxa"/>
            <w:vAlign w:val="bottom"/>
          </w:tcPr>
          <w:p>
            <w:pPr>
              <w:spacing w:after="0"/>
              <w:rPr>
                <w:sz w:val="20"/>
                <w:szCs w:val="20"/>
                <w:color w:val="auto"/>
              </w:rPr>
            </w:pPr>
            <w:r>
              <w:rPr>
                <w:rFonts w:ascii="Arial" w:cs="Arial" w:eastAsia="Arial" w:hAnsi="Arial"/>
                <w:sz w:val="12"/>
                <w:szCs w:val="12"/>
                <w:color w:val="auto"/>
              </w:rPr>
              <w:t>Granted</w:t>
            </w:r>
          </w:p>
        </w:tc>
        <w:tc>
          <w:tcPr>
            <w:tcW w:w="1500" w:type="dxa"/>
            <w:vAlign w:val="bottom"/>
          </w:tcPr>
          <w:p>
            <w:pPr>
              <w:jc w:val="right"/>
              <w:spacing w:after="0"/>
              <w:rPr>
                <w:sz w:val="20"/>
                <w:szCs w:val="20"/>
                <w:color w:val="auto"/>
              </w:rPr>
            </w:pPr>
            <w:r>
              <w:rPr>
                <w:rFonts w:ascii="Arial" w:cs="Arial" w:eastAsia="Arial" w:hAnsi="Arial"/>
                <w:sz w:val="12"/>
                <w:szCs w:val="12"/>
                <w:color w:val="auto"/>
              </w:rPr>
              <w:t>51,354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right"/>
              <w:ind w:right="2"/>
              <w:spacing w:after="0"/>
              <w:rPr>
                <w:sz w:val="20"/>
                <w:szCs w:val="20"/>
                <w:color w:val="auto"/>
              </w:rPr>
            </w:pPr>
            <w:r>
              <w:rPr>
                <w:rFonts w:ascii="Arial" w:cs="Arial" w:eastAsia="Arial" w:hAnsi="Arial"/>
                <w:sz w:val="12"/>
                <w:szCs w:val="12"/>
                <w:color w:val="auto"/>
              </w:rPr>
              <w:t>87.86</w:t>
            </w:r>
          </w:p>
        </w:tc>
        <w:tc>
          <w:tcPr>
            <w:tcW w:w="0" w:type="dxa"/>
            <w:vAlign w:val="bottom"/>
          </w:tcPr>
          <w:p>
            <w:pPr>
              <w:spacing w:after="0"/>
              <w:rPr>
                <w:sz w:val="1"/>
                <w:szCs w:val="1"/>
                <w:color w:val="auto"/>
              </w:rPr>
            </w:pPr>
          </w:p>
        </w:tc>
      </w:tr>
      <w:tr>
        <w:trPr>
          <w:trHeight w:val="153"/>
        </w:trPr>
        <w:tc>
          <w:tcPr>
            <w:tcW w:w="8200" w:type="dxa"/>
            <w:vAlign w:val="bottom"/>
            <w:shd w:val="clear" w:color="auto" w:fill="CCEEFF"/>
          </w:tcPr>
          <w:p>
            <w:pPr>
              <w:spacing w:after="0"/>
              <w:rPr>
                <w:sz w:val="20"/>
                <w:szCs w:val="20"/>
                <w:color w:val="auto"/>
              </w:rPr>
            </w:pPr>
            <w:r>
              <w:rPr>
                <w:rFonts w:ascii="Arial" w:cs="Arial" w:eastAsia="Arial" w:hAnsi="Arial"/>
                <w:sz w:val="12"/>
                <w:szCs w:val="12"/>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(103,449)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57.35</w:t>
            </w:r>
          </w:p>
        </w:tc>
        <w:tc>
          <w:tcPr>
            <w:tcW w:w="0" w:type="dxa"/>
            <w:vAlign w:val="bottom"/>
          </w:tcPr>
          <w:p>
            <w:pPr>
              <w:spacing w:after="0"/>
              <w:rPr>
                <w:sz w:val="1"/>
                <w:szCs w:val="1"/>
                <w:color w:val="auto"/>
              </w:rPr>
            </w:pPr>
          </w:p>
        </w:tc>
      </w:tr>
      <w:tr>
        <w:trPr>
          <w:trHeight w:val="153"/>
        </w:trPr>
        <w:tc>
          <w:tcPr>
            <w:tcW w:w="82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(32,321)</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jc w:val="right"/>
              <w:ind w:right="2"/>
              <w:spacing w:after="0"/>
              <w:rPr>
                <w:sz w:val="20"/>
                <w:szCs w:val="20"/>
                <w:color w:val="auto"/>
              </w:rPr>
            </w:pPr>
            <w:r>
              <w:rPr>
                <w:rFonts w:ascii="Arial" w:cs="Arial" w:eastAsia="Arial" w:hAnsi="Arial"/>
                <w:sz w:val="12"/>
                <w:szCs w:val="12"/>
                <w:color w:val="auto"/>
              </w:rPr>
              <w:t>58.87</w:t>
            </w:r>
          </w:p>
        </w:tc>
        <w:tc>
          <w:tcPr>
            <w:tcW w:w="0" w:type="dxa"/>
            <w:vAlign w:val="bottom"/>
          </w:tcPr>
          <w:p>
            <w:pPr>
              <w:spacing w:after="0"/>
              <w:rPr>
                <w:sz w:val="1"/>
                <w:szCs w:val="1"/>
                <w:color w:val="auto"/>
              </w:rPr>
            </w:pPr>
          </w:p>
        </w:tc>
      </w:tr>
      <w:tr>
        <w:trPr>
          <w:trHeight w:val="158"/>
        </w:trPr>
        <w:tc>
          <w:tcPr>
            <w:tcW w:w="8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June 30, 2021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409,463</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63.94</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As of June 30, 2021, there was $17.8 million of total unrecognized compensation cost arising from restricted stock awards. This cost is expected to be recognized over a weighted average period of 2.5 years. The total fair value of restricted stock vested during the three and six months ended June 30, 2021 was $4.9 million and $8.9 million, respectively. The total fair value of restricted stock vested during the three and six months ended June 30, 2020 was $4.4 million and $9.7 million,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Performance Stock Awards</w:t>
      </w:r>
    </w:p>
    <w:p>
      <w:pPr>
        <w:spacing w:after="0" w:line="96" w:lineRule="exact"/>
        <w:rPr>
          <w:sz w:val="20"/>
          <w:szCs w:val="20"/>
          <w:color w:val="auto"/>
        </w:rPr>
      </w:pPr>
    </w:p>
    <w:p>
      <w:pPr>
        <w:jc w:val="both"/>
        <w:ind w:right="180" w:firstLine="432"/>
        <w:spacing w:after="0" w:line="263" w:lineRule="auto"/>
        <w:rPr>
          <w:sz w:val="20"/>
          <w:szCs w:val="20"/>
          <w:color w:val="auto"/>
        </w:rPr>
      </w:pPr>
      <w:r>
        <w:rPr>
          <w:rFonts w:ascii="Arial" w:cs="Arial" w:eastAsia="Arial" w:hAnsi="Arial"/>
          <w:sz w:val="12"/>
          <w:szCs w:val="12"/>
          <w:color w:val="auto"/>
        </w:rPr>
        <w:t>Performance stock awards are subject to performance criteria established by the Compensation Committee of the Company's Board of Directors prior to or at the date of grant. The vesting of the performance stock awards is based on achieving targets currently based on revenue, Adjusted EBITDA, Adjusted EBITDA Margin, Adjusted Free Cash Flow and Total Recordable Incident Rate. In addition, performance stock awards include continued service conditions.</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information about performance stock awards for the six months ended June 30, 2021: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jc w:val="center"/>
              <w:ind w:right="162"/>
              <w:spacing w:after="0"/>
              <w:rPr>
                <w:sz w:val="20"/>
                <w:szCs w:val="20"/>
                <w:color w:val="auto"/>
              </w:rPr>
            </w:pPr>
            <w:r>
              <w:rPr>
                <w:rFonts w:ascii="Arial" w:cs="Arial" w:eastAsia="Arial" w:hAnsi="Arial"/>
                <w:sz w:val="11"/>
                <w:szCs w:val="11"/>
                <w:b w:val="1"/>
                <w:bCs w:val="1"/>
                <w:color w:val="auto"/>
                <w:w w:val="87"/>
              </w:rPr>
              <w:t>Weighted Average</w:t>
            </w:r>
          </w:p>
        </w:tc>
        <w:tc>
          <w:tcPr>
            <w:tcW w:w="0" w:type="dxa"/>
            <w:vAlign w:val="bottom"/>
          </w:tcPr>
          <w:p>
            <w:pPr>
              <w:spacing w:after="0"/>
              <w:rPr>
                <w:sz w:val="1"/>
                <w:szCs w:val="1"/>
                <w:color w:val="auto"/>
              </w:rPr>
            </w:pPr>
          </w:p>
        </w:tc>
      </w:tr>
      <w:tr>
        <w:trPr>
          <w:trHeight w:val="108"/>
        </w:trPr>
        <w:tc>
          <w:tcPr>
            <w:tcW w:w="8200" w:type="dxa"/>
            <w:vAlign w:val="bottom"/>
            <w:vMerge w:val="restart"/>
          </w:tcPr>
          <w:p>
            <w:pPr>
              <w:spacing w:after="0"/>
              <w:rPr>
                <w:sz w:val="20"/>
                <w:szCs w:val="20"/>
                <w:color w:val="auto"/>
              </w:rPr>
            </w:pPr>
            <w:r>
              <w:rPr>
                <w:rFonts w:ascii="Arial" w:cs="Arial" w:eastAsia="Arial" w:hAnsi="Arial"/>
                <w:sz w:val="11"/>
                <w:szCs w:val="11"/>
                <w:b w:val="1"/>
                <w:bCs w:val="1"/>
                <w:color w:val="auto"/>
              </w:rPr>
              <w:t>Performance Stock</w:t>
            </w:r>
          </w:p>
        </w:tc>
        <w:tc>
          <w:tcPr>
            <w:tcW w:w="1500" w:type="dxa"/>
            <w:vAlign w:val="bottom"/>
            <w:vMerge w:val="restart"/>
          </w:tcPr>
          <w:p>
            <w:pPr>
              <w:jc w:val="right"/>
              <w:ind w:right="261"/>
              <w:spacing w:after="0"/>
              <w:rPr>
                <w:sz w:val="20"/>
                <w:szCs w:val="20"/>
                <w:color w:val="auto"/>
              </w:rPr>
            </w:pPr>
            <w:r>
              <w:rPr>
                <w:rFonts w:ascii="Arial" w:cs="Arial" w:eastAsia="Arial" w:hAnsi="Arial"/>
                <w:sz w:val="11"/>
                <w:szCs w:val="11"/>
                <w:b w:val="1"/>
                <w:bCs w:val="1"/>
                <w:color w:val="auto"/>
              </w:rPr>
              <w:t>Number of Shares</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jc w:val="center"/>
              <w:ind w:right="142"/>
              <w:spacing w:after="0" w:line="108" w:lineRule="exact"/>
              <w:rPr>
                <w:sz w:val="20"/>
                <w:szCs w:val="20"/>
                <w:color w:val="auto"/>
              </w:rPr>
            </w:pPr>
            <w:r>
              <w:rPr>
                <w:rFonts w:ascii="Arial" w:cs="Arial" w:eastAsia="Arial" w:hAnsi="Arial"/>
                <w:sz w:val="11"/>
                <w:szCs w:val="11"/>
                <w:b w:val="1"/>
                <w:bCs w:val="1"/>
                <w:color w:val="auto"/>
                <w:w w:val="94"/>
              </w:rPr>
              <w:t>Grant-Date</w:t>
            </w:r>
          </w:p>
        </w:tc>
        <w:tc>
          <w:tcPr>
            <w:tcW w:w="0" w:type="dxa"/>
            <w:vAlign w:val="bottom"/>
          </w:tcPr>
          <w:p>
            <w:pPr>
              <w:spacing w:after="0"/>
              <w:rPr>
                <w:sz w:val="1"/>
                <w:szCs w:val="1"/>
                <w:color w:val="auto"/>
              </w:rPr>
            </w:pPr>
          </w:p>
        </w:tc>
      </w:tr>
      <w:tr>
        <w:trPr>
          <w:trHeight w:val="142"/>
        </w:trPr>
        <w:tc>
          <w:tcPr>
            <w:tcW w:w="8200" w:type="dxa"/>
            <w:vAlign w:val="bottom"/>
            <w:tcBorders>
              <w:bottom w:val="single" w:sz="8" w:color="CCEEFF"/>
            </w:tcBorders>
            <w:vMerge w:val="continue"/>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ind w:right="162"/>
              <w:spacing w:after="0"/>
              <w:rPr>
                <w:sz w:val="20"/>
                <w:szCs w:val="20"/>
                <w:color w:val="auto"/>
              </w:rPr>
            </w:pPr>
            <w:r>
              <w:rPr>
                <w:rFonts w:ascii="Arial" w:cs="Arial" w:eastAsia="Arial" w:hAnsi="Arial"/>
                <w:sz w:val="11"/>
                <w:szCs w:val="11"/>
                <w:b w:val="1"/>
                <w:bCs w:val="1"/>
                <w:color w:val="auto"/>
                <w:w w:val="91"/>
              </w:rPr>
              <w:t>Fair Value</w:t>
            </w:r>
          </w:p>
        </w:tc>
        <w:tc>
          <w:tcPr>
            <w:tcW w:w="0" w:type="dxa"/>
            <w:vAlign w:val="bottom"/>
          </w:tcPr>
          <w:p>
            <w:pPr>
              <w:spacing w:after="0"/>
              <w:rPr>
                <w:sz w:val="1"/>
                <w:szCs w:val="1"/>
                <w:color w:val="auto"/>
              </w:rPr>
            </w:pPr>
          </w:p>
        </w:tc>
      </w:tr>
      <w:tr>
        <w:trPr>
          <w:trHeight w:val="144"/>
        </w:trPr>
        <w:tc>
          <w:tcPr>
            <w:tcW w:w="8200" w:type="dxa"/>
            <w:vAlign w:val="bottom"/>
            <w:shd w:val="clear" w:color="auto" w:fill="CCEEFF"/>
          </w:tcPr>
          <w:p>
            <w:pPr>
              <w:spacing w:after="0"/>
              <w:rPr>
                <w:sz w:val="20"/>
                <w:szCs w:val="20"/>
                <w:color w:val="auto"/>
              </w:rPr>
            </w:pPr>
            <w:r>
              <w:rPr>
                <w:rFonts w:ascii="Arial" w:cs="Arial" w:eastAsia="Arial" w:hAnsi="Arial"/>
                <w:sz w:val="12"/>
                <w:szCs w:val="12"/>
                <w:color w:val="auto"/>
              </w:rPr>
              <w:t>Balance at January 1, 2021</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254,449</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61.75</w:t>
            </w:r>
          </w:p>
        </w:tc>
        <w:tc>
          <w:tcPr>
            <w:tcW w:w="0" w:type="dxa"/>
            <w:vAlign w:val="bottom"/>
          </w:tcPr>
          <w:p>
            <w:pPr>
              <w:spacing w:after="0"/>
              <w:rPr>
                <w:sz w:val="1"/>
                <w:szCs w:val="1"/>
                <w:color w:val="auto"/>
              </w:rPr>
            </w:pPr>
          </w:p>
        </w:tc>
      </w:tr>
      <w:tr>
        <w:trPr>
          <w:trHeight w:val="153"/>
        </w:trPr>
        <w:tc>
          <w:tcPr>
            <w:tcW w:w="8200" w:type="dxa"/>
            <w:vAlign w:val="bottom"/>
          </w:tcPr>
          <w:p>
            <w:pPr>
              <w:spacing w:after="0"/>
              <w:rPr>
                <w:sz w:val="20"/>
                <w:szCs w:val="20"/>
                <w:color w:val="auto"/>
              </w:rPr>
            </w:pPr>
            <w:r>
              <w:rPr>
                <w:rFonts w:ascii="Arial" w:cs="Arial" w:eastAsia="Arial" w:hAnsi="Arial"/>
                <w:sz w:val="12"/>
                <w:szCs w:val="12"/>
                <w:color w:val="auto"/>
              </w:rPr>
              <w:t>Granted</w:t>
            </w:r>
          </w:p>
        </w:tc>
        <w:tc>
          <w:tcPr>
            <w:tcW w:w="1500" w:type="dxa"/>
            <w:vAlign w:val="bottom"/>
          </w:tcPr>
          <w:p>
            <w:pPr>
              <w:jc w:val="right"/>
              <w:spacing w:after="0"/>
              <w:rPr>
                <w:sz w:val="20"/>
                <w:szCs w:val="20"/>
                <w:color w:val="auto"/>
              </w:rPr>
            </w:pPr>
            <w:r>
              <w:rPr>
                <w:rFonts w:ascii="Arial" w:cs="Arial" w:eastAsia="Arial" w:hAnsi="Arial"/>
                <w:sz w:val="12"/>
                <w:szCs w:val="12"/>
                <w:color w:val="auto"/>
              </w:rPr>
              <w:t>5,897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right"/>
              <w:ind w:right="2"/>
              <w:spacing w:after="0"/>
              <w:rPr>
                <w:sz w:val="20"/>
                <w:szCs w:val="20"/>
                <w:color w:val="auto"/>
              </w:rPr>
            </w:pPr>
            <w:r>
              <w:rPr>
                <w:rFonts w:ascii="Arial" w:cs="Arial" w:eastAsia="Arial" w:hAnsi="Arial"/>
                <w:sz w:val="12"/>
                <w:szCs w:val="12"/>
                <w:color w:val="auto"/>
              </w:rPr>
              <w:t>86.15</w:t>
            </w:r>
          </w:p>
        </w:tc>
        <w:tc>
          <w:tcPr>
            <w:tcW w:w="0" w:type="dxa"/>
            <w:vAlign w:val="bottom"/>
          </w:tcPr>
          <w:p>
            <w:pPr>
              <w:spacing w:after="0"/>
              <w:rPr>
                <w:sz w:val="1"/>
                <w:szCs w:val="1"/>
                <w:color w:val="auto"/>
              </w:rPr>
            </w:pPr>
          </w:p>
        </w:tc>
      </w:tr>
      <w:tr>
        <w:trPr>
          <w:trHeight w:val="153"/>
        </w:trPr>
        <w:tc>
          <w:tcPr>
            <w:tcW w:w="8200" w:type="dxa"/>
            <w:vAlign w:val="bottom"/>
            <w:shd w:val="clear" w:color="auto" w:fill="CCEEFF"/>
          </w:tcPr>
          <w:p>
            <w:pPr>
              <w:spacing w:after="0"/>
              <w:rPr>
                <w:sz w:val="20"/>
                <w:szCs w:val="20"/>
                <w:color w:val="auto"/>
              </w:rPr>
            </w:pPr>
            <w:r>
              <w:rPr>
                <w:rFonts w:ascii="Arial" w:cs="Arial" w:eastAsia="Arial" w:hAnsi="Arial"/>
                <w:sz w:val="12"/>
                <w:szCs w:val="12"/>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(71,815)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62.27</w:t>
            </w:r>
          </w:p>
        </w:tc>
        <w:tc>
          <w:tcPr>
            <w:tcW w:w="0" w:type="dxa"/>
            <w:vAlign w:val="bottom"/>
          </w:tcPr>
          <w:p>
            <w:pPr>
              <w:spacing w:after="0"/>
              <w:rPr>
                <w:sz w:val="1"/>
                <w:szCs w:val="1"/>
                <w:color w:val="auto"/>
              </w:rPr>
            </w:pPr>
          </w:p>
        </w:tc>
      </w:tr>
      <w:tr>
        <w:trPr>
          <w:trHeight w:val="153"/>
        </w:trPr>
        <w:tc>
          <w:tcPr>
            <w:tcW w:w="82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(20,003)</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jc w:val="right"/>
              <w:ind w:right="2"/>
              <w:spacing w:after="0"/>
              <w:rPr>
                <w:sz w:val="20"/>
                <w:szCs w:val="20"/>
                <w:color w:val="auto"/>
              </w:rPr>
            </w:pPr>
            <w:r>
              <w:rPr>
                <w:rFonts w:ascii="Arial" w:cs="Arial" w:eastAsia="Arial" w:hAnsi="Arial"/>
                <w:sz w:val="12"/>
                <w:szCs w:val="12"/>
                <w:color w:val="auto"/>
              </w:rPr>
              <w:t>61.54</w:t>
            </w:r>
          </w:p>
        </w:tc>
        <w:tc>
          <w:tcPr>
            <w:tcW w:w="0" w:type="dxa"/>
            <w:vAlign w:val="bottom"/>
          </w:tcPr>
          <w:p>
            <w:pPr>
              <w:spacing w:after="0"/>
              <w:rPr>
                <w:sz w:val="1"/>
                <w:szCs w:val="1"/>
                <w:color w:val="auto"/>
              </w:rPr>
            </w:pPr>
          </w:p>
        </w:tc>
      </w:tr>
      <w:tr>
        <w:trPr>
          <w:trHeight w:val="158"/>
        </w:trPr>
        <w:tc>
          <w:tcPr>
            <w:tcW w:w="8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June 30, 2021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168,528</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62.41</w:t>
            </w:r>
          </w:p>
        </w:tc>
        <w:tc>
          <w:tcPr>
            <w:tcW w:w="0" w:type="dxa"/>
            <w:vAlign w:val="bottom"/>
          </w:tcPr>
          <w:p>
            <w:pPr>
              <w:spacing w:after="0"/>
              <w:rPr>
                <w:sz w:val="1"/>
                <w:szCs w:val="1"/>
                <w:color w:val="auto"/>
              </w:rPr>
            </w:pPr>
          </w:p>
        </w:tc>
      </w:tr>
    </w:tbl>
    <w:p>
      <w:pPr>
        <w:spacing w:after="0" w:line="297" w:lineRule="exact"/>
        <w:rPr>
          <w:sz w:val="20"/>
          <w:szCs w:val="20"/>
          <w:color w:val="auto"/>
        </w:rPr>
      </w:pPr>
    </w:p>
    <w:p>
      <w:pPr>
        <w:jc w:val="both"/>
        <w:ind w:right="40" w:firstLine="432"/>
        <w:spacing w:after="0" w:line="323" w:lineRule="auto"/>
        <w:rPr>
          <w:sz w:val="20"/>
          <w:szCs w:val="20"/>
          <w:color w:val="auto"/>
        </w:rPr>
      </w:pPr>
      <w:r>
        <w:rPr>
          <w:rFonts w:ascii="Arial" w:cs="Arial" w:eastAsia="Arial" w:hAnsi="Arial"/>
          <w:sz w:val="11"/>
          <w:szCs w:val="11"/>
          <w:color w:val="auto"/>
        </w:rPr>
        <w:t>As of June 30, 2021, there was $1.8 million of total unrecognized compensation cost arising from unvested performance stock awards deemed probable of vesting. No performance awards vested during the three months ended June 30, 2021 and June 30, 2020. The total fair value of performance awards vested during the six months ended June 30, 2021 and June 30, 2020 was $6.4 million and $1.3 million, respectively.</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8" w:name="page19"/>
    <w:bookmarkEnd w:id="1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(16) COMMITMENTS AND CONTINGENCIES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Legal and Administrative Proceedings</w:t>
      </w:r>
    </w:p>
    <w:p>
      <w:pPr>
        <w:spacing w:after="0" w:line="96" w:lineRule="exact"/>
        <w:rPr>
          <w:sz w:val="20"/>
          <w:szCs w:val="20"/>
          <w:color w:val="auto"/>
        </w:rPr>
      </w:pPr>
    </w:p>
    <w:p>
      <w:pPr>
        <w:ind w:right="20" w:firstLine="432"/>
        <w:spacing w:after="0" w:line="283" w:lineRule="auto"/>
        <w:rPr>
          <w:sz w:val="20"/>
          <w:szCs w:val="20"/>
          <w:color w:val="auto"/>
        </w:rPr>
      </w:pPr>
      <w:r>
        <w:rPr>
          <w:rFonts w:ascii="Arial" w:cs="Arial" w:eastAsia="Arial" w:hAnsi="Arial"/>
          <w:sz w:val="11"/>
          <w:szCs w:val="11"/>
          <w:color w:val="auto"/>
        </w:rPr>
        <w:t>The Company and its subsidiaries are subject to legal proceedings and claims arising in the ordinary course of business. Actions filed against the Company arise from commercial and employment-related claims including alleged class actions related to sales practices and wage and hour claims. The plaintiffs in these actions may be seeking damages or injunctive relief or both. These actions are in various jurisdictions and stages of proceedings, and some are covered in part by insurance. In addition, the Company’s waste management services operations are regulated by federal, state, provincial and local laws enacted to regulate discharge of materials into the environment, remediation of contaminated soil and groundwater or otherwise protect the environment. This ongoing regulation results in the Company frequently becoming a party to legal or administrative proceedings involving all levels of governmental authorities and other interested parties. The issues involved in such proceedings generally relate to alleged violations of existing permits and licenses or alleged responsibility under federal or state Superfund laws to remediate contamination at properties owned either by the Company or by other parties (“third-party sites”) to which either the Company or the prior owners of certain of the Company’s facilities shipped waste.</w:t>
      </w:r>
    </w:p>
    <w:p>
      <w:pPr>
        <w:spacing w:after="0" w:line="68" w:lineRule="exact"/>
        <w:rPr>
          <w:sz w:val="20"/>
          <w:szCs w:val="20"/>
          <w:color w:val="auto"/>
        </w:rPr>
      </w:pPr>
    </w:p>
    <w:p>
      <w:pPr>
        <w:ind w:right="80" w:firstLine="432"/>
        <w:spacing w:after="0" w:line="254" w:lineRule="auto"/>
        <w:rPr>
          <w:sz w:val="20"/>
          <w:szCs w:val="20"/>
          <w:color w:val="auto"/>
        </w:rPr>
      </w:pPr>
      <w:r>
        <w:rPr>
          <w:rFonts w:ascii="Arial" w:cs="Arial" w:eastAsia="Arial" w:hAnsi="Arial"/>
          <w:sz w:val="12"/>
          <w:szCs w:val="12"/>
          <w:color w:val="auto"/>
        </w:rPr>
        <w:t>At June 30, 2021 and December 31, 2020, the Company had recorded reserves of $31.8 million and $29.8 million, respectively, in the Company's financial statements for actual or probable liabilities related to the legal and administrative proceedings in which the Company was then involved, the principal of which are described below. In management's opinion, it is not reasonably possible that the potential liability beyond what has been recorded, if any, that may result from these actions, either individually or collectively, will have a material effect on our financial position, results of operations or cash flows. The Company periodically adjusts the aggregate amount of these reserves when actual or probable liabilities are paid or otherwise discharged, new claims arise or additional relevant information about existing or probable claims becomes available. As of June 30, 2021 and December 31, 2020, the $31.8 million and $29.8 million, respectively, of reserves consisted of (i) $23.6 million and $24.0 million, respectively, related to pending legal or administrative proceedings, including Superfund liabilities, which were included in remedial liabilities on the consolidated balance sheets, and (ii) $8.2 million and $5.8 million, respectively, primarily related to federal, state and provincial enforcement actions, which were included in accrued expenses on the consolidated balance sheets.</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June 30, 2021, the principal legal and administrative proceedings in which the Company was involved, or which had been terminated during 2021, were as follows:</w:t>
      </w:r>
    </w:p>
    <w:p>
      <w:pPr>
        <w:spacing w:after="0" w:line="96" w:lineRule="exact"/>
        <w:rPr>
          <w:sz w:val="20"/>
          <w:szCs w:val="20"/>
          <w:color w:val="auto"/>
        </w:rPr>
      </w:pPr>
    </w:p>
    <w:p>
      <w:pPr>
        <w:ind w:right="40" w:firstLine="432"/>
        <w:spacing w:after="0" w:line="311" w:lineRule="auto"/>
        <w:rPr>
          <w:sz w:val="20"/>
          <w:szCs w:val="20"/>
          <w:color w:val="auto"/>
        </w:rPr>
      </w:pPr>
      <w:r>
        <w:rPr>
          <w:rFonts w:ascii="Arial" w:cs="Arial" w:eastAsia="Arial" w:hAnsi="Arial"/>
          <w:sz w:val="10"/>
          <w:szCs w:val="10"/>
          <w:i w:val="1"/>
          <w:iCs w:val="1"/>
          <w:color w:val="auto"/>
        </w:rPr>
        <w:t xml:space="preserve">Ville Mercier. </w:t>
      </w:r>
      <w:r>
        <w:rPr>
          <w:rFonts w:ascii="Arial" w:cs="Arial" w:eastAsia="Arial" w:hAnsi="Arial"/>
          <w:sz w:val="10"/>
          <w:szCs w:val="10"/>
          <w:color w:val="auto"/>
        </w:rPr>
        <w:t>In September 2002, the Company acquired the stock of a subsidiary (the "Mercier Subsidiary") which owns a hazardous waste incinerator in Ville Mercier, Quebec (the "Mercier Facility"). The property adjacent</w:t>
      </w:r>
      <w:r>
        <w:rPr>
          <w:rFonts w:ascii="Arial" w:cs="Arial" w:eastAsia="Arial" w:hAnsi="Arial"/>
          <w:sz w:val="10"/>
          <w:szCs w:val="10"/>
          <w:i w:val="1"/>
          <w:iCs w:val="1"/>
          <w:color w:val="auto"/>
        </w:rPr>
        <w:t xml:space="preserve"> </w:t>
      </w:r>
      <w:r>
        <w:rPr>
          <w:rFonts w:ascii="Arial" w:cs="Arial" w:eastAsia="Arial" w:hAnsi="Arial"/>
          <w:sz w:val="10"/>
          <w:szCs w:val="10"/>
          <w:color w:val="auto"/>
        </w:rPr>
        <w:t>to the Mercier Facility, which is also owned by the Mercier Subsidiary, is now contaminated as a result of actions dating back to 1968, when the Government of Quebec issued two permits to dump organic liquids into lagoons on the property to a company unrelated to the Mercier Subsidiary. In 1999, Ville Mercier and three neighboring municipalities filed separate legal proceedings against the Mercier Subsidiary and the Government of Quebec. In 2012, the municipalities amended their existing statement of claim to seek $2.9 million (CAD) in general damages and $10.0 million (CAD) in punitive damages, plus interest and costs, as well as injunctive relief. Both the Government of Quebec and the Company have filed summary judgment motions against the municipalities. The parties are attempting to negotiate a resolution and hearings on the motions have been delayed. In September 2007, the Quebec Minister of Sustainable Development, Environment and Parks issued a notice pursuant to Section 115.1 of the Environment Quality Act, superseding notices issued in 1992, which are the subject of the pending litigation. The more recent notice notifies the Mercier Subsidiary that, if the Mercier Subsidiary does not take certain remedial measures at the site, the Minister intends to undertake those measures at the site and claim direct and indirect costs related to such measures. The Company has accrued for costs expected to be incurred relative to the resolution of this matter and believes this matter will not have future material effect on its financial position, results of operations or cash flows.</w:t>
      </w:r>
    </w:p>
    <w:p>
      <w:pPr>
        <w:spacing w:after="0" w:line="59"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i w:val="1"/>
          <w:iCs w:val="1"/>
          <w:color w:val="auto"/>
        </w:rPr>
        <w:t xml:space="preserve">Safety-Kleen Legal Proceedings. </w:t>
      </w:r>
      <w:r>
        <w:rPr>
          <w:rFonts w:ascii="Arial" w:cs="Arial" w:eastAsia="Arial" w:hAnsi="Arial"/>
          <w:sz w:val="12"/>
          <w:szCs w:val="12"/>
          <w:color w:val="auto"/>
        </w:rPr>
        <w:t>On December 28, 2012, the Company acquired Safety-Kleen, Inc. ("Safety-Kleen") and thereby became subject to the legal proceedings in which Safety-Kleen was a party on that date. In</w:t>
      </w:r>
      <w:r>
        <w:rPr>
          <w:rFonts w:ascii="Arial" w:cs="Arial" w:eastAsia="Arial" w:hAnsi="Arial"/>
          <w:sz w:val="12"/>
          <w:szCs w:val="12"/>
          <w:i w:val="1"/>
          <w:iCs w:val="1"/>
          <w:color w:val="auto"/>
        </w:rPr>
        <w:t xml:space="preserve"> </w:t>
      </w:r>
      <w:r>
        <w:rPr>
          <w:rFonts w:ascii="Arial" w:cs="Arial" w:eastAsia="Arial" w:hAnsi="Arial"/>
          <w:sz w:val="12"/>
          <w:szCs w:val="12"/>
          <w:color w:val="auto"/>
        </w:rPr>
        <w:t>addition to certain Superfund proceedings in which Safety-Kleen has been named as a potentially responsible party as described below under “Superfund Proceedings,” the principal such legal proceedings involving Safety-Kleen which were outstanding as of June 30, 2021 were as follows:</w:t>
      </w:r>
    </w:p>
    <w:p>
      <w:pPr>
        <w:spacing w:after="0" w:line="77" w:lineRule="exact"/>
        <w:rPr>
          <w:sz w:val="20"/>
          <w:szCs w:val="20"/>
          <w:color w:val="auto"/>
        </w:rPr>
      </w:pPr>
    </w:p>
    <w:p>
      <w:pPr>
        <w:ind w:right="40" w:firstLine="432"/>
        <w:spacing w:after="0" w:line="298" w:lineRule="auto"/>
        <w:rPr>
          <w:sz w:val="20"/>
          <w:szCs w:val="20"/>
          <w:color w:val="auto"/>
        </w:rPr>
      </w:pPr>
      <w:r>
        <w:rPr>
          <w:rFonts w:ascii="Arial" w:cs="Arial" w:eastAsia="Arial" w:hAnsi="Arial"/>
          <w:sz w:val="11"/>
          <w:szCs w:val="11"/>
          <w:i w:val="1"/>
          <w:iCs w:val="1"/>
          <w:color w:val="auto"/>
        </w:rPr>
        <w:t xml:space="preserve">Product Liability Cases. </w:t>
      </w:r>
      <w:r>
        <w:rPr>
          <w:rFonts w:ascii="Arial" w:cs="Arial" w:eastAsia="Arial" w:hAnsi="Arial"/>
          <w:sz w:val="11"/>
          <w:szCs w:val="11"/>
          <w:color w:val="auto"/>
        </w:rPr>
        <w:t>Safety-Kleen has been named as a defendant in various lawsuits that are currently pending in various courts and jurisdictions throughout the United States, including approximately 67 proceedings</w:t>
      </w:r>
      <w:r>
        <w:rPr>
          <w:rFonts w:ascii="Arial" w:cs="Arial" w:eastAsia="Arial" w:hAnsi="Arial"/>
          <w:sz w:val="11"/>
          <w:szCs w:val="11"/>
          <w:i w:val="1"/>
          <w:iCs w:val="1"/>
          <w:color w:val="auto"/>
        </w:rPr>
        <w:t xml:space="preserve"> </w:t>
      </w:r>
      <w:r>
        <w:rPr>
          <w:rFonts w:ascii="Arial" w:cs="Arial" w:eastAsia="Arial" w:hAnsi="Arial"/>
          <w:sz w:val="11"/>
          <w:szCs w:val="11"/>
          <w:color w:val="auto"/>
        </w:rPr>
        <w:t>(excluding cases which have been settled but not formally dismissed) as of June 30, 2021, wherein persons claim personal injury resulting from the use of Safety-Kleen's parts washer equipment or cleaning products. These proceedings typically involve allegations that the solvent used in Safety-Kleen's parts washer equipment contains contaminants and/or that Safety-Kleen's recycling process does not effectively remove the</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9" w:name="page20"/>
    <w:bookmarkEnd w:id="1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contaminants that become entrained in the solvent during their use. In addition, certain claimants assert that Safety-Kleen failed to adequately warn the product user of potential risks, including a historic failure to warn that solvent contains trace amounts of toxic or hazardous substances such as benzene.</w:t>
      </w:r>
    </w:p>
    <w:p>
      <w:pPr>
        <w:spacing w:after="0" w:line="61" w:lineRule="exact"/>
        <w:rPr>
          <w:sz w:val="20"/>
          <w:szCs w:val="20"/>
          <w:color w:val="auto"/>
        </w:rPr>
      </w:pPr>
    </w:p>
    <w:p>
      <w:pPr>
        <w:ind w:right="20" w:firstLine="432"/>
        <w:spacing w:after="0" w:line="255" w:lineRule="auto"/>
        <w:rPr>
          <w:sz w:val="20"/>
          <w:szCs w:val="20"/>
          <w:color w:val="auto"/>
        </w:rPr>
      </w:pPr>
      <w:r>
        <w:rPr>
          <w:rFonts w:ascii="Arial" w:cs="Arial" w:eastAsia="Arial" w:hAnsi="Arial"/>
          <w:sz w:val="12"/>
          <w:szCs w:val="12"/>
          <w:color w:val="auto"/>
        </w:rPr>
        <w:t>The Company maintains insurance that it believes will provide coverage for these product liability claims (over amounts accrued for self-insured retentions and deductibles in certain limited cases), except for punitive damages to the extent not insurable under state law or excluded from insurance coverage. The Company also believes that these claims lack merit and has historically vigorously defended, and intends to continue to vigorously defend, itself and the safety of its products against all these claims. Such matters are subject to many uncertainties and outcomes are not predictable with assurance. Consequently, the Company is unable to ascertain the ultimate aggregate amount of monetary liability or financial impact with respect to these matters as of June 30, 2021. From January 1, 2021 to June 30, 2021, 11 product liability claims were settled or dismissed. Due to the nature of these claims and the related insurance, the Company did not incur any expense as insurance provided coverage in full for all such claims. Safety-Kleen may be named in similar, additional lawsuits in the future, including claims for which insurance coverage may not be available.</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Superfund Proceedings</w:t>
      </w:r>
    </w:p>
    <w:p>
      <w:pPr>
        <w:spacing w:after="0" w:line="105" w:lineRule="exact"/>
        <w:rPr>
          <w:sz w:val="20"/>
          <w:szCs w:val="20"/>
          <w:color w:val="auto"/>
        </w:rPr>
      </w:pPr>
    </w:p>
    <w:p>
      <w:pPr>
        <w:ind w:right="20" w:firstLine="432"/>
        <w:spacing w:after="0" w:line="289" w:lineRule="auto"/>
        <w:rPr>
          <w:sz w:val="20"/>
          <w:szCs w:val="20"/>
          <w:color w:val="auto"/>
        </w:rPr>
      </w:pPr>
      <w:r>
        <w:rPr>
          <w:rFonts w:ascii="Arial" w:cs="Arial" w:eastAsia="Arial" w:hAnsi="Arial"/>
          <w:sz w:val="11"/>
          <w:szCs w:val="11"/>
          <w:color w:val="auto"/>
        </w:rPr>
        <w:t>The Company has been notified that either the Company or the prior owners of certain of the Company's facilities for which the Company may have certain indemnification obligations have been identified as potentially responsible parties ("PRPs") or potential PRPs in connection with 131 sites which are subject to or are proposed to become subject to proceedings under federal or state Superfund laws. Of the 131 Superfund related sites, six (including the BR Facility described below) involve facilities that are now owned or leased by the Company and 125 involve third-party sites to which either the Company or the prior owners of certain of the Company’s facilities shipped wastes. Of the 125 third-party sites, 31 are now settled, 15 are currently requiring expenditures on remediation and 79 are not currently requiring expenditures on remediation.</w:t>
      </w:r>
    </w:p>
    <w:p>
      <w:pPr>
        <w:spacing w:after="0" w:line="57" w:lineRule="exact"/>
        <w:rPr>
          <w:sz w:val="20"/>
          <w:szCs w:val="20"/>
          <w:color w:val="auto"/>
        </w:rPr>
      </w:pPr>
    </w:p>
    <w:p>
      <w:pPr>
        <w:ind w:right="120" w:firstLine="432"/>
        <w:spacing w:after="0" w:line="320" w:lineRule="auto"/>
        <w:rPr>
          <w:sz w:val="20"/>
          <w:szCs w:val="20"/>
          <w:color w:val="auto"/>
        </w:rPr>
      </w:pPr>
      <w:r>
        <w:rPr>
          <w:rFonts w:ascii="Arial" w:cs="Arial" w:eastAsia="Arial" w:hAnsi="Arial"/>
          <w:sz w:val="10"/>
          <w:szCs w:val="10"/>
          <w:color w:val="auto"/>
        </w:rPr>
        <w:t>In connection with each site, the Company has estimated the extent, if any, to which it may be subject, either directly or as a result of any indemnification obligations, for cleanup and remediation costs, related legal and consulting costs associated with PRP investigations, settlements and related legal and administrative proceedings. The amount of such actual and potential liability is inherently difficult to estimate because of, among other relevant factors, uncertainties as to the legal liability, if any, of the Company or the prior owners of certain of the Company's facilities to contribute a portion of the cleanup costs, the assumptions that must be made in calculating the estimated cost and timing of remediation, the identification of other PRPs and their respective capability and obligation to contribute to remediation efforts and the existence and legal standing of indemnification agreements, if any, with prior owners, which may either benefit the Company or subject the Company to potential indemnification obligations. The Company believes its potential liability could exceed $1.0 million at three of the 131 Superfund related sites.</w:t>
      </w:r>
    </w:p>
    <w:p>
      <w:pPr>
        <w:spacing w:after="0" w:line="52" w:lineRule="exact"/>
        <w:rPr>
          <w:sz w:val="20"/>
          <w:szCs w:val="20"/>
          <w:color w:val="auto"/>
        </w:rPr>
      </w:pPr>
    </w:p>
    <w:p>
      <w:pPr>
        <w:ind w:firstLine="432"/>
        <w:spacing w:after="0" w:line="279" w:lineRule="auto"/>
        <w:rPr>
          <w:sz w:val="20"/>
          <w:szCs w:val="20"/>
          <w:color w:val="auto"/>
        </w:rPr>
      </w:pPr>
      <w:r>
        <w:rPr>
          <w:rFonts w:ascii="Arial" w:cs="Arial" w:eastAsia="Arial" w:hAnsi="Arial"/>
          <w:sz w:val="11"/>
          <w:szCs w:val="11"/>
          <w:i w:val="1"/>
          <w:iCs w:val="1"/>
          <w:color w:val="auto"/>
        </w:rPr>
        <w:t xml:space="preserve">BR Facility. </w:t>
      </w:r>
      <w:r>
        <w:rPr>
          <w:rFonts w:ascii="Arial" w:cs="Arial" w:eastAsia="Arial" w:hAnsi="Arial"/>
          <w:sz w:val="11"/>
          <w:szCs w:val="11"/>
          <w:color w:val="auto"/>
        </w:rPr>
        <w:t>The Company acquired in 2002 a former hazardous waste incinerator and landfill in Baton Rouge (the "BR Facility"), for which operations had been previously discontinued by the prior owner. In September 2007,</w:t>
      </w:r>
      <w:r>
        <w:rPr>
          <w:rFonts w:ascii="Arial" w:cs="Arial" w:eastAsia="Arial" w:hAnsi="Arial"/>
          <w:sz w:val="11"/>
          <w:szCs w:val="11"/>
          <w:i w:val="1"/>
          <w:iCs w:val="1"/>
          <w:color w:val="auto"/>
        </w:rPr>
        <w:t xml:space="preserve"> </w:t>
      </w:r>
      <w:r>
        <w:rPr>
          <w:rFonts w:ascii="Arial" w:cs="Arial" w:eastAsia="Arial" w:hAnsi="Arial"/>
          <w:sz w:val="11"/>
          <w:szCs w:val="11"/>
          <w:color w:val="auto"/>
        </w:rPr>
        <w:t>the U.S. Environmental Protection Agency ("EPA") issued a special notice letter to the Company related to the Devil's Swamp Lake Site ("Devil's Swamp") in East Baton Rouge Parish, Louisiana. Devil's Swamp includes a lake located downstream of an outfall ditch where wastewater and storm water have been discharged, and Devil's Swamp is proposed to be included on the National Priorities List due to the presence of Contaminants of Concern ("COC") cited by the EPA. These COCs include substances of the kind found in wastewater and storm water discharged from the BR Facility in past operations. The EPA originally requested COC generators to submit a good faith offer to conduct a remedial investigation feasibility study directed towards the eventual remediation of the site. In 2018, the Company completed performing corrective actions at the BR Facility under an order issued by the Louisiana Department of Environmental Quality and has also completed conducting the remedial investigation feasibility study for Devil's Swamp under the order issued by the EPA at which point the feasibility study, with several remedial alternatives, was submitted to the EPA for review. During 2020, the EPA signed a Record of Decision which defined the remediation alternative selected and approved by the EPA and in return, the Company increased the estimated remedial liability for this inactive site by $3.3 million. Changes in the natural landscape and/or new information identified during the remediation could impact this estimate, however are not expected to have a future material effect on the Company's financial position, liquidity or results of operation.</w:t>
      </w:r>
    </w:p>
    <w:p>
      <w:pPr>
        <w:spacing w:after="0" w:line="72"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i w:val="1"/>
          <w:iCs w:val="1"/>
          <w:color w:val="auto"/>
        </w:rPr>
        <w:t xml:space="preserve">Third-Party Sites. </w:t>
      </w:r>
      <w:r>
        <w:rPr>
          <w:rFonts w:ascii="Arial" w:cs="Arial" w:eastAsia="Arial" w:hAnsi="Arial"/>
          <w:sz w:val="12"/>
          <w:szCs w:val="12"/>
          <w:color w:val="auto"/>
        </w:rPr>
        <w:t>Of the 125 third-party sites at which the Company has been notified it is a PRP or potential PRP or may have indemnification obligations, Clean Harbors has an indemnification agreement at 11 of these sites</w:t>
      </w:r>
      <w:r>
        <w:rPr>
          <w:rFonts w:ascii="Arial" w:cs="Arial" w:eastAsia="Arial" w:hAnsi="Arial"/>
          <w:sz w:val="12"/>
          <w:szCs w:val="12"/>
          <w:i w:val="1"/>
          <w:iCs w:val="1"/>
          <w:color w:val="auto"/>
        </w:rPr>
        <w:t xml:space="preserve"> </w:t>
      </w:r>
      <w:r>
        <w:rPr>
          <w:rFonts w:ascii="Arial" w:cs="Arial" w:eastAsia="Arial" w:hAnsi="Arial"/>
          <w:sz w:val="12"/>
          <w:szCs w:val="12"/>
          <w:color w:val="auto"/>
        </w:rPr>
        <w:t>with ChemWaste, a former subsidiary of Waste Management, Inc., and at six additional of these third-party sites, Safety-Kleen has a similar indemnification agreement with McKesson Corporation. These agreements indemnify the Company (which now includes Safety-Kleen) with respect to any liability at the 17 sites for waste disposed prior to the Company's (or Safety-Kleen's) acquisition of the former subsidiaries of Waste Management and McKesson which had shipped wastes to those sites. Accordingly, Waste Management or McKesson are paying all costs of defending those subsidiaries in those 17 cases, including legal fees and settlement costs. However, there can be no guarantee that the Company's ultimate liabilities for those sites will not exceed the amount recorded or that indemnities applicable to any of these sites will be available to pay all or a portion of related costs. Except for the indemnification agreements which the</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20" w:name="page21"/>
    <w:bookmarkEnd w:id="2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Company holds from ChemWaste, McKesson and two other entities, the Company does not have an indemnity agreement with respect to any of the 125 third-party sites discussed above.</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Federal, State and Provincial Enforcement Actions</w:t>
      </w:r>
    </w:p>
    <w:p>
      <w:pPr>
        <w:spacing w:after="0" w:line="96" w:lineRule="exact"/>
        <w:rPr>
          <w:sz w:val="20"/>
          <w:szCs w:val="20"/>
          <w:color w:val="auto"/>
        </w:rPr>
      </w:pPr>
    </w:p>
    <w:p>
      <w:pPr>
        <w:ind w:right="320" w:firstLine="432"/>
        <w:spacing w:after="0" w:line="263" w:lineRule="auto"/>
        <w:rPr>
          <w:sz w:val="20"/>
          <w:szCs w:val="20"/>
          <w:color w:val="auto"/>
        </w:rPr>
      </w:pPr>
      <w:r>
        <w:rPr>
          <w:rFonts w:ascii="Arial" w:cs="Arial" w:eastAsia="Arial" w:hAnsi="Arial"/>
          <w:sz w:val="12"/>
          <w:szCs w:val="12"/>
          <w:color w:val="auto"/>
        </w:rPr>
        <w:t>From time to time, the Company pays fines or penalties in regulatory proceedings relating primarily to waste treatment, storage or disposal facilities. As of June 30, 2021 there was one proceeding for which the Company reasonably believes that the sanctions could equal or exceed $1.0 million, and none as of December 31, 2020. The Company believes that the fines or other penalties in these or any of the other regulatory proceedings will not, individually or in the aggregate, have a material effect on its financial condition, results of operations or cash flows.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(17) SEGMENT REPORTING</w:t>
      </w:r>
    </w:p>
    <w:p>
      <w:pPr>
        <w:spacing w:after="0" w:line="109" w:lineRule="exact"/>
        <w:rPr>
          <w:sz w:val="20"/>
          <w:szCs w:val="20"/>
          <w:color w:val="auto"/>
        </w:rPr>
      </w:pPr>
    </w:p>
    <w:p>
      <w:pPr>
        <w:ind w:right="40" w:firstLine="432"/>
        <w:spacing w:after="0" w:line="316" w:lineRule="auto"/>
        <w:rPr>
          <w:sz w:val="20"/>
          <w:szCs w:val="20"/>
          <w:color w:val="auto"/>
        </w:rPr>
      </w:pPr>
      <w:r>
        <w:rPr>
          <w:rFonts w:ascii="Arial" w:cs="Arial" w:eastAsia="Arial" w:hAnsi="Arial"/>
          <w:sz w:val="10"/>
          <w:szCs w:val="10"/>
          <w:color w:val="auto"/>
        </w:rPr>
        <w:t xml:space="preserve">Segment reporting is prepared on the same basis that the Company's chief executive officer, who is the Company's chief operating decision maker, manages the business, makes operating decisions and assesses performance. As described in the </w:t>
      </w:r>
      <w:r>
        <w:rPr>
          <w:rFonts w:ascii="Arial" w:cs="Arial" w:eastAsia="Arial" w:hAnsi="Arial"/>
          <w:sz w:val="10"/>
          <w:szCs w:val="10"/>
          <w:i w:val="1"/>
          <w:iCs w:val="1"/>
          <w:color w:val="auto"/>
        </w:rPr>
        <w:t>Changes in Operating Segments</w:t>
      </w:r>
      <w:r>
        <w:rPr>
          <w:rFonts w:ascii="Arial" w:cs="Arial" w:eastAsia="Arial" w:hAnsi="Arial"/>
          <w:sz w:val="10"/>
          <w:szCs w:val="10"/>
          <w:color w:val="auto"/>
        </w:rPr>
        <w:t xml:space="preserve"> section of Note 2, "Significant Accounting Policies" during the first quarter of 2021, certain of the Company's businesses undertook a reorganization which included changes to the underlying business and management structures. The Company's chief operating decision maker also requested changes in the information that he regularly reviews for purposes of allocating resources and assessing performance so that the information would align with the new operating structure of the business. Due to these changes the Company reassessed its operating segment conclusions in the first quarter of 2021 which resulted in a change in the operating segments. The Company consolidated the core services of Safety-Kleen Environmental Services into its Environmental Services segment, eliminated its Safety-Kleen segment and created the Safety-Kleen Sustainability Solutions segment. In addition, certain intercompany transactions previously recorded as Corporate Items have been allocated to the segments. All the historical balances presented below have been recast to reflect the impact of these changes.</w:t>
      </w:r>
    </w:p>
    <w:p>
      <w:pPr>
        <w:spacing w:after="0" w:line="55" w:lineRule="exact"/>
        <w:rPr>
          <w:sz w:val="20"/>
          <w:szCs w:val="20"/>
          <w:color w:val="auto"/>
        </w:rPr>
      </w:pPr>
    </w:p>
    <w:p>
      <w:pPr>
        <w:ind w:right="40" w:firstLine="432"/>
        <w:spacing w:after="0" w:line="340" w:lineRule="auto"/>
        <w:rPr>
          <w:sz w:val="20"/>
          <w:szCs w:val="20"/>
          <w:color w:val="auto"/>
        </w:rPr>
      </w:pPr>
      <w:r>
        <w:rPr>
          <w:rFonts w:ascii="Arial" w:cs="Arial" w:eastAsia="Arial" w:hAnsi="Arial"/>
          <w:sz w:val="10"/>
          <w:szCs w:val="10"/>
          <w:color w:val="auto"/>
        </w:rPr>
        <w:t>Third-party revenue is revenue billed to outside customers by a particular segment. Direct revenues is revenue allocated to the segment providing the product or service. Intersegment revenues represent the sharing of third-party revenues among the segments based on products and services provided by each segment as if the products and services were sold directly to the third-party. Transactions between the segments are accounted for at the Company’s best estimate based on similar transactions with outside customers. The intersegment revenues are shown net. The operations not managed through the Company’s operating segments described above are recorded as “Corporate Items.”</w:t>
      </w:r>
    </w:p>
    <w:p>
      <w:pPr>
        <w:spacing w:after="0" w:line="3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reconciles third-party revenues to direct revenues for the three and six months ended June 30, 2021 and June 30, 2020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5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740" w:type="dxa"/>
            <w:vAlign w:val="bottom"/>
            <w:tcBorders>
              <w:bottom w:val="single" w:sz="8" w:color="auto"/>
            </w:tcBorders>
            <w:gridSpan w:val="7"/>
          </w:tcPr>
          <w:p>
            <w:pPr>
              <w:jc w:val="center"/>
              <w:ind w:right="41"/>
              <w:spacing w:after="0"/>
              <w:rPr>
                <w:sz w:val="20"/>
                <w:szCs w:val="20"/>
                <w:color w:val="auto"/>
              </w:rPr>
            </w:pPr>
            <w:r>
              <w:rPr>
                <w:rFonts w:ascii="Arial" w:cs="Arial" w:eastAsia="Arial" w:hAnsi="Arial"/>
                <w:sz w:val="11"/>
                <w:szCs w:val="11"/>
                <w:b w:val="1"/>
                <w:bCs w:val="1"/>
                <w:color w:val="auto"/>
                <w:w w:val="89"/>
              </w:rPr>
              <w:t>For the Three Months Ended June 30, 2021</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740" w:type="dxa"/>
            <w:vAlign w:val="bottom"/>
            <w:tcBorders>
              <w:bottom w:val="single" w:sz="8" w:color="auto"/>
            </w:tcBorders>
            <w:gridSpan w:val="7"/>
          </w:tcPr>
          <w:p>
            <w:pPr>
              <w:jc w:val="center"/>
              <w:ind w:right="41"/>
              <w:spacing w:after="0"/>
              <w:rPr>
                <w:sz w:val="20"/>
                <w:szCs w:val="20"/>
                <w:color w:val="auto"/>
              </w:rPr>
            </w:pPr>
            <w:r>
              <w:rPr>
                <w:rFonts w:ascii="Arial" w:cs="Arial" w:eastAsia="Arial" w:hAnsi="Arial"/>
                <w:sz w:val="11"/>
                <w:szCs w:val="11"/>
                <w:b w:val="1"/>
                <w:bCs w:val="1"/>
                <w:color w:val="auto"/>
                <w:w w:val="89"/>
              </w:rPr>
              <w:t>For the Three Months Ended June 30, 2020</w:t>
            </w:r>
          </w:p>
        </w:tc>
        <w:tc>
          <w:tcPr>
            <w:tcW w:w="0" w:type="dxa"/>
            <w:vAlign w:val="bottom"/>
          </w:tcPr>
          <w:p>
            <w:pPr>
              <w:spacing w:after="0"/>
              <w:rPr>
                <w:sz w:val="1"/>
                <w:szCs w:val="1"/>
                <w:color w:val="auto"/>
              </w:rPr>
            </w:pPr>
          </w:p>
        </w:tc>
      </w:tr>
      <w:tr>
        <w:trPr>
          <w:trHeight w:val="99"/>
        </w:trPr>
        <w:tc>
          <w:tcPr>
            <w:tcW w:w="3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Third-party revenues</w:t>
            </w:r>
          </w:p>
        </w:tc>
        <w:tc>
          <w:tcPr>
            <w:tcW w:w="80" w:type="dxa"/>
            <w:vAlign w:val="bottom"/>
          </w:tcPr>
          <w:p>
            <w:pPr>
              <w:spacing w:after="0"/>
              <w:rPr>
                <w:sz w:val="8"/>
                <w:szCs w:val="8"/>
                <w:color w:val="auto"/>
              </w:rPr>
            </w:pPr>
          </w:p>
        </w:tc>
        <w:tc>
          <w:tcPr>
            <w:tcW w:w="1220" w:type="dxa"/>
            <w:vAlign w:val="bottom"/>
            <w:gridSpan w:val="2"/>
          </w:tcPr>
          <w:p>
            <w:pPr>
              <w:jc w:val="center"/>
              <w:ind w:right="160"/>
              <w:spacing w:after="0" w:line="99" w:lineRule="exact"/>
              <w:rPr>
                <w:sz w:val="20"/>
                <w:szCs w:val="20"/>
                <w:color w:val="auto"/>
              </w:rPr>
            </w:pPr>
            <w:r>
              <w:rPr>
                <w:rFonts w:ascii="Arial" w:cs="Arial" w:eastAsia="Arial" w:hAnsi="Arial"/>
                <w:sz w:val="11"/>
                <w:szCs w:val="11"/>
                <w:b w:val="1"/>
                <w:bCs w:val="1"/>
                <w:color w:val="auto"/>
                <w:w w:val="85"/>
              </w:rPr>
              <w:t>Intersegment revenues,</w:t>
            </w:r>
          </w:p>
        </w:tc>
        <w:tc>
          <w:tcPr>
            <w:tcW w:w="240" w:type="dxa"/>
            <w:vAlign w:val="bottom"/>
          </w:tcPr>
          <w:p>
            <w:pPr>
              <w:spacing w:after="0"/>
              <w:rPr>
                <w:sz w:val="8"/>
                <w:szCs w:val="8"/>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Direct revenues</w:t>
            </w: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Third-party revenues</w:t>
            </w:r>
          </w:p>
        </w:tc>
        <w:tc>
          <w:tcPr>
            <w:tcW w:w="60" w:type="dxa"/>
            <w:vAlign w:val="bottom"/>
          </w:tcPr>
          <w:p>
            <w:pPr>
              <w:spacing w:after="0"/>
              <w:rPr>
                <w:sz w:val="8"/>
                <w:szCs w:val="8"/>
                <w:color w:val="auto"/>
              </w:rPr>
            </w:pPr>
          </w:p>
        </w:tc>
        <w:tc>
          <w:tcPr>
            <w:tcW w:w="1240" w:type="dxa"/>
            <w:vAlign w:val="bottom"/>
            <w:gridSpan w:val="2"/>
          </w:tcPr>
          <w:p>
            <w:pPr>
              <w:jc w:val="center"/>
              <w:ind w:right="160"/>
              <w:spacing w:after="0" w:line="99" w:lineRule="exact"/>
              <w:rPr>
                <w:sz w:val="20"/>
                <w:szCs w:val="20"/>
                <w:color w:val="auto"/>
              </w:rPr>
            </w:pPr>
            <w:r>
              <w:rPr>
                <w:rFonts w:ascii="Arial" w:cs="Arial" w:eastAsia="Arial" w:hAnsi="Arial"/>
                <w:sz w:val="11"/>
                <w:szCs w:val="11"/>
                <w:b w:val="1"/>
                <w:bCs w:val="1"/>
                <w:color w:val="auto"/>
                <w:w w:val="87"/>
              </w:rPr>
              <w:t>Intersegment revenues,</w:t>
            </w:r>
          </w:p>
        </w:tc>
        <w:tc>
          <w:tcPr>
            <w:tcW w:w="240" w:type="dxa"/>
            <w:vAlign w:val="bottom"/>
          </w:tcPr>
          <w:p>
            <w:pPr>
              <w:spacing w:after="0"/>
              <w:rPr>
                <w:sz w:val="8"/>
                <w:szCs w:val="8"/>
                <w:color w:val="auto"/>
              </w:rPr>
            </w:pPr>
          </w:p>
        </w:tc>
        <w:tc>
          <w:tcPr>
            <w:tcW w:w="980" w:type="dxa"/>
            <w:vAlign w:val="bottom"/>
            <w:vMerge w:val="restart"/>
          </w:tcPr>
          <w:p>
            <w:pPr>
              <w:jc w:val="right"/>
              <w:ind w:right="201"/>
              <w:spacing w:after="0"/>
              <w:rPr>
                <w:sz w:val="20"/>
                <w:szCs w:val="20"/>
                <w:color w:val="auto"/>
              </w:rPr>
            </w:pPr>
            <w:r>
              <w:rPr>
                <w:rFonts w:ascii="Arial" w:cs="Arial" w:eastAsia="Arial" w:hAnsi="Arial"/>
                <w:sz w:val="11"/>
                <w:szCs w:val="11"/>
                <w:b w:val="1"/>
                <w:bCs w:val="1"/>
                <w:color w:val="auto"/>
                <w:w w:val="84"/>
              </w:rPr>
              <w:t>Direct revenues</w:t>
            </w: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4"/>
              </w:rPr>
              <w:t>net</w:t>
            </w:r>
          </w:p>
        </w:tc>
        <w:tc>
          <w:tcPr>
            <w:tcW w:w="2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4"/>
              </w:rPr>
              <w:t>net</w:t>
            </w:r>
          </w:p>
        </w:tc>
        <w:tc>
          <w:tcPr>
            <w:tcW w:w="2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6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Environmental Services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723,147</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950</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724,097</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612,720</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(126)</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612,594</w:t>
            </w:r>
          </w:p>
        </w:tc>
        <w:tc>
          <w:tcPr>
            <w:tcW w:w="0" w:type="dxa"/>
            <w:vAlign w:val="bottom"/>
          </w:tcPr>
          <w:p>
            <w:pPr>
              <w:spacing w:after="0"/>
              <w:rPr>
                <w:sz w:val="1"/>
                <w:szCs w:val="1"/>
                <w:color w:val="auto"/>
              </w:rPr>
            </w:pPr>
          </w:p>
        </w:tc>
      </w:tr>
      <w:tr>
        <w:trPr>
          <w:trHeight w:val="153"/>
        </w:trPr>
        <w:tc>
          <w:tcPr>
            <w:tcW w:w="3560" w:type="dxa"/>
            <w:vAlign w:val="bottom"/>
          </w:tcPr>
          <w:p>
            <w:pPr>
              <w:spacing w:after="0"/>
              <w:rPr>
                <w:sz w:val="20"/>
                <w:szCs w:val="20"/>
                <w:color w:val="auto"/>
              </w:rPr>
            </w:pPr>
            <w:r>
              <w:rPr>
                <w:rFonts w:ascii="Arial" w:cs="Arial" w:eastAsia="Arial" w:hAnsi="Arial"/>
                <w:sz w:val="12"/>
                <w:szCs w:val="12"/>
                <w:color w:val="auto"/>
              </w:rPr>
              <w:t>Safety-Kleen Sustainability Solutions</w:t>
            </w:r>
          </w:p>
        </w:tc>
        <w:tc>
          <w:tcPr>
            <w:tcW w:w="80" w:type="dxa"/>
            <w:vAlign w:val="bottom"/>
          </w:tcPr>
          <w:p>
            <w:pPr>
              <w:spacing w:after="0"/>
              <w:rPr>
                <w:sz w:val="13"/>
                <w:szCs w:val="13"/>
                <w:color w:val="auto"/>
              </w:rPr>
            </w:pPr>
          </w:p>
        </w:tc>
        <w:tc>
          <w:tcPr>
            <w:tcW w:w="1140" w:type="dxa"/>
            <w:vAlign w:val="bottom"/>
          </w:tcPr>
          <w:p>
            <w:pPr>
              <w:jc w:val="right"/>
              <w:ind w:right="2"/>
              <w:spacing w:after="0"/>
              <w:rPr>
                <w:sz w:val="20"/>
                <w:szCs w:val="20"/>
                <w:color w:val="auto"/>
              </w:rPr>
            </w:pPr>
            <w:r>
              <w:rPr>
                <w:rFonts w:ascii="Arial" w:cs="Arial" w:eastAsia="Arial" w:hAnsi="Arial"/>
                <w:sz w:val="12"/>
                <w:szCs w:val="12"/>
                <w:color w:val="auto"/>
              </w:rPr>
              <w:t>203,232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(950)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202,282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97,224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jc w:val="right"/>
              <w:ind w:right="2"/>
              <w:spacing w:after="0"/>
              <w:rPr>
                <w:sz w:val="20"/>
                <w:szCs w:val="20"/>
                <w:color w:val="auto"/>
              </w:rPr>
            </w:pPr>
            <w:r>
              <w:rPr>
                <w:rFonts w:ascii="Arial" w:cs="Arial" w:eastAsia="Arial" w:hAnsi="Arial"/>
                <w:sz w:val="12"/>
                <w:szCs w:val="12"/>
                <w:color w:val="auto"/>
              </w:rPr>
              <w:t>126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97,350</w:t>
            </w:r>
          </w:p>
        </w:tc>
        <w:tc>
          <w:tcPr>
            <w:tcW w:w="0" w:type="dxa"/>
            <w:vAlign w:val="bottom"/>
          </w:tcPr>
          <w:p>
            <w:pPr>
              <w:spacing w:after="0"/>
              <w:rPr>
                <w:sz w:val="1"/>
                <w:szCs w:val="1"/>
                <w:color w:val="auto"/>
              </w:rPr>
            </w:pPr>
          </w:p>
        </w:tc>
      </w:tr>
      <w:tr>
        <w:trPr>
          <w:trHeight w:val="153"/>
        </w:trPr>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Corporate Items</w:t>
            </w:r>
          </w:p>
        </w:tc>
        <w:tc>
          <w:tcPr>
            <w:tcW w:w="8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79</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1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56</w:t>
            </w:r>
          </w:p>
        </w:tc>
        <w:tc>
          <w:tcPr>
            <w:tcW w:w="0" w:type="dxa"/>
            <w:vAlign w:val="bottom"/>
          </w:tcPr>
          <w:p>
            <w:pPr>
              <w:spacing w:after="0"/>
              <w:rPr>
                <w:sz w:val="1"/>
                <w:szCs w:val="1"/>
                <w:color w:val="auto"/>
              </w:rPr>
            </w:pPr>
          </w:p>
        </w:tc>
      </w:tr>
      <w:tr>
        <w:trPr>
          <w:trHeight w:val="142"/>
        </w:trPr>
        <w:tc>
          <w:tcPr>
            <w:tcW w:w="3560" w:type="dxa"/>
            <w:vAlign w:val="bottom"/>
          </w:tcPr>
          <w:p>
            <w:pPr>
              <w:spacing w:after="0"/>
              <w:rPr>
                <w:sz w:val="20"/>
                <w:szCs w:val="20"/>
                <w:color w:val="auto"/>
              </w:rPr>
            </w:pPr>
            <w:r>
              <w:rPr>
                <w:rFonts w:ascii="Arial" w:cs="Arial" w:eastAsia="Arial" w:hAnsi="Arial"/>
                <w:sz w:val="12"/>
                <w:szCs w:val="12"/>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926,458</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926,458</w:t>
            </w:r>
          </w:p>
        </w:tc>
        <w:tc>
          <w:tcPr>
            <w:tcW w:w="10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710,000</w:t>
            </w:r>
          </w:p>
        </w:tc>
        <w:tc>
          <w:tcPr>
            <w:tcW w:w="10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710,000</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5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center"/>
              <w:ind w:left="842"/>
              <w:spacing w:after="0"/>
              <w:rPr>
                <w:sz w:val="20"/>
                <w:szCs w:val="20"/>
                <w:color w:val="auto"/>
              </w:rPr>
            </w:pPr>
            <w:r>
              <w:rPr>
                <w:rFonts w:ascii="Arial" w:cs="Arial" w:eastAsia="Arial" w:hAnsi="Arial"/>
                <w:sz w:val="11"/>
                <w:szCs w:val="11"/>
                <w:b w:val="1"/>
                <w:bCs w:val="1"/>
                <w:color w:val="auto"/>
                <w:w w:val="88"/>
              </w:rPr>
              <w:t>For the Six Months Ended June 30, 2021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center"/>
              <w:ind w:left="822"/>
              <w:spacing w:after="0"/>
              <w:rPr>
                <w:sz w:val="20"/>
                <w:szCs w:val="20"/>
                <w:color w:val="auto"/>
              </w:rPr>
            </w:pPr>
            <w:r>
              <w:rPr>
                <w:rFonts w:ascii="Arial" w:cs="Arial" w:eastAsia="Arial" w:hAnsi="Arial"/>
                <w:sz w:val="11"/>
                <w:szCs w:val="11"/>
                <w:b w:val="1"/>
                <w:bCs w:val="1"/>
                <w:color w:val="auto"/>
                <w:w w:val="89"/>
              </w:rPr>
              <w:t>For the Six Months Ended June 30, 2020</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3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Third-party revenues</w:t>
            </w:r>
          </w:p>
        </w:tc>
        <w:tc>
          <w:tcPr>
            <w:tcW w:w="80" w:type="dxa"/>
            <w:vAlign w:val="bottom"/>
          </w:tcPr>
          <w:p>
            <w:pPr>
              <w:spacing w:after="0"/>
              <w:rPr>
                <w:sz w:val="8"/>
                <w:szCs w:val="8"/>
                <w:color w:val="auto"/>
              </w:rPr>
            </w:pPr>
          </w:p>
        </w:tc>
        <w:tc>
          <w:tcPr>
            <w:tcW w:w="1220" w:type="dxa"/>
            <w:vAlign w:val="bottom"/>
            <w:gridSpan w:val="2"/>
          </w:tcPr>
          <w:p>
            <w:pPr>
              <w:jc w:val="center"/>
              <w:ind w:right="160"/>
              <w:spacing w:after="0" w:line="99" w:lineRule="exact"/>
              <w:rPr>
                <w:sz w:val="20"/>
                <w:szCs w:val="20"/>
                <w:color w:val="auto"/>
              </w:rPr>
            </w:pPr>
            <w:r>
              <w:rPr>
                <w:rFonts w:ascii="Arial" w:cs="Arial" w:eastAsia="Arial" w:hAnsi="Arial"/>
                <w:sz w:val="11"/>
                <w:szCs w:val="11"/>
                <w:b w:val="1"/>
                <w:bCs w:val="1"/>
                <w:color w:val="auto"/>
                <w:w w:val="85"/>
              </w:rPr>
              <w:t>Intersegment revenues,</w:t>
            </w:r>
          </w:p>
        </w:tc>
        <w:tc>
          <w:tcPr>
            <w:tcW w:w="240" w:type="dxa"/>
            <w:vAlign w:val="bottom"/>
          </w:tcPr>
          <w:p>
            <w:pPr>
              <w:spacing w:after="0"/>
              <w:rPr>
                <w:sz w:val="8"/>
                <w:szCs w:val="8"/>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Direct revenues</w:t>
            </w: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Third-party revenues</w:t>
            </w:r>
          </w:p>
        </w:tc>
        <w:tc>
          <w:tcPr>
            <w:tcW w:w="60" w:type="dxa"/>
            <w:vAlign w:val="bottom"/>
          </w:tcPr>
          <w:p>
            <w:pPr>
              <w:spacing w:after="0"/>
              <w:rPr>
                <w:sz w:val="8"/>
                <w:szCs w:val="8"/>
                <w:color w:val="auto"/>
              </w:rPr>
            </w:pPr>
          </w:p>
        </w:tc>
        <w:tc>
          <w:tcPr>
            <w:tcW w:w="1240" w:type="dxa"/>
            <w:vAlign w:val="bottom"/>
            <w:gridSpan w:val="2"/>
          </w:tcPr>
          <w:p>
            <w:pPr>
              <w:jc w:val="center"/>
              <w:ind w:right="160"/>
              <w:spacing w:after="0" w:line="99" w:lineRule="exact"/>
              <w:rPr>
                <w:sz w:val="20"/>
                <w:szCs w:val="20"/>
                <w:color w:val="auto"/>
              </w:rPr>
            </w:pPr>
            <w:r>
              <w:rPr>
                <w:rFonts w:ascii="Arial" w:cs="Arial" w:eastAsia="Arial" w:hAnsi="Arial"/>
                <w:sz w:val="11"/>
                <w:szCs w:val="11"/>
                <w:b w:val="1"/>
                <w:bCs w:val="1"/>
                <w:color w:val="auto"/>
                <w:w w:val="87"/>
              </w:rPr>
              <w:t>Intersegment revenues,</w:t>
            </w:r>
          </w:p>
        </w:tc>
        <w:tc>
          <w:tcPr>
            <w:tcW w:w="240" w:type="dxa"/>
            <w:vAlign w:val="bottom"/>
          </w:tcPr>
          <w:p>
            <w:pPr>
              <w:spacing w:after="0"/>
              <w:rPr>
                <w:sz w:val="8"/>
                <w:szCs w:val="8"/>
                <w:color w:val="auto"/>
              </w:rPr>
            </w:pPr>
          </w:p>
        </w:tc>
        <w:tc>
          <w:tcPr>
            <w:tcW w:w="980" w:type="dxa"/>
            <w:vAlign w:val="bottom"/>
            <w:vMerge w:val="restart"/>
          </w:tcPr>
          <w:p>
            <w:pPr>
              <w:jc w:val="right"/>
              <w:ind w:right="201"/>
              <w:spacing w:after="0"/>
              <w:rPr>
                <w:sz w:val="20"/>
                <w:szCs w:val="20"/>
                <w:color w:val="auto"/>
              </w:rPr>
            </w:pPr>
            <w:r>
              <w:rPr>
                <w:rFonts w:ascii="Arial" w:cs="Arial" w:eastAsia="Arial" w:hAnsi="Arial"/>
                <w:sz w:val="11"/>
                <w:szCs w:val="11"/>
                <w:b w:val="1"/>
                <w:bCs w:val="1"/>
                <w:color w:val="auto"/>
                <w:w w:val="84"/>
              </w:rPr>
              <w:t>Direct revenues</w:t>
            </w: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4"/>
              </w:rPr>
              <w:t>net</w:t>
            </w:r>
          </w:p>
        </w:tc>
        <w:tc>
          <w:tcPr>
            <w:tcW w:w="2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4"/>
              </w:rPr>
              <w:t>net</w:t>
            </w:r>
          </w:p>
        </w:tc>
        <w:tc>
          <w:tcPr>
            <w:tcW w:w="2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6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Environmental Services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1,376,025</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2,674</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1,378,699</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1,317,756</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30</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1,317,786</w:t>
            </w:r>
          </w:p>
        </w:tc>
        <w:tc>
          <w:tcPr>
            <w:tcW w:w="0" w:type="dxa"/>
            <w:vAlign w:val="bottom"/>
          </w:tcPr>
          <w:p>
            <w:pPr>
              <w:spacing w:after="0"/>
              <w:rPr>
                <w:sz w:val="1"/>
                <w:szCs w:val="1"/>
                <w:color w:val="auto"/>
              </w:rPr>
            </w:pPr>
          </w:p>
        </w:tc>
      </w:tr>
      <w:tr>
        <w:trPr>
          <w:trHeight w:val="153"/>
        </w:trPr>
        <w:tc>
          <w:tcPr>
            <w:tcW w:w="3560" w:type="dxa"/>
            <w:vAlign w:val="bottom"/>
          </w:tcPr>
          <w:p>
            <w:pPr>
              <w:spacing w:after="0"/>
              <w:rPr>
                <w:sz w:val="20"/>
                <w:szCs w:val="20"/>
                <w:color w:val="auto"/>
              </w:rPr>
            </w:pPr>
            <w:r>
              <w:rPr>
                <w:rFonts w:ascii="Arial" w:cs="Arial" w:eastAsia="Arial" w:hAnsi="Arial"/>
                <w:sz w:val="12"/>
                <w:szCs w:val="12"/>
                <w:color w:val="auto"/>
              </w:rPr>
              <w:t>Safety-Kleen Sustainability Solutions</w:t>
            </w:r>
          </w:p>
        </w:tc>
        <w:tc>
          <w:tcPr>
            <w:tcW w:w="80" w:type="dxa"/>
            <w:vAlign w:val="bottom"/>
          </w:tcPr>
          <w:p>
            <w:pPr>
              <w:spacing w:after="0"/>
              <w:rPr>
                <w:sz w:val="13"/>
                <w:szCs w:val="13"/>
                <w:color w:val="auto"/>
              </w:rPr>
            </w:pPr>
          </w:p>
        </w:tc>
        <w:tc>
          <w:tcPr>
            <w:tcW w:w="1140" w:type="dxa"/>
            <w:vAlign w:val="bottom"/>
          </w:tcPr>
          <w:p>
            <w:pPr>
              <w:jc w:val="right"/>
              <w:ind w:right="2"/>
              <w:spacing w:after="0"/>
              <w:rPr>
                <w:sz w:val="20"/>
                <w:szCs w:val="20"/>
                <w:color w:val="auto"/>
              </w:rPr>
            </w:pPr>
            <w:r>
              <w:rPr>
                <w:rFonts w:ascii="Arial" w:cs="Arial" w:eastAsia="Arial" w:hAnsi="Arial"/>
                <w:sz w:val="12"/>
                <w:szCs w:val="12"/>
                <w:color w:val="auto"/>
              </w:rPr>
              <w:t>358,423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(2,674)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355,749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250,661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250,631</w:t>
            </w:r>
          </w:p>
        </w:tc>
        <w:tc>
          <w:tcPr>
            <w:tcW w:w="0" w:type="dxa"/>
            <w:vAlign w:val="bottom"/>
          </w:tcPr>
          <w:p>
            <w:pPr>
              <w:spacing w:after="0"/>
              <w:rPr>
                <w:sz w:val="1"/>
                <w:szCs w:val="1"/>
                <w:color w:val="auto"/>
              </w:rPr>
            </w:pPr>
          </w:p>
        </w:tc>
      </w:tr>
      <w:tr>
        <w:trPr>
          <w:trHeight w:val="153"/>
        </w:trPr>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Corporate Items</w:t>
            </w:r>
          </w:p>
        </w:tc>
        <w:tc>
          <w:tcPr>
            <w:tcW w:w="8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158</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158</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146</w:t>
            </w:r>
          </w:p>
        </w:tc>
        <w:tc>
          <w:tcPr>
            <w:tcW w:w="1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146</w:t>
            </w:r>
          </w:p>
        </w:tc>
        <w:tc>
          <w:tcPr>
            <w:tcW w:w="0" w:type="dxa"/>
            <w:vAlign w:val="bottom"/>
          </w:tcPr>
          <w:p>
            <w:pPr>
              <w:spacing w:after="0"/>
              <w:rPr>
                <w:sz w:val="1"/>
                <w:szCs w:val="1"/>
                <w:color w:val="auto"/>
              </w:rPr>
            </w:pPr>
          </w:p>
        </w:tc>
      </w:tr>
      <w:tr>
        <w:trPr>
          <w:trHeight w:val="142"/>
        </w:trPr>
        <w:tc>
          <w:tcPr>
            <w:tcW w:w="3560" w:type="dxa"/>
            <w:vAlign w:val="bottom"/>
          </w:tcPr>
          <w:p>
            <w:pPr>
              <w:spacing w:after="0"/>
              <w:rPr>
                <w:sz w:val="20"/>
                <w:szCs w:val="20"/>
                <w:color w:val="auto"/>
              </w:rPr>
            </w:pPr>
            <w:r>
              <w:rPr>
                <w:rFonts w:ascii="Arial" w:cs="Arial" w:eastAsia="Arial" w:hAnsi="Arial"/>
                <w:sz w:val="12"/>
                <w:szCs w:val="12"/>
                <w:color w:val="auto"/>
              </w:rPr>
              <w:t>Total</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2"/>
              <w:spacing w:after="0"/>
              <w:rPr>
                <w:sz w:val="20"/>
                <w:szCs w:val="20"/>
                <w:color w:val="auto"/>
              </w:rPr>
            </w:pPr>
            <w:r>
              <w:rPr>
                <w:rFonts w:ascii="Arial" w:cs="Arial" w:eastAsia="Arial" w:hAnsi="Arial"/>
                <w:sz w:val="12"/>
                <w:szCs w:val="12"/>
                <w:color w:val="auto"/>
              </w:rPr>
              <w:t>1,734,606</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1,734,606</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1,568,563</w:t>
            </w:r>
          </w:p>
        </w:tc>
        <w:tc>
          <w:tcPr>
            <w:tcW w:w="1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1,568,563</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1" w:name="page22"/>
    <w:bookmarkEnd w:id="2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right="60" w:firstLine="432"/>
        <w:spacing w:after="0" w:line="285" w:lineRule="auto"/>
        <w:rPr>
          <w:sz w:val="20"/>
          <w:szCs w:val="20"/>
          <w:color w:val="auto"/>
        </w:rPr>
      </w:pPr>
      <w:r>
        <w:rPr>
          <w:rFonts w:ascii="Arial" w:cs="Arial" w:eastAsia="Arial" w:hAnsi="Arial"/>
          <w:sz w:val="11"/>
          <w:szCs w:val="11"/>
          <w:color w:val="auto"/>
        </w:rPr>
        <w:t>The primary financial measure by which the Company evaluates the performance of its segments is "Adjusted EBITDA," which consists of net income plus accretion of environmental liabilities, stock-based compensation, depreciation and amortization, net interest expense, loss on early extinguishment of debt, provision for income taxes and excludes other gains, losses or non-cash charges not deemed representative of fundamental segment results and other expense, net. Beginning in the first quarter of 2021, we revised our calculation of reported Adjusted EBITDA to add stock-based compensation, a non-cash item, to other charges which are added back to net income determined in accordance with generally accepted accounting principles ("GAAP") for purposes of calculating Adjusted EBITDA. The amount added back each period matches the line item for stock-based compensation as recorded on the consolidated statements of cash flows. All relevant prior period Adjusted EBITDA amounts were recast to provide comparative information.</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presents Adjusted EBITDA information used by management by reported segment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gridSpan w:val="4"/>
          </w:tcPr>
          <w:p>
            <w:pPr>
              <w:jc w:val="right"/>
              <w:ind w:right="230"/>
              <w:spacing w:after="0"/>
              <w:rPr>
                <w:sz w:val="20"/>
                <w:szCs w:val="20"/>
                <w:color w:val="auto"/>
              </w:rPr>
            </w:pPr>
            <w:r>
              <w:rPr>
                <w:rFonts w:ascii="Arial" w:cs="Arial" w:eastAsia="Arial" w:hAnsi="Arial"/>
                <w:sz w:val="11"/>
                <w:szCs w:val="11"/>
                <w:b w:val="1"/>
                <w:bCs w:val="1"/>
                <w:color w:val="auto"/>
              </w:rPr>
              <w:t>For the Three Months Ended</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80" w:type="dxa"/>
            <w:vAlign w:val="bottom"/>
            <w:gridSpan w:val="7"/>
          </w:tcPr>
          <w:p>
            <w:pPr>
              <w:jc w:val="right"/>
              <w:ind w:right="720"/>
              <w:spacing w:after="0"/>
              <w:rPr>
                <w:sz w:val="20"/>
                <w:szCs w:val="20"/>
                <w:color w:val="auto"/>
              </w:rPr>
            </w:pPr>
            <w:r>
              <w:rPr>
                <w:rFonts w:ascii="Arial" w:cs="Arial" w:eastAsia="Arial" w:hAnsi="Arial"/>
                <w:sz w:val="11"/>
                <w:szCs w:val="11"/>
                <w:b w:val="1"/>
                <w:bCs w:val="1"/>
                <w:color w:val="auto"/>
              </w:rPr>
              <w:t>For the Six Months Ended</w:t>
            </w:r>
          </w:p>
        </w:tc>
        <w:tc>
          <w:tcPr>
            <w:tcW w:w="0" w:type="dxa"/>
            <w:vAlign w:val="bottom"/>
          </w:tcPr>
          <w:p>
            <w:pPr>
              <w:spacing w:after="0"/>
              <w:rPr>
                <w:sz w:val="1"/>
                <w:szCs w:val="1"/>
                <w:color w:val="auto"/>
              </w:rPr>
            </w:pPr>
          </w:p>
        </w:tc>
      </w:tr>
      <w:tr>
        <w:trPr>
          <w:trHeight w:val="146"/>
        </w:trPr>
        <w:tc>
          <w:tcPr>
            <w:tcW w:w="5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1"/>
                <w:szCs w:val="11"/>
                <w:b w:val="1"/>
                <w:bCs w:val="1"/>
                <w:color w:val="auto"/>
              </w:rPr>
              <w:t>June 30,</w:t>
            </w:r>
          </w:p>
        </w:tc>
        <w:tc>
          <w:tcPr>
            <w:tcW w:w="4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4"/>
          </w:tcPr>
          <w:p>
            <w:pPr>
              <w:jc w:val="right"/>
              <w:ind w:right="1140"/>
              <w:spacing w:after="0"/>
              <w:rPr>
                <w:sz w:val="20"/>
                <w:szCs w:val="20"/>
                <w:color w:val="auto"/>
              </w:rPr>
            </w:pPr>
            <w:r>
              <w:rPr>
                <w:rFonts w:ascii="Arial" w:cs="Arial" w:eastAsia="Arial" w:hAnsi="Arial"/>
                <w:sz w:val="11"/>
                <w:szCs w:val="11"/>
                <w:b w:val="1"/>
                <w:bCs w:val="1"/>
                <w:color w:val="auto"/>
                <w:w w:val="99"/>
              </w:rPr>
              <w:t>June 30,</w:t>
            </w:r>
          </w:p>
        </w:tc>
        <w:tc>
          <w:tcPr>
            <w:tcW w:w="0" w:type="dxa"/>
            <w:vAlign w:val="bottom"/>
          </w:tcPr>
          <w:p>
            <w:pPr>
              <w:spacing w:after="0"/>
              <w:rPr>
                <w:sz w:val="1"/>
                <w:szCs w:val="1"/>
                <w:color w:val="auto"/>
              </w:rPr>
            </w:pPr>
          </w:p>
        </w:tc>
      </w:tr>
      <w:tr>
        <w:trPr>
          <w:trHeight w:val="133"/>
        </w:trPr>
        <w:tc>
          <w:tcPr>
            <w:tcW w:w="544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1"/>
                <w:szCs w:val="11"/>
                <w:b w:val="1"/>
                <w:bCs w:val="1"/>
                <w:color w:val="auto"/>
              </w:rPr>
              <w:t>2020</w:t>
            </w: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61"/>
              <w:spacing w:after="0"/>
              <w:rPr>
                <w:sz w:val="20"/>
                <w:szCs w:val="20"/>
                <w:color w:val="auto"/>
              </w:rPr>
            </w:pPr>
            <w:r>
              <w:rPr>
                <w:rFonts w:ascii="Arial" w:cs="Arial" w:eastAsia="Arial" w:hAnsi="Arial"/>
                <w:sz w:val="11"/>
                <w:szCs w:val="11"/>
                <w:b w:val="1"/>
                <w:bCs w:val="1"/>
                <w:color w:val="auto"/>
              </w:rPr>
              <w:t>2021</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500"/>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44"/>
        </w:trPr>
        <w:tc>
          <w:tcPr>
            <w:tcW w:w="5440" w:type="dxa"/>
            <w:vAlign w:val="bottom"/>
            <w:shd w:val="clear" w:color="auto" w:fill="CCEEFF"/>
          </w:tcPr>
          <w:p>
            <w:pPr>
              <w:spacing w:after="0"/>
              <w:rPr>
                <w:sz w:val="20"/>
                <w:szCs w:val="20"/>
                <w:color w:val="auto"/>
              </w:rPr>
            </w:pPr>
            <w:r>
              <w:rPr>
                <w:rFonts w:ascii="Arial" w:cs="Arial" w:eastAsia="Arial" w:hAnsi="Arial"/>
                <w:sz w:val="12"/>
                <w:szCs w:val="12"/>
                <w:color w:val="auto"/>
              </w:rPr>
              <w:t>Adjusted EBITDA:</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440" w:type="dxa"/>
            <w:vAlign w:val="bottom"/>
          </w:tcPr>
          <w:p>
            <w:pPr>
              <w:ind w:left="80"/>
              <w:spacing w:after="0"/>
              <w:rPr>
                <w:sz w:val="20"/>
                <w:szCs w:val="20"/>
                <w:color w:val="auto"/>
              </w:rPr>
            </w:pPr>
            <w:r>
              <w:rPr>
                <w:rFonts w:ascii="Arial" w:cs="Arial" w:eastAsia="Arial" w:hAnsi="Arial"/>
                <w:sz w:val="12"/>
                <w:szCs w:val="12"/>
                <w:color w:val="auto"/>
              </w:rPr>
              <w:t>Environmental Services</w:t>
            </w:r>
          </w:p>
        </w:tc>
        <w:tc>
          <w:tcPr>
            <w:tcW w:w="1060" w:type="dxa"/>
            <w:vAlign w:val="bottom"/>
            <w:gridSpan w:val="2"/>
          </w:tcPr>
          <w:p>
            <w:pPr>
              <w:jc w:val="right"/>
              <w:ind w:right="706"/>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176,041</w:t>
            </w:r>
          </w:p>
        </w:tc>
        <w:tc>
          <w:tcPr>
            <w:tcW w:w="100" w:type="dxa"/>
            <w:vAlign w:val="bottom"/>
          </w:tcPr>
          <w:p>
            <w:pPr>
              <w:spacing w:after="0"/>
              <w:rPr>
                <w:sz w:val="13"/>
                <w:szCs w:val="13"/>
                <w:color w:val="auto"/>
              </w:rPr>
            </w:pPr>
          </w:p>
        </w:tc>
        <w:tc>
          <w:tcPr>
            <w:tcW w:w="900" w:type="dxa"/>
            <w:vAlign w:val="bottom"/>
          </w:tcPr>
          <w:p>
            <w:pPr>
              <w:jc w:val="right"/>
              <w:ind w:right="790"/>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2"/>
                <w:szCs w:val="12"/>
                <w:color w:val="auto"/>
                <w:w w:val="82"/>
              </w:rPr>
              <w:t>176,241</w:t>
            </w:r>
          </w:p>
        </w:tc>
        <w:tc>
          <w:tcPr>
            <w:tcW w:w="3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40" w:type="dxa"/>
            <w:vAlign w:val="bottom"/>
            <w:gridSpan w:val="4"/>
          </w:tcPr>
          <w:p>
            <w:pPr>
              <w:jc w:val="right"/>
              <w:spacing w:after="0"/>
              <w:rPr>
                <w:sz w:val="20"/>
                <w:szCs w:val="20"/>
                <w:color w:val="auto"/>
              </w:rPr>
            </w:pPr>
            <w:r>
              <w:rPr>
                <w:rFonts w:ascii="Arial" w:cs="Arial" w:eastAsia="Arial" w:hAnsi="Arial"/>
                <w:sz w:val="12"/>
                <w:szCs w:val="12"/>
                <w:color w:val="auto"/>
              </w:rPr>
              <w:t>316,295</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322,099</w:t>
            </w:r>
          </w:p>
        </w:tc>
        <w:tc>
          <w:tcPr>
            <w:tcW w:w="0" w:type="dxa"/>
            <w:vAlign w:val="bottom"/>
          </w:tcPr>
          <w:p>
            <w:pPr>
              <w:spacing w:after="0"/>
              <w:rPr>
                <w:sz w:val="1"/>
                <w:szCs w:val="1"/>
                <w:color w:val="auto"/>
              </w:rPr>
            </w:pPr>
          </w:p>
        </w:tc>
      </w:tr>
      <w:tr>
        <w:trPr>
          <w:trHeight w:val="153"/>
        </w:trPr>
        <w:tc>
          <w:tcPr>
            <w:tcW w:w="5440" w:type="dxa"/>
            <w:vAlign w:val="bottom"/>
            <w:shd w:val="clear" w:color="auto" w:fill="CCEEFF"/>
          </w:tcPr>
          <w:p>
            <w:pPr>
              <w:ind w:left="80"/>
              <w:spacing w:after="0"/>
              <w:rPr>
                <w:sz w:val="20"/>
                <w:szCs w:val="20"/>
                <w:color w:val="auto"/>
              </w:rPr>
            </w:pPr>
            <w:r>
              <w:rPr>
                <w:rFonts w:ascii="Arial" w:cs="Arial" w:eastAsia="Arial" w:hAnsi="Arial"/>
                <w:sz w:val="12"/>
                <w:szCs w:val="12"/>
                <w:color w:val="auto"/>
              </w:rPr>
              <w:t>Safety-Kleen Sustainability Solutions</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63,314</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8,431</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94,946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32,635</w:t>
            </w:r>
          </w:p>
        </w:tc>
        <w:tc>
          <w:tcPr>
            <w:tcW w:w="0" w:type="dxa"/>
            <w:vAlign w:val="bottom"/>
          </w:tcPr>
          <w:p>
            <w:pPr>
              <w:spacing w:after="0"/>
              <w:rPr>
                <w:sz w:val="1"/>
                <w:szCs w:val="1"/>
                <w:color w:val="auto"/>
              </w:rPr>
            </w:pPr>
          </w:p>
        </w:tc>
      </w:tr>
      <w:tr>
        <w:trPr>
          <w:trHeight w:val="153"/>
        </w:trPr>
        <w:tc>
          <w:tcPr>
            <w:tcW w:w="544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Corporate Items</w:t>
            </w:r>
          </w:p>
        </w:tc>
        <w:tc>
          <w:tcPr>
            <w:tcW w:w="2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(51,584)</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93"/>
              </w:rPr>
              <w:t>(46,406)</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color w:val="auto"/>
              </w:rPr>
              <w:t>(94,019)</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(90,587)</w:t>
            </w:r>
          </w:p>
        </w:tc>
        <w:tc>
          <w:tcPr>
            <w:tcW w:w="0" w:type="dxa"/>
            <w:vAlign w:val="bottom"/>
          </w:tcPr>
          <w:p>
            <w:pPr>
              <w:spacing w:after="0"/>
              <w:rPr>
                <w:sz w:val="1"/>
                <w:szCs w:val="1"/>
                <w:color w:val="auto"/>
              </w:rPr>
            </w:pPr>
          </w:p>
        </w:tc>
      </w:tr>
      <w:tr>
        <w:trPr>
          <w:trHeight w:val="142"/>
        </w:trPr>
        <w:tc>
          <w:tcPr>
            <w:tcW w:w="54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Total</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187,771</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2"/>
              </w:rPr>
              <w:t>138,266</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317,222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264,147</w:t>
            </w:r>
          </w:p>
        </w:tc>
        <w:tc>
          <w:tcPr>
            <w:tcW w:w="0" w:type="dxa"/>
            <w:vAlign w:val="bottom"/>
          </w:tcPr>
          <w:p>
            <w:pPr>
              <w:spacing w:after="0"/>
              <w:rPr>
                <w:sz w:val="1"/>
                <w:szCs w:val="1"/>
                <w:color w:val="auto"/>
              </w:rPr>
            </w:pPr>
          </w:p>
        </w:tc>
      </w:tr>
      <w:tr>
        <w:trPr>
          <w:trHeight w:val="153"/>
        </w:trPr>
        <w:tc>
          <w:tcPr>
            <w:tcW w:w="5440" w:type="dxa"/>
            <w:vAlign w:val="bottom"/>
          </w:tcPr>
          <w:p>
            <w:pPr>
              <w:spacing w:after="0"/>
              <w:rPr>
                <w:sz w:val="20"/>
                <w:szCs w:val="20"/>
                <w:color w:val="auto"/>
              </w:rPr>
            </w:pPr>
            <w:r>
              <w:rPr>
                <w:rFonts w:ascii="Arial" w:cs="Arial" w:eastAsia="Arial" w:hAnsi="Arial"/>
                <w:sz w:val="12"/>
                <w:szCs w:val="12"/>
                <w:color w:val="auto"/>
              </w:rPr>
              <w:t>Reconciliation to Consolidated Statements of Operations:</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40" w:type="dxa"/>
            <w:vAlign w:val="bottom"/>
            <w:shd w:val="clear" w:color="auto" w:fill="CCEEFF"/>
          </w:tcPr>
          <w:p>
            <w:pPr>
              <w:ind w:left="80"/>
              <w:spacing w:after="0"/>
              <w:rPr>
                <w:sz w:val="20"/>
                <w:szCs w:val="20"/>
                <w:color w:val="auto"/>
              </w:rPr>
            </w:pPr>
            <w:r>
              <w:rPr>
                <w:rFonts w:ascii="Arial" w:cs="Arial" w:eastAsia="Arial" w:hAnsi="Arial"/>
                <w:sz w:val="12"/>
                <w:szCs w:val="12"/>
                <w:color w:val="auto"/>
              </w:rPr>
              <w:t>Accretion of environmental liabilities</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2,873</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w w:val="93"/>
              </w:rPr>
              <w:t>5,826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5,327</w:t>
            </w:r>
          </w:p>
        </w:tc>
        <w:tc>
          <w:tcPr>
            <w:tcW w:w="0" w:type="dxa"/>
            <w:vAlign w:val="bottom"/>
          </w:tcPr>
          <w:p>
            <w:pPr>
              <w:spacing w:after="0"/>
              <w:rPr>
                <w:sz w:val="1"/>
                <w:szCs w:val="1"/>
                <w:color w:val="auto"/>
              </w:rPr>
            </w:pPr>
          </w:p>
        </w:tc>
      </w:tr>
      <w:tr>
        <w:trPr>
          <w:trHeight w:val="153"/>
        </w:trPr>
        <w:tc>
          <w:tcPr>
            <w:tcW w:w="5440" w:type="dxa"/>
            <w:vAlign w:val="bottom"/>
          </w:tcPr>
          <w:p>
            <w:pPr>
              <w:ind w:left="80"/>
              <w:spacing w:after="0"/>
              <w:rPr>
                <w:sz w:val="20"/>
                <w:szCs w:val="20"/>
                <w:color w:val="auto"/>
              </w:rPr>
            </w:pPr>
            <w:r>
              <w:rPr>
                <w:rFonts w:ascii="Arial" w:cs="Arial" w:eastAsia="Arial" w:hAnsi="Arial"/>
                <w:sz w:val="12"/>
                <w:szCs w:val="12"/>
                <w:color w:val="auto"/>
              </w:rPr>
              <w:t>Stock-based compensation</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3,305</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2,786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gridSpan w:val="3"/>
          </w:tcPr>
          <w:p>
            <w:pPr>
              <w:jc w:val="right"/>
              <w:spacing w:after="0"/>
              <w:rPr>
                <w:sz w:val="20"/>
                <w:szCs w:val="20"/>
                <w:color w:val="auto"/>
              </w:rPr>
            </w:pPr>
            <w:r>
              <w:rPr>
                <w:rFonts w:ascii="Arial" w:cs="Arial" w:eastAsia="Arial" w:hAnsi="Arial"/>
                <w:sz w:val="12"/>
                <w:szCs w:val="12"/>
                <w:color w:val="auto"/>
                <w:w w:val="93"/>
              </w:rPr>
              <w:t>6,785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6,077</w:t>
            </w:r>
          </w:p>
        </w:tc>
        <w:tc>
          <w:tcPr>
            <w:tcW w:w="0" w:type="dxa"/>
            <w:vAlign w:val="bottom"/>
          </w:tcPr>
          <w:p>
            <w:pPr>
              <w:spacing w:after="0"/>
              <w:rPr>
                <w:sz w:val="1"/>
                <w:szCs w:val="1"/>
                <w:color w:val="auto"/>
              </w:rPr>
            </w:pPr>
          </w:p>
        </w:tc>
      </w:tr>
      <w:tr>
        <w:trPr>
          <w:trHeight w:val="153"/>
        </w:trPr>
        <w:tc>
          <w:tcPr>
            <w:tcW w:w="5440" w:type="dxa"/>
            <w:vAlign w:val="bottom"/>
            <w:shd w:val="clear" w:color="auto" w:fill="CCEEFF"/>
          </w:tcPr>
          <w:p>
            <w:pPr>
              <w:ind w:left="80"/>
              <w:spacing w:after="0"/>
              <w:rPr>
                <w:sz w:val="20"/>
                <w:szCs w:val="20"/>
                <w:color w:val="auto"/>
              </w:rPr>
            </w:pPr>
            <w:r>
              <w:rPr>
                <w:rFonts w:ascii="Arial" w:cs="Arial" w:eastAsia="Arial" w:hAnsi="Arial"/>
                <w:sz w:val="12"/>
                <w:szCs w:val="12"/>
                <w:color w:val="auto"/>
              </w:rPr>
              <w:t>Depreciation and amortization</w:t>
            </w:r>
          </w:p>
        </w:tc>
        <w:tc>
          <w:tcPr>
            <w:tcW w:w="22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71,592</w:t>
            </w:r>
          </w:p>
        </w:tc>
        <w:tc>
          <w:tcPr>
            <w:tcW w:w="10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72,494</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2"/>
                <w:szCs w:val="12"/>
                <w:color w:val="auto"/>
              </w:rPr>
              <w:t>143,755</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147,027</w:t>
            </w:r>
          </w:p>
        </w:tc>
        <w:tc>
          <w:tcPr>
            <w:tcW w:w="0" w:type="dxa"/>
            <w:vAlign w:val="bottom"/>
          </w:tcPr>
          <w:p>
            <w:pPr>
              <w:spacing w:after="0"/>
              <w:rPr>
                <w:sz w:val="1"/>
                <w:szCs w:val="1"/>
                <w:color w:val="auto"/>
              </w:rPr>
            </w:pPr>
          </w:p>
        </w:tc>
      </w:tr>
      <w:tr>
        <w:trPr>
          <w:trHeight w:val="142"/>
        </w:trPr>
        <w:tc>
          <w:tcPr>
            <w:tcW w:w="5440" w:type="dxa"/>
            <w:vAlign w:val="bottom"/>
          </w:tcPr>
          <w:p>
            <w:pPr>
              <w:ind w:left="80"/>
              <w:spacing w:after="0"/>
              <w:rPr>
                <w:sz w:val="20"/>
                <w:szCs w:val="20"/>
                <w:color w:val="auto"/>
              </w:rPr>
            </w:pPr>
            <w:r>
              <w:rPr>
                <w:rFonts w:ascii="Arial" w:cs="Arial" w:eastAsia="Arial" w:hAnsi="Arial"/>
                <w:sz w:val="12"/>
                <w:szCs w:val="12"/>
                <w:color w:val="auto"/>
              </w:rPr>
              <w:t>Income from operations</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110,001</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7"/>
              </w:rPr>
              <w:t>60,220</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4"/>
          </w:tcPr>
          <w:p>
            <w:pPr>
              <w:jc w:val="right"/>
              <w:spacing w:after="0"/>
              <w:rPr>
                <w:sz w:val="20"/>
                <w:szCs w:val="20"/>
                <w:color w:val="auto"/>
              </w:rPr>
            </w:pPr>
            <w:r>
              <w:rPr>
                <w:rFonts w:ascii="Arial" w:cs="Arial" w:eastAsia="Arial" w:hAnsi="Arial"/>
                <w:sz w:val="12"/>
                <w:szCs w:val="12"/>
                <w:color w:val="auto"/>
              </w:rPr>
              <w:t>160,856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105,716</w:t>
            </w:r>
          </w:p>
        </w:tc>
        <w:tc>
          <w:tcPr>
            <w:tcW w:w="0" w:type="dxa"/>
            <w:vAlign w:val="bottom"/>
          </w:tcPr>
          <w:p>
            <w:pPr>
              <w:spacing w:after="0"/>
              <w:rPr>
                <w:sz w:val="1"/>
                <w:szCs w:val="1"/>
                <w:color w:val="auto"/>
              </w:rPr>
            </w:pPr>
          </w:p>
        </w:tc>
      </w:tr>
      <w:tr>
        <w:trPr>
          <w:trHeight w:val="153"/>
        </w:trPr>
        <w:tc>
          <w:tcPr>
            <w:tcW w:w="544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 expense, net</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1,480</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w w:val="93"/>
              </w:rPr>
              <w:t>2,708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2,865</w:t>
            </w:r>
          </w:p>
        </w:tc>
        <w:tc>
          <w:tcPr>
            <w:tcW w:w="0" w:type="dxa"/>
            <w:vAlign w:val="bottom"/>
          </w:tcPr>
          <w:p>
            <w:pPr>
              <w:spacing w:after="0"/>
              <w:rPr>
                <w:sz w:val="1"/>
                <w:szCs w:val="1"/>
                <w:color w:val="auto"/>
              </w:rPr>
            </w:pPr>
          </w:p>
        </w:tc>
      </w:tr>
      <w:tr>
        <w:trPr>
          <w:trHeight w:val="153"/>
        </w:trPr>
        <w:tc>
          <w:tcPr>
            <w:tcW w:w="5440" w:type="dxa"/>
            <w:vAlign w:val="bottom"/>
          </w:tcPr>
          <w:p>
            <w:pPr>
              <w:ind w:left="80"/>
              <w:spacing w:after="0"/>
              <w:rPr>
                <w:sz w:val="20"/>
                <w:szCs w:val="20"/>
                <w:color w:val="auto"/>
              </w:rPr>
            </w:pPr>
            <w:r>
              <w:rPr>
                <w:rFonts w:ascii="Arial" w:cs="Arial" w:eastAsia="Arial" w:hAnsi="Arial"/>
                <w:sz w:val="12"/>
                <w:szCs w:val="12"/>
                <w:color w:val="auto"/>
              </w:rPr>
              <w:t>Loss on sale of businesses</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184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3,258</w:t>
            </w:r>
          </w:p>
        </w:tc>
        <w:tc>
          <w:tcPr>
            <w:tcW w:w="0" w:type="dxa"/>
            <w:vAlign w:val="bottom"/>
          </w:tcPr>
          <w:p>
            <w:pPr>
              <w:spacing w:after="0"/>
              <w:rPr>
                <w:sz w:val="1"/>
                <w:szCs w:val="1"/>
                <w:color w:val="auto"/>
              </w:rPr>
            </w:pPr>
          </w:p>
        </w:tc>
      </w:tr>
      <w:tr>
        <w:trPr>
          <w:trHeight w:val="153"/>
        </w:trPr>
        <w:tc>
          <w:tcPr>
            <w:tcW w:w="544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Interest expense, net of interest income</w:t>
            </w:r>
          </w:p>
        </w:tc>
        <w:tc>
          <w:tcPr>
            <w:tcW w:w="22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18,051</w:t>
            </w:r>
          </w:p>
        </w:tc>
        <w:tc>
          <w:tcPr>
            <w:tcW w:w="10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18,654</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2"/>
                <w:szCs w:val="12"/>
                <w:color w:val="auto"/>
              </w:rPr>
              <w:t>35,969</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37,441</w:t>
            </w:r>
          </w:p>
        </w:tc>
        <w:tc>
          <w:tcPr>
            <w:tcW w:w="0" w:type="dxa"/>
            <w:vAlign w:val="bottom"/>
          </w:tcPr>
          <w:p>
            <w:pPr>
              <w:spacing w:after="0"/>
              <w:rPr>
                <w:sz w:val="1"/>
                <w:szCs w:val="1"/>
                <w:color w:val="auto"/>
              </w:rPr>
            </w:pPr>
          </w:p>
        </w:tc>
      </w:tr>
      <w:tr>
        <w:trPr>
          <w:trHeight w:val="142"/>
        </w:trPr>
        <w:tc>
          <w:tcPr>
            <w:tcW w:w="5440" w:type="dxa"/>
            <w:vAlign w:val="bottom"/>
          </w:tcPr>
          <w:p>
            <w:pPr>
              <w:ind w:left="220"/>
              <w:spacing w:after="0"/>
              <w:rPr>
                <w:sz w:val="20"/>
                <w:szCs w:val="20"/>
                <w:color w:val="auto"/>
              </w:rPr>
            </w:pPr>
            <w:r>
              <w:rPr>
                <w:rFonts w:ascii="Arial" w:cs="Arial" w:eastAsia="Arial" w:hAnsi="Arial"/>
                <w:sz w:val="12"/>
                <w:szCs w:val="12"/>
                <w:color w:val="auto"/>
              </w:rPr>
              <w:t>Income before provision for income taxes</w:t>
            </w:r>
          </w:p>
        </w:tc>
        <w:tc>
          <w:tcPr>
            <w:tcW w:w="1060" w:type="dxa"/>
            <w:vAlign w:val="bottom"/>
            <w:gridSpan w:val="2"/>
          </w:tcPr>
          <w:p>
            <w:pPr>
              <w:jc w:val="right"/>
              <w:ind w:right="706"/>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90,470</w:t>
            </w:r>
          </w:p>
        </w:tc>
        <w:tc>
          <w:tcPr>
            <w:tcW w:w="100" w:type="dxa"/>
            <w:vAlign w:val="bottom"/>
          </w:tcPr>
          <w:p>
            <w:pPr>
              <w:spacing w:after="0"/>
              <w:rPr>
                <w:sz w:val="12"/>
                <w:szCs w:val="12"/>
                <w:color w:val="auto"/>
              </w:rPr>
            </w:pPr>
          </w:p>
        </w:tc>
        <w:tc>
          <w:tcPr>
            <w:tcW w:w="900" w:type="dxa"/>
            <w:vAlign w:val="bottom"/>
          </w:tcPr>
          <w:p>
            <w:pPr>
              <w:jc w:val="right"/>
              <w:ind w:right="790"/>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2"/>
                <w:szCs w:val="12"/>
                <w:color w:val="auto"/>
                <w:w w:val="97"/>
              </w:rPr>
              <w:t>40,882</w:t>
            </w:r>
          </w:p>
        </w:tc>
        <w:tc>
          <w:tcPr>
            <w:tcW w:w="3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40" w:type="dxa"/>
            <w:vAlign w:val="bottom"/>
            <w:gridSpan w:val="4"/>
          </w:tcPr>
          <w:p>
            <w:pPr>
              <w:jc w:val="right"/>
              <w:spacing w:after="0"/>
              <w:rPr>
                <w:sz w:val="20"/>
                <w:szCs w:val="20"/>
                <w:color w:val="auto"/>
              </w:rPr>
            </w:pPr>
            <w:r>
              <w:rPr>
                <w:rFonts w:ascii="Arial" w:cs="Arial" w:eastAsia="Arial" w:hAnsi="Arial"/>
                <w:sz w:val="12"/>
                <w:szCs w:val="12"/>
                <w:color w:val="auto"/>
              </w:rPr>
              <w:t>122,179</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62,152</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420"/>
              <w:spacing w:after="0"/>
              <w:rPr>
                <w:sz w:val="20"/>
                <w:szCs w:val="20"/>
                <w:color w:val="auto"/>
              </w:rPr>
            </w:pPr>
            <w:r>
              <w:rPr>
                <w:rFonts w:ascii="Arial" w:cs="Arial" w:eastAsia="Arial" w:hAnsi="Arial"/>
                <w:sz w:val="12"/>
                <w:szCs w:val="12"/>
                <w:color w:val="auto"/>
                <w:w w:val="91"/>
              </w:rPr>
              <w:t>The following table presents certain assets by reportable segment and in the aggregate (in thousands):</w:t>
            </w: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44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4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jc w:val="right"/>
              <w:ind w:right="381"/>
              <w:spacing w:after="0"/>
              <w:rPr>
                <w:sz w:val="20"/>
                <w:szCs w:val="20"/>
                <w:color w:val="auto"/>
              </w:rPr>
            </w:pPr>
            <w:r>
              <w:rPr>
                <w:rFonts w:ascii="Arial" w:cs="Arial" w:eastAsia="Arial" w:hAnsi="Arial"/>
                <w:sz w:val="11"/>
                <w:szCs w:val="11"/>
                <w:b w:val="1"/>
                <w:bCs w:val="1"/>
                <w:color w:val="auto"/>
                <w:w w:val="86"/>
              </w:rPr>
              <w:t>June 30, 2021</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40"/>
              <w:spacing w:after="0"/>
              <w:rPr>
                <w:sz w:val="20"/>
                <w:szCs w:val="20"/>
                <w:color w:val="auto"/>
              </w:rPr>
            </w:pPr>
            <w:r>
              <w:rPr>
                <w:rFonts w:ascii="Arial" w:cs="Arial" w:eastAsia="Arial" w:hAnsi="Arial"/>
                <w:sz w:val="11"/>
                <w:szCs w:val="11"/>
                <w:b w:val="1"/>
                <w:bCs w:val="1"/>
                <w:color w:val="auto"/>
                <w:w w:val="84"/>
              </w:rPr>
              <w:t>December 31, 2020</w:t>
            </w:r>
          </w:p>
        </w:tc>
        <w:tc>
          <w:tcPr>
            <w:tcW w:w="0" w:type="dxa"/>
            <w:vAlign w:val="bottom"/>
          </w:tcPr>
          <w:p>
            <w:pPr>
              <w:spacing w:after="0"/>
              <w:rPr>
                <w:sz w:val="1"/>
                <w:szCs w:val="1"/>
                <w:color w:val="auto"/>
              </w:rPr>
            </w:pPr>
          </w:p>
        </w:tc>
      </w:tr>
      <w:tr>
        <w:trPr>
          <w:trHeight w:val="144"/>
        </w:trPr>
        <w:tc>
          <w:tcPr>
            <w:tcW w:w="54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Property, plant and equipment, net:</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440" w:type="dxa"/>
            <w:vAlign w:val="bottom"/>
          </w:tcPr>
          <w:p>
            <w:pPr>
              <w:ind w:left="80"/>
              <w:spacing w:after="0"/>
              <w:rPr>
                <w:sz w:val="20"/>
                <w:szCs w:val="20"/>
                <w:color w:val="auto"/>
              </w:rPr>
            </w:pPr>
            <w:r>
              <w:rPr>
                <w:rFonts w:ascii="Arial" w:cs="Arial" w:eastAsia="Arial" w:hAnsi="Arial"/>
                <w:sz w:val="12"/>
                <w:szCs w:val="12"/>
                <w:color w:val="auto"/>
              </w:rPr>
              <w:t>Environmental Services</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1,068,270</w:t>
            </w:r>
          </w:p>
        </w:tc>
        <w:tc>
          <w:tcPr>
            <w:tcW w:w="340" w:type="dxa"/>
            <w:vAlign w:val="bottom"/>
            <w:gridSpan w:val="3"/>
          </w:tcPr>
          <w:p>
            <w:pPr>
              <w:jc w:val="right"/>
              <w:ind w:right="83"/>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1,068,910</w:t>
            </w:r>
          </w:p>
        </w:tc>
        <w:tc>
          <w:tcPr>
            <w:tcW w:w="0" w:type="dxa"/>
            <w:vAlign w:val="bottom"/>
          </w:tcPr>
          <w:p>
            <w:pPr>
              <w:spacing w:after="0"/>
              <w:rPr>
                <w:sz w:val="1"/>
                <w:szCs w:val="1"/>
                <w:color w:val="auto"/>
              </w:rPr>
            </w:pPr>
          </w:p>
        </w:tc>
      </w:tr>
      <w:tr>
        <w:trPr>
          <w:trHeight w:val="153"/>
        </w:trPr>
        <w:tc>
          <w:tcPr>
            <w:tcW w:w="5440" w:type="dxa"/>
            <w:vAlign w:val="bottom"/>
            <w:shd w:val="clear" w:color="auto" w:fill="CCEEFF"/>
          </w:tcPr>
          <w:p>
            <w:pPr>
              <w:ind w:left="80"/>
              <w:spacing w:after="0"/>
              <w:rPr>
                <w:sz w:val="20"/>
                <w:szCs w:val="20"/>
                <w:color w:val="auto"/>
              </w:rPr>
            </w:pPr>
            <w:r>
              <w:rPr>
                <w:rFonts w:ascii="Arial" w:cs="Arial" w:eastAsia="Arial" w:hAnsi="Arial"/>
                <w:sz w:val="12"/>
                <w:szCs w:val="12"/>
                <w:color w:val="auto"/>
              </w:rPr>
              <w:t>Safety-Kleen Sustainability Solutions</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371,056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366,160</w:t>
            </w:r>
          </w:p>
        </w:tc>
        <w:tc>
          <w:tcPr>
            <w:tcW w:w="0" w:type="dxa"/>
            <w:vAlign w:val="bottom"/>
          </w:tcPr>
          <w:p>
            <w:pPr>
              <w:spacing w:after="0"/>
              <w:rPr>
                <w:sz w:val="1"/>
                <w:szCs w:val="1"/>
                <w:color w:val="auto"/>
              </w:rPr>
            </w:pPr>
          </w:p>
        </w:tc>
      </w:tr>
      <w:tr>
        <w:trPr>
          <w:trHeight w:val="153"/>
        </w:trPr>
        <w:tc>
          <w:tcPr>
            <w:tcW w:w="544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Corporate Items</w:t>
            </w:r>
          </w:p>
        </w:tc>
        <w:tc>
          <w:tcPr>
            <w:tcW w:w="22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91,963</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90,228</w:t>
            </w:r>
          </w:p>
        </w:tc>
        <w:tc>
          <w:tcPr>
            <w:tcW w:w="0" w:type="dxa"/>
            <w:vAlign w:val="bottom"/>
          </w:tcPr>
          <w:p>
            <w:pPr>
              <w:spacing w:after="0"/>
              <w:rPr>
                <w:sz w:val="1"/>
                <w:szCs w:val="1"/>
                <w:color w:val="auto"/>
              </w:rPr>
            </w:pPr>
          </w:p>
        </w:tc>
      </w:tr>
      <w:tr>
        <w:trPr>
          <w:trHeight w:val="158"/>
        </w:trPr>
        <w:tc>
          <w:tcPr>
            <w:tcW w:w="54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property, plant and equipment, net</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1,531,289</w:t>
            </w:r>
          </w:p>
        </w:tc>
        <w:tc>
          <w:tcPr>
            <w:tcW w:w="340" w:type="dxa"/>
            <w:vAlign w:val="bottom"/>
            <w:gridSpan w:val="3"/>
            <w:shd w:val="clear" w:color="auto" w:fill="CCEEFF"/>
          </w:tcPr>
          <w:p>
            <w:pPr>
              <w:jc w:val="right"/>
              <w:ind w:right="83"/>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1,525,298</w:t>
            </w:r>
          </w:p>
        </w:tc>
        <w:tc>
          <w:tcPr>
            <w:tcW w:w="0" w:type="dxa"/>
            <w:vAlign w:val="bottom"/>
          </w:tcPr>
          <w:p>
            <w:pPr>
              <w:spacing w:after="0"/>
              <w:rPr>
                <w:sz w:val="1"/>
                <w:szCs w:val="1"/>
                <w:color w:val="auto"/>
              </w:rPr>
            </w:pPr>
          </w:p>
        </w:tc>
      </w:tr>
      <w:tr>
        <w:trPr>
          <w:trHeight w:val="126"/>
        </w:trPr>
        <w:tc>
          <w:tcPr>
            <w:tcW w:w="54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40" w:type="dxa"/>
            <w:vAlign w:val="bottom"/>
            <w:tcBorders>
              <w:top w:val="single" w:sz="8" w:color="CCEEFF"/>
            </w:tcBorders>
          </w:tcPr>
          <w:p>
            <w:pPr>
              <w:spacing w:after="0"/>
              <w:rPr>
                <w:sz w:val="10"/>
                <w:szCs w:val="10"/>
                <w:color w:val="auto"/>
              </w:rPr>
            </w:pPr>
          </w:p>
        </w:tc>
        <w:tc>
          <w:tcPr>
            <w:tcW w:w="5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4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Goodwill and Permits and other intangibles, net:</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40" w:type="dxa"/>
            <w:vAlign w:val="bottom"/>
          </w:tcPr>
          <w:p>
            <w:pPr>
              <w:spacing w:after="0"/>
              <w:rPr>
                <w:sz w:val="20"/>
                <w:szCs w:val="20"/>
                <w:color w:val="auto"/>
              </w:rPr>
            </w:pPr>
            <w:r>
              <w:rPr>
                <w:rFonts w:ascii="Arial" w:cs="Arial" w:eastAsia="Arial" w:hAnsi="Arial"/>
                <w:sz w:val="12"/>
                <w:szCs w:val="12"/>
                <w:color w:val="auto"/>
              </w:rPr>
              <w:t>Environmental Services</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40" w:type="dxa"/>
            <w:vAlign w:val="bottom"/>
            <w:shd w:val="clear" w:color="auto" w:fill="CCEEFF"/>
          </w:tcPr>
          <w:p>
            <w:pPr>
              <w:ind w:left="80"/>
              <w:spacing w:after="0"/>
              <w:rPr>
                <w:sz w:val="20"/>
                <w:szCs w:val="20"/>
                <w:color w:val="auto"/>
              </w:rPr>
            </w:pPr>
            <w:r>
              <w:rPr>
                <w:rFonts w:ascii="Arial" w:cs="Arial" w:eastAsia="Arial" w:hAnsi="Arial"/>
                <w:sz w:val="12"/>
                <w:szCs w:val="12"/>
                <w:color w:val="auto"/>
              </w:rPr>
              <w:t>Goodwill</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403,136</w:t>
            </w:r>
          </w:p>
        </w:tc>
        <w:tc>
          <w:tcPr>
            <w:tcW w:w="340" w:type="dxa"/>
            <w:vAlign w:val="bottom"/>
            <w:gridSpan w:val="3"/>
            <w:shd w:val="clear" w:color="auto" w:fill="CCEEFF"/>
          </w:tcPr>
          <w:p>
            <w:pPr>
              <w:jc w:val="right"/>
              <w:ind w:right="83"/>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401,918</w:t>
            </w:r>
          </w:p>
        </w:tc>
        <w:tc>
          <w:tcPr>
            <w:tcW w:w="0" w:type="dxa"/>
            <w:vAlign w:val="bottom"/>
          </w:tcPr>
          <w:p>
            <w:pPr>
              <w:spacing w:after="0"/>
              <w:rPr>
                <w:sz w:val="1"/>
                <w:szCs w:val="1"/>
                <w:color w:val="auto"/>
              </w:rPr>
            </w:pPr>
          </w:p>
        </w:tc>
      </w:tr>
      <w:tr>
        <w:trPr>
          <w:trHeight w:val="153"/>
        </w:trPr>
        <w:tc>
          <w:tcPr>
            <w:tcW w:w="544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Permits and other intangibles, net</w:t>
            </w:r>
          </w:p>
        </w:tc>
        <w:tc>
          <w:tcPr>
            <w:tcW w:w="22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221,437</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228,237</w:t>
            </w:r>
          </w:p>
        </w:tc>
        <w:tc>
          <w:tcPr>
            <w:tcW w:w="0" w:type="dxa"/>
            <w:vAlign w:val="bottom"/>
          </w:tcPr>
          <w:p>
            <w:pPr>
              <w:spacing w:after="0"/>
              <w:rPr>
                <w:sz w:val="1"/>
                <w:szCs w:val="1"/>
                <w:color w:val="auto"/>
              </w:rPr>
            </w:pPr>
          </w:p>
        </w:tc>
      </w:tr>
      <w:tr>
        <w:trPr>
          <w:trHeight w:val="142"/>
        </w:trPr>
        <w:tc>
          <w:tcPr>
            <w:tcW w:w="54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Environmental Services</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624,573</w:t>
            </w:r>
          </w:p>
        </w:tc>
        <w:tc>
          <w:tcPr>
            <w:tcW w:w="4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630,155</w:t>
            </w:r>
          </w:p>
        </w:tc>
        <w:tc>
          <w:tcPr>
            <w:tcW w:w="0" w:type="dxa"/>
            <w:vAlign w:val="bottom"/>
          </w:tcPr>
          <w:p>
            <w:pPr>
              <w:spacing w:after="0"/>
              <w:rPr>
                <w:sz w:val="1"/>
                <w:szCs w:val="1"/>
                <w:color w:val="auto"/>
              </w:rPr>
            </w:pPr>
          </w:p>
        </w:tc>
      </w:tr>
      <w:tr>
        <w:trPr>
          <w:trHeight w:val="124"/>
        </w:trPr>
        <w:tc>
          <w:tcPr>
            <w:tcW w:w="5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440" w:type="dxa"/>
            <w:vAlign w:val="bottom"/>
            <w:shd w:val="clear" w:color="auto" w:fill="CCEEFF"/>
          </w:tcPr>
          <w:p>
            <w:pPr>
              <w:spacing w:after="0"/>
              <w:rPr>
                <w:sz w:val="20"/>
                <w:szCs w:val="20"/>
                <w:color w:val="auto"/>
              </w:rPr>
            </w:pPr>
            <w:r>
              <w:rPr>
                <w:rFonts w:ascii="Arial" w:cs="Arial" w:eastAsia="Arial" w:hAnsi="Arial"/>
                <w:sz w:val="12"/>
                <w:szCs w:val="12"/>
                <w:color w:val="auto"/>
              </w:rPr>
              <w:t>Safety-Kleen Sustainability Solutions</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440" w:type="dxa"/>
            <w:vAlign w:val="bottom"/>
          </w:tcPr>
          <w:p>
            <w:pPr>
              <w:ind w:left="80"/>
              <w:spacing w:after="0"/>
              <w:rPr>
                <w:sz w:val="20"/>
                <w:szCs w:val="20"/>
                <w:color w:val="auto"/>
              </w:rPr>
            </w:pPr>
            <w:r>
              <w:rPr>
                <w:rFonts w:ascii="Arial" w:cs="Arial" w:eastAsia="Arial" w:hAnsi="Arial"/>
                <w:sz w:val="12"/>
                <w:szCs w:val="12"/>
                <w:color w:val="auto"/>
              </w:rPr>
              <w:t>Goodwill</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141,503</w:t>
            </w:r>
          </w:p>
        </w:tc>
        <w:tc>
          <w:tcPr>
            <w:tcW w:w="340" w:type="dxa"/>
            <w:vAlign w:val="bottom"/>
            <w:gridSpan w:val="3"/>
          </w:tcPr>
          <w:p>
            <w:pPr>
              <w:jc w:val="right"/>
              <w:ind w:right="83"/>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125,105</w:t>
            </w:r>
          </w:p>
        </w:tc>
        <w:tc>
          <w:tcPr>
            <w:tcW w:w="0" w:type="dxa"/>
            <w:vAlign w:val="bottom"/>
          </w:tcPr>
          <w:p>
            <w:pPr>
              <w:spacing w:after="0"/>
              <w:rPr>
                <w:sz w:val="1"/>
                <w:szCs w:val="1"/>
                <w:color w:val="auto"/>
              </w:rPr>
            </w:pPr>
          </w:p>
        </w:tc>
      </w:tr>
      <w:tr>
        <w:trPr>
          <w:trHeight w:val="153"/>
        </w:trPr>
        <w:tc>
          <w:tcPr>
            <w:tcW w:w="5440" w:type="dxa"/>
            <w:vAlign w:val="bottom"/>
            <w:shd w:val="clear" w:color="auto" w:fill="CCEEFF"/>
          </w:tcPr>
          <w:p>
            <w:pPr>
              <w:ind w:left="80"/>
              <w:spacing w:after="0"/>
              <w:rPr>
                <w:sz w:val="20"/>
                <w:szCs w:val="20"/>
                <w:color w:val="auto"/>
              </w:rPr>
            </w:pPr>
            <w:r>
              <w:rPr>
                <w:rFonts w:ascii="Arial" w:cs="Arial" w:eastAsia="Arial" w:hAnsi="Arial"/>
                <w:sz w:val="12"/>
                <w:szCs w:val="12"/>
                <w:color w:val="auto"/>
              </w:rPr>
              <w:t>Permits and other intangibles, net</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152,793</w:t>
            </w: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158,383</w:t>
            </w:r>
          </w:p>
        </w:tc>
        <w:tc>
          <w:tcPr>
            <w:tcW w:w="0" w:type="dxa"/>
            <w:vAlign w:val="bottom"/>
          </w:tcPr>
          <w:p>
            <w:pPr>
              <w:spacing w:after="0"/>
              <w:rPr>
                <w:sz w:val="1"/>
                <w:szCs w:val="1"/>
                <w:color w:val="auto"/>
              </w:rPr>
            </w:pPr>
          </w:p>
        </w:tc>
      </w:tr>
      <w:tr>
        <w:trPr>
          <w:trHeight w:val="142"/>
        </w:trPr>
        <w:tc>
          <w:tcPr>
            <w:tcW w:w="544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Total Safety-Kleen Sustainability Solutions</w:t>
            </w:r>
          </w:p>
        </w:tc>
        <w:tc>
          <w:tcPr>
            <w:tcW w:w="22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294,296</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283,488</w:t>
            </w:r>
          </w:p>
        </w:tc>
        <w:tc>
          <w:tcPr>
            <w:tcW w:w="0" w:type="dxa"/>
            <w:vAlign w:val="bottom"/>
          </w:tcPr>
          <w:p>
            <w:pPr>
              <w:spacing w:after="0"/>
              <w:rPr>
                <w:sz w:val="1"/>
                <w:szCs w:val="1"/>
                <w:color w:val="auto"/>
              </w:rPr>
            </w:pPr>
          </w:p>
        </w:tc>
      </w:tr>
      <w:tr>
        <w:trPr>
          <w:trHeight w:val="124"/>
        </w:trPr>
        <w:tc>
          <w:tcPr>
            <w:tcW w:w="5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440" w:type="dxa"/>
            <w:vAlign w:val="bottom"/>
          </w:tcPr>
          <w:p>
            <w:pPr>
              <w:spacing w:after="0"/>
              <w:rPr>
                <w:sz w:val="20"/>
                <w:szCs w:val="20"/>
                <w:color w:val="auto"/>
              </w:rPr>
            </w:pPr>
            <w:r>
              <w:rPr>
                <w:rFonts w:ascii="Arial" w:cs="Arial" w:eastAsia="Arial" w:hAnsi="Arial"/>
                <w:sz w:val="12"/>
                <w:szCs w:val="12"/>
                <w:color w:val="auto"/>
              </w:rPr>
              <w:t>Total</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918,869</w:t>
            </w:r>
          </w:p>
        </w:tc>
        <w:tc>
          <w:tcPr>
            <w:tcW w:w="340" w:type="dxa"/>
            <w:vAlign w:val="bottom"/>
            <w:gridSpan w:val="3"/>
          </w:tcPr>
          <w:p>
            <w:pPr>
              <w:jc w:val="right"/>
              <w:ind w:right="83"/>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913,643</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60" w:type="dxa"/>
            <w:vAlign w:val="bottom"/>
            <w:gridSpan w:val="2"/>
            <w:vMerge w:val="restart"/>
          </w:tcPr>
          <w:p>
            <w:pPr>
              <w:jc w:val="right"/>
              <w:ind w:right="746"/>
              <w:spacing w:after="0"/>
              <w:rPr>
                <w:sz w:val="20"/>
                <w:szCs w:val="20"/>
                <w:color w:val="auto"/>
              </w:rPr>
            </w:pPr>
            <w:r>
              <w:rPr>
                <w:rFonts w:ascii="Arial" w:cs="Arial" w:eastAsia="Arial" w:hAnsi="Arial"/>
                <w:sz w:val="12"/>
                <w:szCs w:val="12"/>
                <w:color w:val="auto"/>
              </w:rPr>
              <w:t>20</w:t>
            </w: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5440" w:type="dxa"/>
            <w:vAlign w:val="bottom"/>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54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2" w:name="page23"/>
    <w:bookmarkEnd w:id="2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presents the total assets by geographical area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ind w:left="200"/>
              <w:spacing w:after="0"/>
              <w:rPr>
                <w:sz w:val="20"/>
                <w:szCs w:val="20"/>
                <w:color w:val="auto"/>
              </w:rPr>
            </w:pPr>
            <w:r>
              <w:rPr>
                <w:rFonts w:ascii="Arial" w:cs="Arial" w:eastAsia="Arial" w:hAnsi="Arial"/>
                <w:sz w:val="11"/>
                <w:szCs w:val="11"/>
                <w:b w:val="1"/>
                <w:bCs w:val="1"/>
                <w:color w:val="auto"/>
              </w:rPr>
              <w:t>June 30, 2021</w:t>
            </w:r>
          </w:p>
        </w:tc>
        <w:tc>
          <w:tcPr>
            <w:tcW w:w="240" w:type="dxa"/>
            <w:vAlign w:val="bottom"/>
          </w:tcPr>
          <w:p>
            <w:pPr>
              <w:spacing w:after="0"/>
              <w:rPr>
                <w:sz w:val="12"/>
                <w:szCs w:val="12"/>
                <w:color w:val="auto"/>
              </w:rPr>
            </w:pPr>
          </w:p>
        </w:tc>
        <w:tc>
          <w:tcPr>
            <w:tcW w:w="1420" w:type="dxa"/>
            <w:vAlign w:val="bottom"/>
          </w:tcPr>
          <w:p>
            <w:pPr>
              <w:jc w:val="right"/>
              <w:ind w:right="342"/>
              <w:spacing w:after="0"/>
              <w:rPr>
                <w:sz w:val="20"/>
                <w:szCs w:val="20"/>
                <w:color w:val="auto"/>
              </w:rPr>
            </w:pPr>
            <w:r>
              <w:rPr>
                <w:rFonts w:ascii="Arial" w:cs="Arial" w:eastAsia="Arial" w:hAnsi="Arial"/>
                <w:sz w:val="11"/>
                <w:szCs w:val="11"/>
                <w:b w:val="1"/>
                <w:bCs w:val="1"/>
                <w:color w:val="auto"/>
              </w:rPr>
              <w:t>December 31, 2020</w:t>
            </w:r>
          </w:p>
        </w:tc>
      </w:tr>
      <w:tr>
        <w:trPr>
          <w:trHeight w:val="144"/>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United States</w:t>
            </w:r>
          </w:p>
        </w:tc>
        <w:tc>
          <w:tcPr>
            <w:tcW w:w="26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3,566,318</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4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3,447,811</w:t>
            </w:r>
          </w:p>
        </w:tc>
      </w:tr>
      <w:tr>
        <w:trPr>
          <w:trHeight w:val="153"/>
        </w:trPr>
        <w:tc>
          <w:tcPr>
            <w:tcW w:w="80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Canada and other foreign</w:t>
            </w: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709,561</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683,709</w:t>
            </w:r>
          </w:p>
        </w:tc>
      </w:tr>
      <w:tr>
        <w:trPr>
          <w:trHeight w:val="158"/>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4,275,879</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4,131,520</w:t>
            </w:r>
          </w:p>
        </w:tc>
      </w:tr>
    </w:tbl>
    <w:p>
      <w:pPr>
        <w:spacing w:after="0" w:line="383" w:lineRule="exact"/>
        <w:rPr>
          <w:sz w:val="20"/>
          <w:szCs w:val="20"/>
          <w:color w:val="auto"/>
        </w:rPr>
      </w:pPr>
    </w:p>
    <w:p>
      <w:pPr>
        <w:ind w:right="4540"/>
        <w:spacing w:after="0" w:line="426" w:lineRule="auto"/>
        <w:rPr>
          <w:sz w:val="20"/>
          <w:szCs w:val="20"/>
          <w:color w:val="auto"/>
        </w:rPr>
      </w:pPr>
      <w:r>
        <w:rPr>
          <w:rFonts w:ascii="Arial" w:cs="Arial" w:eastAsia="Arial" w:hAnsi="Arial"/>
          <w:sz w:val="12"/>
          <w:szCs w:val="12"/>
          <w:b w:val="1"/>
          <w:bCs w:val="1"/>
          <w:color w:val="auto"/>
        </w:rPr>
        <w:t xml:space="preserve">ITEM 2. MANAGEMENT’S DISCUSSION AND ANALYSIS OF FINANCIAL CONDITION AND RESULTS OF OPERATIONS </w:t>
      </w:r>
      <w:r>
        <w:rPr>
          <w:rFonts w:ascii="Arial" w:cs="Arial" w:eastAsia="Arial" w:hAnsi="Arial"/>
          <w:sz w:val="12"/>
          <w:szCs w:val="12"/>
          <w:b w:val="1"/>
          <w:bCs w:val="1"/>
          <w:i w:val="1"/>
          <w:iCs w:val="1"/>
          <w:color w:val="auto"/>
        </w:rPr>
        <w:t>Forward-Looking Statements</w:t>
      </w:r>
    </w:p>
    <w:p>
      <w:pPr>
        <w:ind w:right="20" w:firstLine="432"/>
        <w:spacing w:after="0" w:line="280" w:lineRule="auto"/>
        <w:rPr>
          <w:sz w:val="20"/>
          <w:szCs w:val="20"/>
          <w:color w:val="auto"/>
        </w:rPr>
      </w:pPr>
      <w:r>
        <w:rPr>
          <w:rFonts w:ascii="Arial" w:cs="Arial" w:eastAsia="Arial" w:hAnsi="Arial"/>
          <w:sz w:val="11"/>
          <w:szCs w:val="11"/>
          <w:color w:val="auto"/>
        </w:rPr>
        <w:t>In addition to historical information, this Quarterly Report on Form 10-Q contains forward-looking statements, which are generally identifiable by use of the words "believes," "expects," "intends," "anticipates," "plans to," "seeks," "should," "estimates," "projects," "may," "likely" or similar expressions. Such statements may include, but are not limited to, statements about future financial and operating results, the Company's plans, objectives, expectations and intentions and other statements that are not historical facts. Forward-looking statements are neither historical facts nor assurances of future performance. Such statements are based upon the beliefs and expectations of Clean Harbors' management as of this date only and are subject to certain risks and uncertainties that could cause actual results to differ materially, including, without limitation, the expected completion and impact of our proposed acquisition of HydroChemPSC ("HPC"), and those items identified as "Risk Factors,” in this report under Item 1A and in our Annual Report on Form 10-K filed with the Securities and Exchange Commission ("SEC") on February 24, 2021, and in other documents we file from time to time with the SEC. Therefore, readers are cautioned not to place undue reliance on these forward-looking statements, which reflect management’s opinions only as of the date hereof. Our actual results and financial condition may differ materially from those indicated in the forward-looking statements. Clean Harbors undertakes no obligation to revise or publicly release the results of any revision to these forward-looking statements other than through its filings with the SEC, which may be viewed in the "Investors" section of the Clean Harbors website.</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Overview</w:t>
      </w:r>
    </w:p>
    <w:p>
      <w:pPr>
        <w:spacing w:after="0" w:line="105" w:lineRule="exact"/>
        <w:rPr>
          <w:sz w:val="20"/>
          <w:szCs w:val="20"/>
          <w:color w:val="auto"/>
        </w:rPr>
      </w:pPr>
    </w:p>
    <w:p>
      <w:pPr>
        <w:ind w:firstLine="486"/>
        <w:spacing w:after="0" w:line="255" w:lineRule="auto"/>
        <w:rPr>
          <w:sz w:val="20"/>
          <w:szCs w:val="20"/>
          <w:color w:val="auto"/>
        </w:rPr>
      </w:pPr>
      <w:r>
        <w:rPr>
          <w:rFonts w:ascii="Arial" w:cs="Arial" w:eastAsia="Arial" w:hAnsi="Arial"/>
          <w:sz w:val="12"/>
          <w:szCs w:val="12"/>
          <w:color w:val="auto"/>
        </w:rPr>
        <w:t>We are North America’s leading provider of environmental and industrial services supporting our customers in finding environmentally responsible solutions to further their sustainability goals in today's world. Everywhere industry meets the environment, we strive to provide eco-friendly products and services that protect and restore North America's natural environment. We believe we operate, in the aggregate, the largest number of hazardous waste incinerators, landfills and treatment, storage and disposal facilities ("TSDFs") in North America. We serve a diverse customer base, including Fortune 500 companies, across the chemical, energy, manufacturing and additional markets, as well as numerous government agencies. These customers rely on us to deliver a broad range of services including but not limited to end-to-end hazardous waste management, emergency response, industrial cleaning and maintenance and recycling services. We are also the largest re-refiner and recycler of used oil in North America and the largest provider of parts washer and related environmental services to commercial, industrial and automotive customers in North America.</w:t>
      </w:r>
    </w:p>
    <w:p>
      <w:pPr>
        <w:spacing w:after="0" w:line="83" w:lineRule="exact"/>
        <w:rPr>
          <w:sz w:val="20"/>
          <w:szCs w:val="20"/>
          <w:color w:val="auto"/>
        </w:rPr>
      </w:pPr>
    </w:p>
    <w:p>
      <w:pPr>
        <w:ind w:right="260" w:firstLine="432"/>
        <w:spacing w:after="0" w:line="263" w:lineRule="auto"/>
        <w:rPr>
          <w:sz w:val="20"/>
          <w:szCs w:val="20"/>
          <w:color w:val="auto"/>
        </w:rPr>
      </w:pPr>
      <w:r>
        <w:rPr>
          <w:rFonts w:ascii="Arial" w:cs="Arial" w:eastAsia="Arial" w:hAnsi="Arial"/>
          <w:sz w:val="12"/>
          <w:szCs w:val="12"/>
          <w:color w:val="auto"/>
        </w:rPr>
        <w:t>During the first quarter of 2021, we reorganized our Safety-Kleen business. The collection services for waste oil, used oil filters, antifreeze and related items and bulk blended oil sales operations were combined with the Safety-Kleen Oil business to form the Safety-Kleen Sustainability Solutions business. Under this structure, Safety-Kleen Sustainability Solutions encompasses both sides of the spread we manage in our re-refinery business, and we expect this change to drive additional growth in our sustainable lubricant products and related services.</w:t>
      </w:r>
    </w:p>
    <w:p>
      <w:pPr>
        <w:spacing w:after="0" w:line="68" w:lineRule="exact"/>
        <w:rPr>
          <w:sz w:val="20"/>
          <w:szCs w:val="20"/>
          <w:color w:val="auto"/>
        </w:rPr>
      </w:pPr>
    </w:p>
    <w:p>
      <w:pPr>
        <w:ind w:right="420" w:firstLine="432"/>
        <w:spacing w:after="0" w:line="379" w:lineRule="auto"/>
        <w:rPr>
          <w:sz w:val="20"/>
          <w:szCs w:val="20"/>
          <w:color w:val="auto"/>
        </w:rPr>
      </w:pPr>
      <w:r>
        <w:rPr>
          <w:rFonts w:ascii="Arial" w:cs="Arial" w:eastAsia="Arial" w:hAnsi="Arial"/>
          <w:sz w:val="10"/>
          <w:szCs w:val="10"/>
          <w:color w:val="auto"/>
        </w:rPr>
        <w:t>Concurrently with this change, we consolidated the Safety-Kleen Environmental branches' core offerings, including containerized waste, parts washer and vacuum services, into the legacy Clean Harbors Environmental Services sales and service operations. We expect this change to foster enhanced cross-selling opportunities within the environmental businesses and increase market presence with small quantity generators of hazardous waste.</w:t>
      </w:r>
    </w:p>
    <w:p>
      <w:pPr>
        <w:spacing w:after="0" w:line="24"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In restructuring the operations of the Company in this manner, the information that the chief operating decision maker regularly reviews for purposes of allocating resources and assessing performance was changed to conform to the new operating structure of the business. As a result, we reevaluated the identification of our operating segments and concluded that, starting in the first quarter of 2021, Environmental Services and Safety-Kleen Sustainability Solutions are our operating segments and reportable segments, with the operations not managed through the operating segments described above continuing to be reported as Corporate Items. The amounts presented for the three and six months ended June 30, 2020 have been recast to reflect the impact of such changes.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3" w:name="page24"/>
    <w:bookmarkEnd w:id="2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Performance of our segments is evaluated on several factors of which the primary financial measure is Adjusted EBITDA. Beginning in the first quarter of 2021, we revised our calculation of reported Adjusted EBITDA to add back stock-based compensation, a non-cash item, to other charges which are added back to net income determined in accordance with generally accepted accounting principles ("GAAP"). See the Adjusted EBITDA section below for additional details regarding this change and our consideration of this metric. Prior period amounts have been recast to conform to this presentation.</w:t>
      </w:r>
    </w:p>
    <w:p>
      <w:pPr>
        <w:spacing w:after="0" w:line="77"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The following is a discussion of how management evaluates its segments in regards to other factors including key performance indicators that management uses to assess the segments’ results, as well as certain macroeconomic trends and influences that impact each reportable segment:</w:t>
      </w:r>
    </w:p>
    <w:p>
      <w:pPr>
        <w:spacing w:after="0" w:line="57" w:lineRule="exact"/>
        <w:rPr>
          <w:sz w:val="20"/>
          <w:szCs w:val="20"/>
          <w:color w:val="auto"/>
        </w:rPr>
      </w:pPr>
    </w:p>
    <w:p>
      <w:pPr>
        <w:ind w:left="640" w:hanging="216"/>
        <w:spacing w:after="0" w:line="279" w:lineRule="auto"/>
        <w:tabs>
          <w:tab w:leader="none" w:pos="637" w:val="left"/>
        </w:tabs>
        <w:numPr>
          <w:ilvl w:val="0"/>
          <w:numId w:val="4"/>
        </w:numPr>
        <w:rPr>
          <w:rFonts w:ascii="Arial" w:cs="Arial" w:eastAsia="Arial" w:hAnsi="Arial"/>
          <w:sz w:val="11"/>
          <w:szCs w:val="11"/>
          <w:color w:val="auto"/>
        </w:rPr>
      </w:pPr>
      <w:r>
        <w:rPr>
          <w:rFonts w:ascii="Arial" w:cs="Arial" w:eastAsia="Arial" w:hAnsi="Arial"/>
          <w:sz w:val="11"/>
          <w:szCs w:val="11"/>
          <w:b w:val="1"/>
          <w:bCs w:val="1"/>
          <w:color w:val="auto"/>
        </w:rPr>
        <w:t xml:space="preserve">Environmental Services - </w:t>
      </w:r>
      <w:r>
        <w:rPr>
          <w:rFonts w:ascii="Arial" w:cs="Arial" w:eastAsia="Arial" w:hAnsi="Arial"/>
          <w:sz w:val="11"/>
          <w:szCs w:val="11"/>
          <w:color w:val="auto"/>
        </w:rPr>
        <w:t>Environmental Services segment results are predicated upon the demand by our customers for waste services, waste volumes generated by such services and project work for which waste</w:t>
      </w:r>
      <w:r>
        <w:rPr>
          <w:rFonts w:ascii="Arial" w:cs="Arial" w:eastAsia="Arial" w:hAnsi="Arial"/>
          <w:sz w:val="11"/>
          <w:szCs w:val="11"/>
          <w:b w:val="1"/>
          <w:bCs w:val="1"/>
          <w:color w:val="auto"/>
        </w:rPr>
        <w:t xml:space="preserve"> </w:t>
      </w:r>
      <w:r>
        <w:rPr>
          <w:rFonts w:ascii="Arial" w:cs="Arial" w:eastAsia="Arial" w:hAnsi="Arial"/>
          <w:sz w:val="11"/>
          <w:szCs w:val="11"/>
          <w:color w:val="auto"/>
        </w:rPr>
        <w:t>handling and/or disposal is required. Environmental Services results are also impacted by the demand for planned and unplanned industrial related cleaning and maintenance services at customer sites, environmental cleanup services on a scheduled or emergency basis, including response to national events such as major chemical spills, natural disasters, or other events where immediate and specialized services are required. As a result of the Coronavirus ("COVID-19") pandemic, the business saw increased demand for response services relative to contagion disinfection, decontamination and disposal in 2020 and into 2021. With the addition of the Safety-Kleen core service offerings, including containerized waste disposal, parts washer and vacuum services, the Environmental Services results are further driven by the volumes of waste collected from these customers, the overall number of parts washers placed at customer sites and the demand for and frequency of other offered services. In managing the business and evaluating performance, management tracks the volumes and mix of waste handled and disposed of or recycled, generally through our owned facilities, the utilization rates of our incinerators, equipment and workforce, including billable hours, and number of parts washer services performed, among other key metrics. Levels of activity and ultimate performance associated with this segment can be impacted by several factors including overall U.S. GDP, U.S. industrial production, economic conditions in the automotive, chemical, manufacturing and other industrial markets, weather conditions, efficiency of our operations, technology, changing regulations, competition, market pricing of our services and the management of our related operating costs.</w:t>
      </w:r>
    </w:p>
    <w:p>
      <w:pPr>
        <w:spacing w:after="0" w:line="68" w:lineRule="exact"/>
        <w:rPr>
          <w:rFonts w:ascii="Arial" w:cs="Arial" w:eastAsia="Arial" w:hAnsi="Arial"/>
          <w:sz w:val="11"/>
          <w:szCs w:val="11"/>
          <w:color w:val="auto"/>
        </w:rPr>
      </w:pPr>
    </w:p>
    <w:p>
      <w:pPr>
        <w:ind w:left="640" w:right="20" w:hanging="216"/>
        <w:spacing w:after="0" w:line="279" w:lineRule="auto"/>
        <w:tabs>
          <w:tab w:leader="none" w:pos="637" w:val="left"/>
        </w:tabs>
        <w:numPr>
          <w:ilvl w:val="0"/>
          <w:numId w:val="4"/>
        </w:numPr>
        <w:rPr>
          <w:rFonts w:ascii="Arial" w:cs="Arial" w:eastAsia="Arial" w:hAnsi="Arial"/>
          <w:sz w:val="11"/>
          <w:szCs w:val="11"/>
          <w:color w:val="auto"/>
        </w:rPr>
      </w:pPr>
      <w:r>
        <w:rPr>
          <w:rFonts w:ascii="Arial" w:cs="Arial" w:eastAsia="Arial" w:hAnsi="Arial"/>
          <w:sz w:val="11"/>
          <w:szCs w:val="11"/>
          <w:b w:val="1"/>
          <w:bCs w:val="1"/>
          <w:color w:val="auto"/>
        </w:rPr>
        <w:t xml:space="preserve">Safety-Kleen Sustainability Solutions - </w:t>
      </w:r>
      <w:r>
        <w:rPr>
          <w:rFonts w:ascii="Arial" w:cs="Arial" w:eastAsia="Arial" w:hAnsi="Arial"/>
          <w:sz w:val="11"/>
          <w:szCs w:val="11"/>
          <w:color w:val="auto"/>
        </w:rPr>
        <w:t>Safety-Kleen Sustainability Solutions segment results are impacted by our customers' demand for high-quality, environmentally responsible recycled oil products and their demand</w:t>
      </w:r>
      <w:r>
        <w:rPr>
          <w:rFonts w:ascii="Arial" w:cs="Arial" w:eastAsia="Arial" w:hAnsi="Arial"/>
          <w:sz w:val="11"/>
          <w:szCs w:val="11"/>
          <w:b w:val="1"/>
          <w:bCs w:val="1"/>
          <w:color w:val="auto"/>
        </w:rPr>
        <w:t xml:space="preserve"> </w:t>
      </w:r>
      <w:r>
        <w:rPr>
          <w:rFonts w:ascii="Arial" w:cs="Arial" w:eastAsia="Arial" w:hAnsi="Arial"/>
          <w:sz w:val="11"/>
          <w:szCs w:val="11"/>
          <w:color w:val="auto"/>
        </w:rPr>
        <w:t>for our related service offerings and products. Safety-Kleen Sustainability Solutions offers high quality recycled base and blended oil products to end users including fleet customers, distributors and manufacturers of oil products. Segment results are impacted by overall demand as well as product mix as it relates to these oil products. Segment results are also predicated on the demand for the Safety-Kleen Sustainability Solutions other product and service offerings including collection services for used oil, used oil filters and other automotive fluids. These fluid collections are used as feedstock in our oil re-refining to make our base and blended oil products and our recycled automotive related fluid products or are integrated into the Clean Harbors' recycling and disposal network. In operating the business and evaluating performance, management tracks the volumes and relative percentages of base and blended oil sales along with various pricing metrics associated with the commodity driven margin. Management also tracks the volumes and pricing of used oil and automotive fluid collections. Levels of activity and ultimate performance associated with this segment can be impacted by economic conditions in the automotive services and manufacturing markets, efficiency of our operations, technology, weather conditions, changing regulations, competition and the management of our related operating costs. Costs incurred in connection with the collection of used oil and other raw materials associated with the segment’s oil related products can also be volatile. The overall market price of oil and regulations that change the possible usage of used oil, including the International Maritime Organization's 2020 regulation ("IMO 2020") and other regulations related to the burning of used motor oil as a fuel, both impact the premium the segment can charge for used oil collections.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4" w:name="page25"/>
    <w:bookmarkEnd w:id="2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Highlights</w:t>
      </w:r>
    </w:p>
    <w:p>
      <w:pPr>
        <w:spacing w:after="0" w:line="105" w:lineRule="exact"/>
        <w:rPr>
          <w:sz w:val="20"/>
          <w:szCs w:val="20"/>
          <w:color w:val="auto"/>
        </w:rPr>
      </w:pPr>
    </w:p>
    <w:p>
      <w:pPr>
        <w:ind w:right="60" w:firstLine="432"/>
        <w:spacing w:after="0" w:line="283" w:lineRule="auto"/>
        <w:rPr>
          <w:sz w:val="20"/>
          <w:szCs w:val="20"/>
          <w:color w:val="auto"/>
        </w:rPr>
      </w:pPr>
      <w:r>
        <w:rPr>
          <w:rFonts w:ascii="Arial" w:cs="Arial" w:eastAsia="Arial" w:hAnsi="Arial"/>
          <w:sz w:val="11"/>
          <w:szCs w:val="11"/>
          <w:color w:val="auto"/>
        </w:rPr>
        <w:t>Total revenues for the three and six months ended June 30, 2021 were $926.5 million and $1,734.6 million, compared with $710.0 million and $1,568.6 million for the three and six months ended June 30, 2020. Prior year operations were negatively affected by the impact of the COVID-19 pandemic. In the three and six months ended June 30, 2021, our Environmental Services segment direct revenues increased 18.2% and 4.6% from the comparable periods in 2020. Current period results were driven primarily by greater volumes of higher value waste streams at our incinerators and higher demand throughout most of our portfolio of services, most predominantly our industrial services operations, partially offset by lower demand for our COVID-19 decontamination services. In the three and six months ended June 30, 2021, our Safety-Kleen Sustainability Solutions segment direct revenues increased 107.8% and 41.9% from the comparable periods in 2020 due to increased pricing and increased demand for base and blended oil which increased volumes of products sold. The fluctuation of the Canadian dollar positively impacted our consolidated revenues by $16.2 million and $22.1 million in the three and six months ended June 30, 2021, respectively.</w:t>
      </w:r>
    </w:p>
    <w:p>
      <w:pPr>
        <w:spacing w:after="0" w:line="59" w:lineRule="exact"/>
        <w:rPr>
          <w:sz w:val="20"/>
          <w:szCs w:val="20"/>
          <w:color w:val="auto"/>
        </w:rPr>
      </w:pPr>
    </w:p>
    <w:p>
      <w:pPr>
        <w:ind w:right="180" w:firstLine="432"/>
        <w:spacing w:after="0" w:line="263" w:lineRule="auto"/>
        <w:rPr>
          <w:sz w:val="20"/>
          <w:szCs w:val="20"/>
          <w:color w:val="auto"/>
        </w:rPr>
      </w:pPr>
      <w:r>
        <w:rPr>
          <w:rFonts w:ascii="Arial" w:cs="Arial" w:eastAsia="Arial" w:hAnsi="Arial"/>
          <w:sz w:val="12"/>
          <w:szCs w:val="12"/>
          <w:color w:val="auto"/>
        </w:rPr>
        <w:t>In the three and six months ended June 30, 2021, costs have increased in both the Environmental Services and Safety-Kleen Sustainability Solutions segments when comparing to the prior year given the increase in business levels and revenue mix combined with lower benefits from the Government Programs. Despite the increased costs seen in the current period, gross margins for the Environmental Services and Safety-Kleen Sustainability Solutions segments have improved from pre-pandemic levels.</w:t>
      </w:r>
    </w:p>
    <w:p>
      <w:pPr>
        <w:spacing w:after="0" w:line="77" w:lineRule="exact"/>
        <w:rPr>
          <w:sz w:val="20"/>
          <w:szCs w:val="20"/>
          <w:color w:val="auto"/>
        </w:rPr>
      </w:pPr>
    </w:p>
    <w:p>
      <w:pPr>
        <w:ind w:right="160" w:firstLine="432"/>
        <w:spacing w:after="0" w:line="323" w:lineRule="auto"/>
        <w:rPr>
          <w:sz w:val="20"/>
          <w:szCs w:val="20"/>
          <w:color w:val="auto"/>
        </w:rPr>
      </w:pPr>
      <w:r>
        <w:rPr>
          <w:rFonts w:ascii="Arial" w:cs="Arial" w:eastAsia="Arial" w:hAnsi="Arial"/>
          <w:sz w:val="11"/>
          <w:szCs w:val="11"/>
          <w:color w:val="auto"/>
        </w:rPr>
        <w:t>We reported income from operations for the three and six months ended June 30, 2021 of $110.0 million and $160.9 million compared with $60.2 million and $105.7 million in the three and six months ended June 30, 2020, and net income for the three and six months ended June 30, 2021 of $67.1 million and $88.8 million compared with net income of $29.0 million and $40.6 million in the three and six months ended June 30, 2020.</w:t>
      </w:r>
    </w:p>
    <w:p>
      <w:pPr>
        <w:spacing w:after="0" w:line="56"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 xml:space="preserve">Adjusted EBITDA, which is the primary financial measure by which our segments are evaluated, increased 35.8% to $187.8 million in the three months ended June 30, 2021 from $138.3 million in the three months ended June 30, 2020 and increased 20.1% to $317.2 million in the six months ended June 30, 2021 from $264.1 million in the six months ended June 30, 2020. This improved profitability was primarily driven by the mix of product sales and strong spread management in the Safety-Kleen Sustainability Solutions segment, as well as continued cost management. Additional information, including a reconciliation of Adjusted EBITDA to net income, appears below under the heading </w:t>
      </w:r>
      <w:r>
        <w:rPr>
          <w:rFonts w:ascii="Arial" w:cs="Arial" w:eastAsia="Arial" w:hAnsi="Arial"/>
          <w:sz w:val="12"/>
          <w:szCs w:val="12"/>
          <w:i w:val="1"/>
          <w:iCs w:val="1"/>
          <w:color w:val="auto"/>
        </w:rPr>
        <w:t>"Adjusted EBITDA."</w:t>
      </w:r>
    </w:p>
    <w:p>
      <w:pPr>
        <w:spacing w:after="0" w:line="88"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 xml:space="preserve">Net cash from operating activities for the six months ended June 30, 2021 was $265.4 million, an increase of $91.9 million from the comparable period in 2020. Adjusted free cash flow, which management uses to measure our financial strength and ability to generate cash, was $176.9 million in the six months ended June 30, 2021, compared to $71.9 million in the comparable period of 2020. These increased levels of cash flows are the result of greater levels of operating income and improved working capital management in 2021. Additional information, including a reconciliation of adjusted free cash flow to net cash from operating activities, appears below under the heading </w:t>
      </w:r>
      <w:r>
        <w:rPr>
          <w:rFonts w:ascii="Arial" w:cs="Arial" w:eastAsia="Arial" w:hAnsi="Arial"/>
          <w:sz w:val="12"/>
          <w:szCs w:val="12"/>
          <w:i w:val="1"/>
          <w:iCs w:val="1"/>
          <w:color w:val="auto"/>
        </w:rPr>
        <w:t>"Adjusted</w:t>
      </w:r>
      <w:r>
        <w:rPr>
          <w:rFonts w:ascii="Arial" w:cs="Arial" w:eastAsia="Arial" w:hAnsi="Arial"/>
          <w:sz w:val="12"/>
          <w:szCs w:val="12"/>
          <w:color w:val="auto"/>
        </w:rPr>
        <w:t xml:space="preserve"> </w:t>
      </w:r>
      <w:r>
        <w:rPr>
          <w:rFonts w:ascii="Arial" w:cs="Arial" w:eastAsia="Arial" w:hAnsi="Arial"/>
          <w:sz w:val="12"/>
          <w:szCs w:val="12"/>
          <w:i w:val="1"/>
          <w:iCs w:val="1"/>
          <w:color w:val="auto"/>
        </w:rPr>
        <w:t>Free Cash Flow."</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Impact of COVID-19</w:t>
      </w:r>
    </w:p>
    <w:p>
      <w:pPr>
        <w:spacing w:after="0" w:line="96"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During the second quarter of 2021, we continued to see incremental improvements in the demand for our products and services consistent with the lifting of travel and other government restrictions and the ongoing national and state vaccination efforts. Over the last year, our business has been slowly recovering after the sharp decline in the second quarter of 2020. As we exited the second quarter of 2021, both quarter to date and year to date direct revenues and Adjusted EBITDA were comparable or higher than pre-pandemic levels for each of our segments.</w:t>
      </w:r>
    </w:p>
    <w:p>
      <w:pPr>
        <w:spacing w:after="0" w:line="7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the first six months of 2021, we recognized $39.7 million of direct revenues specifically related to COVID-19 disinfecting, decontamination and disposal related emergency response services. We began to see slower demand in the second quarter of 2021 when we recognized direct revenues of $11.5 million for such work. Although we are uncertain as to the exact level of such services throughout the remainder of 2021, we expect to continue to see slowing demand for these COVID-19 response services as vaccination levels continue to increase.</w:t>
      </w:r>
    </w:p>
    <w:p>
      <w:pPr>
        <w:spacing w:after="0" w:line="77" w:lineRule="exact"/>
        <w:rPr>
          <w:sz w:val="20"/>
          <w:szCs w:val="20"/>
          <w:color w:val="auto"/>
        </w:rPr>
      </w:pPr>
    </w:p>
    <w:p>
      <w:pPr>
        <w:ind w:right="1140" w:firstLine="432"/>
        <w:spacing w:after="0" w:line="414" w:lineRule="auto"/>
        <w:rPr>
          <w:sz w:val="20"/>
          <w:szCs w:val="20"/>
          <w:color w:val="auto"/>
        </w:rPr>
      </w:pPr>
      <w:r>
        <w:rPr>
          <w:rFonts w:ascii="Arial" w:cs="Arial" w:eastAsia="Arial" w:hAnsi="Arial"/>
          <w:sz w:val="12"/>
          <w:szCs w:val="12"/>
          <w:color w:val="auto"/>
        </w:rPr>
        <w:t xml:space="preserve">The potential impact of COVID-19 variants (e.g. the Delta variant) remains unknown at this time, however could impact both our business recovery and the demand for our COVID-19 response services. </w:t>
      </w:r>
      <w:r>
        <w:rPr>
          <w:rFonts w:ascii="Arial" w:cs="Arial" w:eastAsia="Arial" w:hAnsi="Arial"/>
          <w:sz w:val="12"/>
          <w:szCs w:val="12"/>
          <w:b w:val="1"/>
          <w:bCs w:val="1"/>
          <w:i w:val="1"/>
          <w:iCs w:val="1"/>
          <w:color w:val="auto"/>
        </w:rPr>
        <w:t>Impact of Government Programs</w:t>
      </w:r>
    </w:p>
    <w:p>
      <w:pPr>
        <w:spacing w:after="0" w:line="1"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In 2020, the Governments of Canada and the United States announced the Canada Emergency Wage Subsidy ("CEWS") and the Coronavirus Aid, Relief and Economic Security Act ("CARES Act"), respectively, in response to the widespread economic impact of the COVID-19 pandemic (collectively referred to as "Government Programs"). Both Government Programs have been extended into 2021 and as such, management has continued to consider and analyze the Company's eligibility under such</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5" w:name="page26"/>
    <w:bookmarkEnd w:id="2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ind w:right="280"/>
        <w:spacing w:after="0" w:line="263" w:lineRule="auto"/>
        <w:rPr>
          <w:sz w:val="20"/>
          <w:szCs w:val="20"/>
          <w:color w:val="auto"/>
        </w:rPr>
      </w:pPr>
      <w:r>
        <w:rPr>
          <w:rFonts w:ascii="Arial" w:cs="Arial" w:eastAsia="Arial" w:hAnsi="Arial"/>
          <w:sz w:val="12"/>
          <w:szCs w:val="12"/>
          <w:color w:val="auto"/>
        </w:rPr>
        <w:t>Government Programs. During 2021 the Company recognized certain employee wage subsidies under the CEWS and, to a lesser extent, employee retention credits under the CARES Act. We do not anticipate any future significant benefits from the Government Programs given the current status of our operations. The table below summarizes the benefit of the Government Programs recorded in the statement of operations for the three and six months ended June 30, 2021 and June 30, 2020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40" w:type="dxa"/>
            <w:vAlign w:val="bottom"/>
            <w:gridSpan w:val="5"/>
          </w:tcPr>
          <w:p>
            <w:pPr>
              <w:jc w:val="center"/>
              <w:ind w:right="600"/>
              <w:spacing w:after="0"/>
              <w:rPr>
                <w:sz w:val="20"/>
                <w:szCs w:val="20"/>
                <w:color w:val="auto"/>
              </w:rPr>
            </w:pPr>
            <w:r>
              <w:rPr>
                <w:rFonts w:ascii="Arial" w:cs="Arial" w:eastAsia="Arial" w:hAnsi="Arial"/>
                <w:sz w:val="10"/>
                <w:szCs w:val="10"/>
                <w:b w:val="1"/>
                <w:bCs w:val="1"/>
                <w:color w:val="auto"/>
                <w:w w:val="88"/>
              </w:rPr>
              <w:t>Three Months Ended</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20" w:type="dxa"/>
            <w:vAlign w:val="bottom"/>
            <w:gridSpan w:val="5"/>
          </w:tcPr>
          <w:p>
            <w:pPr>
              <w:jc w:val="center"/>
              <w:ind w:right="600"/>
              <w:spacing w:after="0"/>
              <w:rPr>
                <w:sz w:val="20"/>
                <w:szCs w:val="20"/>
                <w:color w:val="auto"/>
              </w:rPr>
            </w:pPr>
            <w:r>
              <w:rPr>
                <w:rFonts w:ascii="Arial" w:cs="Arial" w:eastAsia="Arial" w:hAnsi="Arial"/>
                <w:sz w:val="10"/>
                <w:szCs w:val="10"/>
                <w:b w:val="1"/>
                <w:bCs w:val="1"/>
                <w:color w:val="auto"/>
                <w:w w:val="86"/>
              </w:rPr>
              <w:t>Three Months Ended</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2"/>
          </w:tcPr>
          <w:p>
            <w:pPr>
              <w:jc w:val="center"/>
              <w:ind w:left="366"/>
              <w:spacing w:after="0"/>
              <w:rPr>
                <w:sz w:val="20"/>
                <w:szCs w:val="20"/>
                <w:color w:val="auto"/>
              </w:rPr>
            </w:pPr>
            <w:r>
              <w:rPr>
                <w:rFonts w:ascii="Arial" w:cs="Arial" w:eastAsia="Arial" w:hAnsi="Arial"/>
                <w:sz w:val="10"/>
                <w:szCs w:val="10"/>
                <w:b w:val="1"/>
                <w:bCs w:val="1"/>
                <w:color w:val="auto"/>
                <w:w w:val="86"/>
              </w:rPr>
              <w:t>June 30, 2021</w:t>
            </w: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2"/>
          </w:tcPr>
          <w:p>
            <w:pPr>
              <w:jc w:val="center"/>
              <w:ind w:left="346"/>
              <w:spacing w:after="0"/>
              <w:rPr>
                <w:sz w:val="20"/>
                <w:szCs w:val="20"/>
                <w:color w:val="auto"/>
              </w:rPr>
            </w:pPr>
            <w:r>
              <w:rPr>
                <w:rFonts w:ascii="Arial" w:cs="Arial" w:eastAsia="Arial" w:hAnsi="Arial"/>
                <w:sz w:val="10"/>
                <w:szCs w:val="10"/>
                <w:b w:val="1"/>
                <w:bCs w:val="1"/>
                <w:color w:val="auto"/>
                <w:w w:val="86"/>
              </w:rPr>
              <w:t>June 30, 2020</w:t>
            </w: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Environmental Services</w:t>
            </w:r>
          </w:p>
        </w:tc>
        <w:tc>
          <w:tcPr>
            <w:tcW w:w="1240" w:type="dxa"/>
            <w:vAlign w:val="bottom"/>
            <w:gridSpan w:val="3"/>
          </w:tcPr>
          <w:p>
            <w:pPr>
              <w:ind w:left="20"/>
              <w:spacing w:after="0" w:line="83" w:lineRule="exact"/>
              <w:rPr>
                <w:sz w:val="20"/>
                <w:szCs w:val="20"/>
                <w:color w:val="auto"/>
              </w:rPr>
            </w:pPr>
            <w:r>
              <w:rPr>
                <w:rFonts w:ascii="Arial" w:cs="Arial" w:eastAsia="Arial" w:hAnsi="Arial"/>
                <w:sz w:val="8"/>
                <w:szCs w:val="8"/>
                <w:b w:val="1"/>
                <w:bCs w:val="1"/>
                <w:color w:val="auto"/>
              </w:rPr>
              <w:t>Safety-Kleen Sustainability</w:t>
            </w:r>
          </w:p>
        </w:tc>
        <w:tc>
          <w:tcPr>
            <w:tcW w:w="100" w:type="dxa"/>
            <w:vAlign w:val="bottom"/>
          </w:tcPr>
          <w:p>
            <w:pPr>
              <w:spacing w:after="0"/>
              <w:rPr>
                <w:sz w:val="7"/>
                <w:szCs w:val="7"/>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Corporate Items</w:t>
            </w:r>
          </w:p>
        </w:tc>
        <w:tc>
          <w:tcPr>
            <w:tcW w:w="220" w:type="dxa"/>
            <w:vAlign w:val="bottom"/>
          </w:tcPr>
          <w:p>
            <w:pPr>
              <w:spacing w:after="0"/>
              <w:rPr>
                <w:sz w:val="7"/>
                <w:szCs w:val="7"/>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7"/>
                <w:szCs w:val="7"/>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Environmental Services</w:t>
            </w:r>
          </w:p>
        </w:tc>
        <w:tc>
          <w:tcPr>
            <w:tcW w:w="1240" w:type="dxa"/>
            <w:vAlign w:val="bottom"/>
            <w:gridSpan w:val="3"/>
          </w:tcPr>
          <w:p>
            <w:pPr>
              <w:ind w:left="20"/>
              <w:spacing w:after="0" w:line="83" w:lineRule="exact"/>
              <w:rPr>
                <w:sz w:val="20"/>
                <w:szCs w:val="20"/>
                <w:color w:val="auto"/>
              </w:rPr>
            </w:pPr>
            <w:r>
              <w:rPr>
                <w:rFonts w:ascii="Arial" w:cs="Arial" w:eastAsia="Arial" w:hAnsi="Arial"/>
                <w:sz w:val="8"/>
                <w:szCs w:val="8"/>
                <w:b w:val="1"/>
                <w:bCs w:val="1"/>
                <w:color w:val="auto"/>
              </w:rPr>
              <w:t>Safety-Kleen Sustainability</w:t>
            </w:r>
          </w:p>
        </w:tc>
        <w:tc>
          <w:tcPr>
            <w:tcW w:w="100" w:type="dxa"/>
            <w:vAlign w:val="bottom"/>
          </w:tcPr>
          <w:p>
            <w:pPr>
              <w:spacing w:after="0"/>
              <w:rPr>
                <w:sz w:val="7"/>
                <w:szCs w:val="7"/>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Corporate Items</w:t>
            </w:r>
          </w:p>
        </w:tc>
        <w:tc>
          <w:tcPr>
            <w:tcW w:w="220" w:type="dxa"/>
            <w:vAlign w:val="bottom"/>
          </w:tcPr>
          <w:p>
            <w:pPr>
              <w:spacing w:after="0"/>
              <w:rPr>
                <w:sz w:val="7"/>
                <w:szCs w:val="7"/>
                <w:color w:val="auto"/>
              </w:rPr>
            </w:pPr>
          </w:p>
        </w:tc>
        <w:tc>
          <w:tcPr>
            <w:tcW w:w="720" w:type="dxa"/>
            <w:vAlign w:val="bottom"/>
            <w:vMerge w:val="restart"/>
          </w:tcPr>
          <w:p>
            <w:pPr>
              <w:jc w:val="right"/>
              <w:ind w:right="303"/>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tcPr>
          <w:p>
            <w:pPr>
              <w:ind w:left="160"/>
              <w:spacing w:after="0"/>
              <w:rPr>
                <w:sz w:val="20"/>
                <w:szCs w:val="20"/>
                <w:color w:val="auto"/>
              </w:rPr>
            </w:pPr>
            <w:r>
              <w:rPr>
                <w:rFonts w:ascii="Arial" w:cs="Arial" w:eastAsia="Arial" w:hAnsi="Arial"/>
                <w:sz w:val="10"/>
                <w:szCs w:val="10"/>
                <w:b w:val="1"/>
                <w:bCs w:val="1"/>
                <w:color w:val="auto"/>
              </w:rPr>
              <w:t>Solutions</w:t>
            </w: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tcPr>
          <w:p>
            <w:pPr>
              <w:ind w:left="140"/>
              <w:spacing w:after="0"/>
              <w:rPr>
                <w:sz w:val="20"/>
                <w:szCs w:val="20"/>
                <w:color w:val="auto"/>
              </w:rPr>
            </w:pPr>
            <w:r>
              <w:rPr>
                <w:rFonts w:ascii="Arial" w:cs="Arial" w:eastAsia="Arial" w:hAnsi="Arial"/>
                <w:sz w:val="10"/>
                <w:szCs w:val="10"/>
                <w:b w:val="1"/>
                <w:bCs w:val="1"/>
                <w:color w:val="auto"/>
              </w:rPr>
              <w:t>Solutions</w:t>
            </w: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22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Cost of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3,369</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9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2"/>
                <w:szCs w:val="12"/>
                <w:color w:val="auto"/>
              </w:rPr>
              <w:t>256</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3,681</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12,950</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9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2"/>
                <w:szCs w:val="12"/>
                <w:color w:val="auto"/>
              </w:rPr>
              <w:t>911</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415</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14,276</w:t>
            </w:r>
          </w:p>
        </w:tc>
        <w:tc>
          <w:tcPr>
            <w:tcW w:w="0" w:type="dxa"/>
            <w:vAlign w:val="bottom"/>
          </w:tcPr>
          <w:p>
            <w:pPr>
              <w:spacing w:after="0"/>
              <w:rPr>
                <w:sz w:val="1"/>
                <w:szCs w:val="1"/>
                <w:color w:val="auto"/>
              </w:rPr>
            </w:pPr>
          </w:p>
        </w:tc>
      </w:tr>
      <w:tr>
        <w:trPr>
          <w:trHeight w:val="153"/>
        </w:trPr>
        <w:tc>
          <w:tcPr>
            <w:tcW w:w="22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w w:val="92"/>
              </w:rPr>
              <w:t>Selling, general and administrative expenses</w:t>
            </w: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1,032</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2"/>
                <w:szCs w:val="12"/>
                <w:color w:val="auto"/>
              </w:rPr>
              <w:t>219</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263</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1,514</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6,743</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2"/>
                <w:szCs w:val="12"/>
                <w:color w:val="auto"/>
              </w:rPr>
              <w:t>931</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1,449</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9,123</w:t>
            </w:r>
          </w:p>
        </w:tc>
        <w:tc>
          <w:tcPr>
            <w:tcW w:w="0" w:type="dxa"/>
            <w:vAlign w:val="bottom"/>
          </w:tcPr>
          <w:p>
            <w:pPr>
              <w:spacing w:after="0"/>
              <w:rPr>
                <w:sz w:val="1"/>
                <w:szCs w:val="1"/>
                <w:color w:val="auto"/>
              </w:rPr>
            </w:pPr>
          </w:p>
        </w:tc>
      </w:tr>
      <w:tr>
        <w:trPr>
          <w:trHeight w:val="149"/>
        </w:trPr>
        <w:tc>
          <w:tcPr>
            <w:tcW w:w="222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4,401</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2"/>
                <w:szCs w:val="12"/>
                <w:color w:val="auto"/>
              </w:rPr>
              <w:t>475</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319</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5,195</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19,693</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2"/>
                <w:szCs w:val="12"/>
                <w:color w:val="auto"/>
              </w:rPr>
              <w:t>1,842</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1,864</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23,399</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0"/>
                <w:szCs w:val="10"/>
                <w:b w:val="1"/>
                <w:bCs w:val="1"/>
                <w:color w:val="auto"/>
              </w:rPr>
              <w:t>Six Months Ended</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3"/>
          </w:tcPr>
          <w:p>
            <w:pPr>
              <w:jc w:val="center"/>
              <w:ind w:left="246"/>
              <w:spacing w:after="0"/>
              <w:rPr>
                <w:sz w:val="20"/>
                <w:szCs w:val="20"/>
                <w:color w:val="auto"/>
              </w:rPr>
            </w:pPr>
            <w:r>
              <w:rPr>
                <w:rFonts w:ascii="Arial" w:cs="Arial" w:eastAsia="Arial" w:hAnsi="Arial"/>
                <w:sz w:val="10"/>
                <w:szCs w:val="10"/>
                <w:b w:val="1"/>
                <w:bCs w:val="1"/>
                <w:color w:val="auto"/>
                <w:w w:val="87"/>
              </w:rPr>
              <w:t>Six Months Ended</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2"/>
          </w:tcPr>
          <w:p>
            <w:pPr>
              <w:jc w:val="center"/>
              <w:ind w:left="366"/>
              <w:spacing w:after="0"/>
              <w:rPr>
                <w:sz w:val="20"/>
                <w:szCs w:val="20"/>
                <w:color w:val="auto"/>
              </w:rPr>
            </w:pPr>
            <w:r>
              <w:rPr>
                <w:rFonts w:ascii="Arial" w:cs="Arial" w:eastAsia="Arial" w:hAnsi="Arial"/>
                <w:sz w:val="10"/>
                <w:szCs w:val="10"/>
                <w:b w:val="1"/>
                <w:bCs w:val="1"/>
                <w:color w:val="auto"/>
                <w:w w:val="86"/>
              </w:rPr>
              <w:t>June 30, 2021</w:t>
            </w: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2"/>
          </w:tcPr>
          <w:p>
            <w:pPr>
              <w:jc w:val="center"/>
              <w:ind w:left="346"/>
              <w:spacing w:after="0"/>
              <w:rPr>
                <w:sz w:val="20"/>
                <w:szCs w:val="20"/>
                <w:color w:val="auto"/>
              </w:rPr>
            </w:pPr>
            <w:r>
              <w:rPr>
                <w:rFonts w:ascii="Arial" w:cs="Arial" w:eastAsia="Arial" w:hAnsi="Arial"/>
                <w:sz w:val="10"/>
                <w:szCs w:val="10"/>
                <w:b w:val="1"/>
                <w:bCs w:val="1"/>
                <w:color w:val="auto"/>
                <w:w w:val="86"/>
              </w:rPr>
              <w:t>June 30, 2020</w:t>
            </w: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Environmental Services</w:t>
            </w:r>
          </w:p>
        </w:tc>
        <w:tc>
          <w:tcPr>
            <w:tcW w:w="1240" w:type="dxa"/>
            <w:vAlign w:val="bottom"/>
            <w:gridSpan w:val="3"/>
          </w:tcPr>
          <w:p>
            <w:pPr>
              <w:ind w:left="20"/>
              <w:spacing w:after="0" w:line="83" w:lineRule="exact"/>
              <w:rPr>
                <w:sz w:val="20"/>
                <w:szCs w:val="20"/>
                <w:color w:val="auto"/>
              </w:rPr>
            </w:pPr>
            <w:r>
              <w:rPr>
                <w:rFonts w:ascii="Arial" w:cs="Arial" w:eastAsia="Arial" w:hAnsi="Arial"/>
                <w:sz w:val="8"/>
                <w:szCs w:val="8"/>
                <w:b w:val="1"/>
                <w:bCs w:val="1"/>
                <w:color w:val="auto"/>
              </w:rPr>
              <w:t>Safety-Kleen Sustainability</w:t>
            </w:r>
          </w:p>
        </w:tc>
        <w:tc>
          <w:tcPr>
            <w:tcW w:w="100" w:type="dxa"/>
            <w:vAlign w:val="bottom"/>
          </w:tcPr>
          <w:p>
            <w:pPr>
              <w:spacing w:after="0"/>
              <w:rPr>
                <w:sz w:val="7"/>
                <w:szCs w:val="7"/>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Corporate Items</w:t>
            </w:r>
          </w:p>
        </w:tc>
        <w:tc>
          <w:tcPr>
            <w:tcW w:w="220" w:type="dxa"/>
            <w:vAlign w:val="bottom"/>
          </w:tcPr>
          <w:p>
            <w:pPr>
              <w:spacing w:after="0"/>
              <w:rPr>
                <w:sz w:val="7"/>
                <w:szCs w:val="7"/>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7"/>
                <w:szCs w:val="7"/>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Environmental Services</w:t>
            </w:r>
          </w:p>
        </w:tc>
        <w:tc>
          <w:tcPr>
            <w:tcW w:w="1240" w:type="dxa"/>
            <w:vAlign w:val="bottom"/>
            <w:gridSpan w:val="3"/>
          </w:tcPr>
          <w:p>
            <w:pPr>
              <w:ind w:left="20"/>
              <w:spacing w:after="0" w:line="83" w:lineRule="exact"/>
              <w:rPr>
                <w:sz w:val="20"/>
                <w:szCs w:val="20"/>
                <w:color w:val="auto"/>
              </w:rPr>
            </w:pPr>
            <w:r>
              <w:rPr>
                <w:rFonts w:ascii="Arial" w:cs="Arial" w:eastAsia="Arial" w:hAnsi="Arial"/>
                <w:sz w:val="8"/>
                <w:szCs w:val="8"/>
                <w:b w:val="1"/>
                <w:bCs w:val="1"/>
                <w:color w:val="auto"/>
              </w:rPr>
              <w:t>Safety-Kleen Sustainability</w:t>
            </w:r>
          </w:p>
        </w:tc>
        <w:tc>
          <w:tcPr>
            <w:tcW w:w="100" w:type="dxa"/>
            <w:vAlign w:val="bottom"/>
          </w:tcPr>
          <w:p>
            <w:pPr>
              <w:spacing w:after="0"/>
              <w:rPr>
                <w:sz w:val="7"/>
                <w:szCs w:val="7"/>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Corporate Items</w:t>
            </w:r>
          </w:p>
        </w:tc>
        <w:tc>
          <w:tcPr>
            <w:tcW w:w="220" w:type="dxa"/>
            <w:vAlign w:val="bottom"/>
          </w:tcPr>
          <w:p>
            <w:pPr>
              <w:spacing w:after="0"/>
              <w:rPr>
                <w:sz w:val="7"/>
                <w:szCs w:val="7"/>
                <w:color w:val="auto"/>
              </w:rPr>
            </w:pPr>
          </w:p>
        </w:tc>
        <w:tc>
          <w:tcPr>
            <w:tcW w:w="720" w:type="dxa"/>
            <w:vAlign w:val="bottom"/>
            <w:vMerge w:val="restart"/>
          </w:tcPr>
          <w:p>
            <w:pPr>
              <w:jc w:val="right"/>
              <w:ind w:right="303"/>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tcPr>
          <w:p>
            <w:pPr>
              <w:ind w:left="160"/>
              <w:spacing w:after="0"/>
              <w:rPr>
                <w:sz w:val="20"/>
                <w:szCs w:val="20"/>
                <w:color w:val="auto"/>
              </w:rPr>
            </w:pPr>
            <w:r>
              <w:rPr>
                <w:rFonts w:ascii="Arial" w:cs="Arial" w:eastAsia="Arial" w:hAnsi="Arial"/>
                <w:sz w:val="10"/>
                <w:szCs w:val="10"/>
                <w:b w:val="1"/>
                <w:bCs w:val="1"/>
                <w:color w:val="auto"/>
              </w:rPr>
              <w:t>Solutions</w:t>
            </w: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tcPr>
          <w:p>
            <w:pPr>
              <w:ind w:left="140"/>
              <w:spacing w:after="0"/>
              <w:rPr>
                <w:sz w:val="20"/>
                <w:szCs w:val="20"/>
                <w:color w:val="auto"/>
              </w:rPr>
            </w:pPr>
            <w:r>
              <w:rPr>
                <w:rFonts w:ascii="Arial" w:cs="Arial" w:eastAsia="Arial" w:hAnsi="Arial"/>
                <w:sz w:val="10"/>
                <w:szCs w:val="10"/>
                <w:b w:val="1"/>
                <w:bCs w:val="1"/>
                <w:color w:val="auto"/>
              </w:rPr>
              <w:t>Solutions</w:t>
            </w: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22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Cost of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7,136</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9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2"/>
                <w:szCs w:val="12"/>
                <w:color w:val="auto"/>
              </w:rPr>
              <w:t>725</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80</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7,941</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12,950</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9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2"/>
                <w:szCs w:val="12"/>
                <w:color w:val="auto"/>
              </w:rPr>
              <w:t>911</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415</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14,276</w:t>
            </w:r>
          </w:p>
        </w:tc>
        <w:tc>
          <w:tcPr>
            <w:tcW w:w="0" w:type="dxa"/>
            <w:vAlign w:val="bottom"/>
          </w:tcPr>
          <w:p>
            <w:pPr>
              <w:spacing w:after="0"/>
              <w:rPr>
                <w:sz w:val="1"/>
                <w:szCs w:val="1"/>
                <w:color w:val="auto"/>
              </w:rPr>
            </w:pPr>
          </w:p>
        </w:tc>
      </w:tr>
      <w:tr>
        <w:trPr>
          <w:trHeight w:val="153"/>
        </w:trPr>
        <w:tc>
          <w:tcPr>
            <w:tcW w:w="22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w w:val="92"/>
              </w:rPr>
              <w:t>Selling, general and administrative expenses</w:t>
            </w: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1,779</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2"/>
                <w:szCs w:val="12"/>
                <w:color w:val="auto"/>
              </w:rPr>
              <w:t>545</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343</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2,667</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6,743</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2"/>
                <w:szCs w:val="12"/>
                <w:color w:val="auto"/>
              </w:rPr>
              <w:t>931</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1,449</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9,123</w:t>
            </w:r>
          </w:p>
        </w:tc>
        <w:tc>
          <w:tcPr>
            <w:tcW w:w="0" w:type="dxa"/>
            <w:vAlign w:val="bottom"/>
          </w:tcPr>
          <w:p>
            <w:pPr>
              <w:spacing w:after="0"/>
              <w:rPr>
                <w:sz w:val="1"/>
                <w:szCs w:val="1"/>
                <w:color w:val="auto"/>
              </w:rPr>
            </w:pPr>
          </w:p>
        </w:tc>
      </w:tr>
      <w:tr>
        <w:trPr>
          <w:trHeight w:val="158"/>
        </w:trPr>
        <w:tc>
          <w:tcPr>
            <w:tcW w:w="222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8,915</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2"/>
                <w:szCs w:val="12"/>
                <w:color w:val="auto"/>
              </w:rPr>
              <w:t>1,270</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423</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10,608</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19,693</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2"/>
                <w:szCs w:val="12"/>
                <w:color w:val="auto"/>
              </w:rPr>
              <w:t>1,842</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1,864</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23,399</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Proposed acquisition of HydroChemPSC</w:t>
      </w:r>
    </w:p>
    <w:p>
      <w:pPr>
        <w:spacing w:after="0" w:line="96" w:lineRule="exact"/>
        <w:rPr>
          <w:sz w:val="20"/>
          <w:szCs w:val="20"/>
          <w:color w:val="auto"/>
        </w:rPr>
      </w:pPr>
    </w:p>
    <w:p>
      <w:pPr>
        <w:jc w:val="both"/>
        <w:ind w:right="60" w:firstLine="432"/>
        <w:spacing w:after="0" w:line="323" w:lineRule="auto"/>
        <w:rPr>
          <w:sz w:val="20"/>
          <w:szCs w:val="20"/>
          <w:color w:val="auto"/>
        </w:rPr>
      </w:pPr>
      <w:r>
        <w:rPr>
          <w:rFonts w:ascii="Arial" w:cs="Arial" w:eastAsia="Arial" w:hAnsi="Arial"/>
          <w:sz w:val="11"/>
          <w:szCs w:val="11"/>
          <w:color w:val="auto"/>
        </w:rPr>
        <w:t>On August 3, 2021, we signed a definitive agreement to acquire HydroChemPSC for $1.25 billion ("HPC Acquisition") in cash consideration subject to customary purchase price adjustments. HPC is a leading U.S. provider of industrial cleaning, specialty maintenance and utility services. The HPC Acquisition is subject to approval by regulators, as well as other customary closing conditions, and is expected to close later this year.</w:t>
      </w:r>
    </w:p>
    <w:p>
      <w:pPr>
        <w:spacing w:after="0" w:line="47" w:lineRule="exact"/>
        <w:rPr>
          <w:sz w:val="20"/>
          <w:szCs w:val="20"/>
          <w:color w:val="auto"/>
        </w:rPr>
      </w:pPr>
    </w:p>
    <w:p>
      <w:pPr>
        <w:ind w:right="60" w:firstLine="432"/>
        <w:spacing w:after="0" w:line="263" w:lineRule="auto"/>
        <w:rPr>
          <w:sz w:val="20"/>
          <w:szCs w:val="20"/>
          <w:color w:val="auto"/>
        </w:rPr>
      </w:pPr>
      <w:r>
        <w:rPr>
          <w:rFonts w:ascii="Arial" w:cs="Arial" w:eastAsia="Arial" w:hAnsi="Arial"/>
          <w:sz w:val="12"/>
          <w:szCs w:val="12"/>
          <w:color w:val="auto"/>
        </w:rPr>
        <w:t>HPC serves customers across a broad range of markets and provides solutions to customers focused on cleaning, maintenance and environmental compliance of essential, mission critical equipment and infrastructure. HPC has more than 5,000 employees, over 240 service locations across the United States and has a fleet of specialized equipment and vehicles as well as technology which will enhance and add to the assets of the Environmental Services segment.</w:t>
      </w:r>
    </w:p>
    <w:p>
      <w:pPr>
        <w:spacing w:after="0" w:line="77" w:lineRule="exact"/>
        <w:rPr>
          <w:sz w:val="20"/>
          <w:szCs w:val="20"/>
          <w:color w:val="auto"/>
        </w:rPr>
      </w:pPr>
    </w:p>
    <w:p>
      <w:pPr>
        <w:jc w:val="both"/>
        <w:ind w:right="100" w:firstLine="432"/>
        <w:spacing w:after="0" w:line="263" w:lineRule="auto"/>
        <w:rPr>
          <w:sz w:val="20"/>
          <w:szCs w:val="20"/>
          <w:color w:val="auto"/>
        </w:rPr>
      </w:pPr>
      <w:r>
        <w:rPr>
          <w:rFonts w:ascii="Arial" w:cs="Arial" w:eastAsia="Arial" w:hAnsi="Arial"/>
          <w:sz w:val="12"/>
          <w:szCs w:val="12"/>
          <w:color w:val="auto"/>
        </w:rPr>
        <w:t>Given the size and complexity of the HPC Acquisition and the required regulatory approval, we cannot definitively state when the HPC Acquisition will be completed. We currently anticipate that the HPC Acquisition will be completed later in 2021, however, consummation will be subject to certain conditions, including, among others, expiration or termination of the applicable Hart-Scott-Rodino antitrust waiting periods. The terms and conditions of any authorization or consent that is granted, if any, may impose requirements, limitations or restrictions that may materially delay the completion of the HPC Acquisition.</w:t>
      </w:r>
    </w:p>
    <w:p>
      <w:pPr>
        <w:spacing w:after="0" w:line="68" w:lineRule="exact"/>
        <w:rPr>
          <w:sz w:val="20"/>
          <w:szCs w:val="20"/>
          <w:color w:val="auto"/>
        </w:rPr>
      </w:pPr>
    </w:p>
    <w:p>
      <w:pPr>
        <w:jc w:val="both"/>
        <w:ind w:right="120" w:firstLine="432"/>
        <w:spacing w:after="0" w:line="323" w:lineRule="auto"/>
        <w:rPr>
          <w:sz w:val="20"/>
          <w:szCs w:val="20"/>
          <w:color w:val="auto"/>
        </w:rPr>
      </w:pPr>
      <w:r>
        <w:rPr>
          <w:rFonts w:ascii="Arial" w:cs="Arial" w:eastAsia="Arial" w:hAnsi="Arial"/>
          <w:sz w:val="11"/>
          <w:szCs w:val="11"/>
          <w:color w:val="auto"/>
        </w:rPr>
        <w:t>We expect to incur significant costs in connection with the HPC Acquisition, including costs related to financing the HPC Acquisition and ultimate integration of the business. We will be subject to capital debt market risks in connection with our plan to finance the portion of the purchase price above the amount of available cash which we plan to use. We have a financing commitment for term loan debt financing from Goldman Sachs Bank USA.</w:t>
      </w:r>
    </w:p>
    <w:p>
      <w:pPr>
        <w:spacing w:after="0" w:line="47"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Upon completion of the HPC Acquisition, successful integration of the HPC business and operations into our business will be necessary to realize the anticipated benefits from combining HPC with Clean Harbors. We believe that the combined business will benefit from incremental waste volumes through Clean Harbors' network of facilities, greater customer relationships and cross selling opportunities and synergistic opportunities within customer service, transportation, branch network, asset rentals and vehicle and tank refurbishment among others. The success of the HPC Acquisition will depend, in part, on integration of the financial reporting systems and controls and the focused attention (time and resources) of both Clean Harbors' and HPC's management teams.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6" w:name="page27"/>
    <w:bookmarkEnd w:id="2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Segment Performance</w:t>
      </w:r>
    </w:p>
    <w:p>
      <w:pPr>
        <w:spacing w:after="0" w:line="96"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The primary financial measure by which we evaluate the performance of our segments is Adjusted EBITDA. The following table sets forth certain financial information associated with our results of operations for the three and six months ended June 30, 2021 and June 30, 2020 (in thousands, except percentages):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5"/>
          </w:tcPr>
          <w:p>
            <w:pPr>
              <w:ind w:left="360"/>
              <w:spacing w:after="0"/>
              <w:rPr>
                <w:sz w:val="20"/>
                <w:szCs w:val="20"/>
                <w:color w:val="auto"/>
              </w:rPr>
            </w:pPr>
            <w:r>
              <w:rPr>
                <w:rFonts w:ascii="Arial" w:cs="Arial" w:eastAsia="Arial" w:hAnsi="Arial"/>
                <w:sz w:val="11"/>
                <w:szCs w:val="11"/>
                <w:b w:val="1"/>
                <w:bCs w:val="1"/>
                <w:color w:val="auto"/>
              </w:rPr>
              <w:t>Summary of Operations</w:t>
            </w: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4"/>
          </w:tcPr>
          <w:p>
            <w:pPr>
              <w:jc w:val="right"/>
              <w:ind w:right="346"/>
              <w:spacing w:after="0"/>
              <w:rPr>
                <w:sz w:val="20"/>
                <w:szCs w:val="20"/>
                <w:color w:val="auto"/>
              </w:rPr>
            </w:pPr>
            <w:r>
              <w:rPr>
                <w:rFonts w:ascii="Arial" w:cs="Arial" w:eastAsia="Arial" w:hAnsi="Arial"/>
                <w:sz w:val="11"/>
                <w:szCs w:val="11"/>
                <w:b w:val="1"/>
                <w:bCs w:val="1"/>
                <w:color w:val="auto"/>
                <w:w w:val="99"/>
              </w:rPr>
              <w:t>For the Three Months Ended</w:t>
            </w: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4"/>
              </w:rPr>
              <w:t>For the Six Months Ended</w:t>
            </w: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June 30, 2021</w:t>
            </w:r>
          </w:p>
        </w:tc>
        <w:tc>
          <w:tcPr>
            <w:tcW w:w="120" w:type="dxa"/>
            <w:vAlign w:val="bottom"/>
          </w:tcPr>
          <w:p>
            <w:pPr>
              <w:spacing w:after="0"/>
              <w:rPr>
                <w:sz w:val="8"/>
                <w:szCs w:val="8"/>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June 30, 2020</w:t>
            </w:r>
          </w:p>
        </w:tc>
        <w:tc>
          <w:tcPr>
            <w:tcW w:w="180" w:type="dxa"/>
            <w:vAlign w:val="bottom"/>
          </w:tcPr>
          <w:p>
            <w:pPr>
              <w:spacing w:after="0"/>
              <w:rPr>
                <w:sz w:val="8"/>
                <w:szCs w:val="8"/>
                <w:color w:val="auto"/>
              </w:rPr>
            </w:pPr>
          </w:p>
        </w:tc>
        <w:tc>
          <w:tcPr>
            <w:tcW w:w="780" w:type="dxa"/>
            <w:vAlign w:val="bottom"/>
          </w:tcPr>
          <w:p>
            <w:pPr>
              <w:jc w:val="right"/>
              <w:ind w:right="406"/>
              <w:spacing w:after="0" w:line="99" w:lineRule="exact"/>
              <w:rPr>
                <w:sz w:val="20"/>
                <w:szCs w:val="20"/>
                <w:color w:val="auto"/>
              </w:rPr>
            </w:pPr>
            <w:r>
              <w:rPr>
                <w:rFonts w:ascii="Arial" w:cs="Arial" w:eastAsia="Arial" w:hAnsi="Arial"/>
                <w:sz w:val="11"/>
                <w:szCs w:val="11"/>
                <w:b w:val="1"/>
                <w:bCs w:val="1"/>
                <w:color w:val="auto"/>
              </w:rPr>
              <w:t>$</w:t>
            </w:r>
          </w:p>
        </w:tc>
        <w:tc>
          <w:tcPr>
            <w:tcW w:w="940" w:type="dxa"/>
            <w:vAlign w:val="bottom"/>
            <w:gridSpan w:val="2"/>
          </w:tcPr>
          <w:p>
            <w:pPr>
              <w:jc w:val="center"/>
              <w:ind w:left="6"/>
              <w:spacing w:after="0" w:line="99"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June 30, 2021</w:t>
            </w:r>
          </w:p>
        </w:tc>
        <w:tc>
          <w:tcPr>
            <w:tcW w:w="120" w:type="dxa"/>
            <w:vAlign w:val="bottom"/>
          </w:tcPr>
          <w:p>
            <w:pPr>
              <w:spacing w:after="0"/>
              <w:rPr>
                <w:sz w:val="8"/>
                <w:szCs w:val="8"/>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June 30, 2020</w:t>
            </w:r>
          </w:p>
        </w:tc>
        <w:tc>
          <w:tcPr>
            <w:tcW w:w="2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54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w w:val="84"/>
              </w:rPr>
              <w:t>Change</w:t>
            </w:r>
          </w:p>
        </w:tc>
        <w:tc>
          <w:tcPr>
            <w:tcW w:w="80" w:type="dxa"/>
            <w:vAlign w:val="bottom"/>
          </w:tcPr>
          <w:p>
            <w:pPr>
              <w:spacing w:after="0"/>
              <w:rPr>
                <w:sz w:val="8"/>
                <w:szCs w:val="8"/>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0"/>
              </w:rPr>
              <w:t>% Change</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246"/>
              <w:spacing w:after="0"/>
              <w:rPr>
                <w:sz w:val="20"/>
                <w:szCs w:val="20"/>
                <w:color w:val="auto"/>
              </w:rPr>
            </w:pPr>
            <w:r>
              <w:rPr>
                <w:rFonts w:ascii="Arial" w:cs="Arial" w:eastAsia="Arial" w:hAnsi="Arial"/>
                <w:sz w:val="11"/>
                <w:szCs w:val="11"/>
                <w:b w:val="1"/>
                <w:bCs w:val="1"/>
                <w:color w:val="auto"/>
              </w:rPr>
              <w:t>Change</w:t>
            </w:r>
          </w:p>
        </w:tc>
        <w:tc>
          <w:tcPr>
            <w:tcW w:w="100" w:type="dxa"/>
            <w:vAlign w:val="bottom"/>
          </w:tcPr>
          <w:p>
            <w:pPr>
              <w:spacing w:after="0"/>
              <w:rPr>
                <w:sz w:val="12"/>
                <w:szCs w:val="12"/>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Change</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0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1"/>
                <w:szCs w:val="11"/>
                <w:b w:val="1"/>
                <w:bCs w:val="1"/>
                <w:color w:val="auto"/>
              </w:rPr>
              <w:t>Direct Revenues</w:t>
            </w:r>
            <w:r>
              <w:rPr>
                <w:rFonts w:ascii="Arial" w:cs="Arial" w:eastAsia="Arial" w:hAnsi="Arial"/>
                <w:sz w:val="14"/>
                <w:szCs w:val="14"/>
                <w:b w:val="1"/>
                <w:bCs w:val="1"/>
                <w:color w:val="auto"/>
                <w:vertAlign w:val="superscript"/>
              </w:rPr>
              <w:t>(1)</w:t>
            </w:r>
            <w:r>
              <w:rPr>
                <w:rFonts w:ascii="Arial" w:cs="Arial" w:eastAsia="Arial" w:hAnsi="Arial"/>
                <w:sz w:val="11"/>
                <w:szCs w:val="11"/>
                <w:b w:val="1"/>
                <w:bCs w:val="1"/>
                <w:color w:val="auto"/>
              </w:rPr>
              <w:t>:</w:t>
            </w:r>
          </w:p>
        </w:tc>
        <w:tc>
          <w:tcPr>
            <w:tcW w:w="1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100" w:type="dxa"/>
            <w:vAlign w:val="bottom"/>
          </w:tcPr>
          <w:p>
            <w:pPr>
              <w:ind w:left="80"/>
              <w:spacing w:after="0"/>
              <w:rPr>
                <w:sz w:val="20"/>
                <w:szCs w:val="20"/>
                <w:color w:val="auto"/>
              </w:rPr>
            </w:pPr>
            <w:r>
              <w:rPr>
                <w:rFonts w:ascii="Arial" w:cs="Arial" w:eastAsia="Arial" w:hAnsi="Arial"/>
                <w:sz w:val="11"/>
                <w:szCs w:val="11"/>
                <w:color w:val="auto"/>
              </w:rPr>
              <w:t>Environmental Services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724,097</w:t>
            </w: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612,594</w:t>
            </w:r>
          </w:p>
        </w:tc>
        <w:tc>
          <w:tcPr>
            <w:tcW w:w="80" w:type="dxa"/>
            <w:vAlign w:val="bottom"/>
          </w:tcPr>
          <w:p>
            <w:pPr>
              <w:spacing w:after="0"/>
              <w:rPr>
                <w:sz w:val="12"/>
                <w:szCs w:val="12"/>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111,503</w:t>
            </w:r>
          </w:p>
        </w:tc>
        <w:tc>
          <w:tcPr>
            <w:tcW w:w="94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18.2%</w:t>
            </w:r>
          </w:p>
        </w:tc>
        <w:tc>
          <w:tcPr>
            <w:tcW w:w="10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1,378,699</w:t>
            </w:r>
          </w:p>
        </w:tc>
        <w:tc>
          <w:tcPr>
            <w:tcW w:w="10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1,317,786</w:t>
            </w:r>
          </w:p>
        </w:tc>
        <w:tc>
          <w:tcPr>
            <w:tcW w:w="10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60,913</w:t>
            </w:r>
          </w:p>
        </w:tc>
        <w:tc>
          <w:tcPr>
            <w:tcW w:w="840" w:type="dxa"/>
            <w:vAlign w:val="bottom"/>
            <w:gridSpan w:val="2"/>
          </w:tcPr>
          <w:p>
            <w:pPr>
              <w:jc w:val="center"/>
              <w:ind w:left="26"/>
              <w:spacing w:after="0"/>
              <w:rPr>
                <w:sz w:val="20"/>
                <w:szCs w:val="20"/>
                <w:color w:val="auto"/>
              </w:rPr>
            </w:pPr>
            <w:r>
              <w:rPr>
                <w:rFonts w:ascii="Arial" w:cs="Arial" w:eastAsia="Arial" w:hAnsi="Arial"/>
                <w:sz w:val="11"/>
                <w:szCs w:val="11"/>
                <w:color w:val="auto"/>
                <w:w w:val="95"/>
              </w:rPr>
              <w:t>4.6%</w:t>
            </w:r>
          </w:p>
        </w:tc>
        <w:tc>
          <w:tcPr>
            <w:tcW w:w="0" w:type="dxa"/>
            <w:vAlign w:val="bottom"/>
          </w:tcPr>
          <w:p>
            <w:pPr>
              <w:spacing w:after="0"/>
              <w:rPr>
                <w:sz w:val="1"/>
                <w:szCs w:val="1"/>
                <w:color w:val="auto"/>
              </w:rPr>
            </w:pPr>
          </w:p>
        </w:tc>
      </w:tr>
      <w:tr>
        <w:trPr>
          <w:trHeight w:val="146"/>
        </w:trPr>
        <w:tc>
          <w:tcPr>
            <w:tcW w:w="3100" w:type="dxa"/>
            <w:vAlign w:val="bottom"/>
            <w:shd w:val="clear" w:color="auto" w:fill="CCEEFF"/>
          </w:tcPr>
          <w:p>
            <w:pPr>
              <w:ind w:left="80"/>
              <w:spacing w:after="0"/>
              <w:rPr>
                <w:sz w:val="20"/>
                <w:szCs w:val="20"/>
                <w:color w:val="auto"/>
              </w:rPr>
            </w:pPr>
            <w:r>
              <w:rPr>
                <w:rFonts w:ascii="Arial" w:cs="Arial" w:eastAsia="Arial" w:hAnsi="Arial"/>
                <w:sz w:val="11"/>
                <w:szCs w:val="11"/>
                <w:color w:val="auto"/>
              </w:rPr>
              <w:t>Safety-Kleen Sustainability Solutions</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202,282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97,350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104,932</w:t>
            </w:r>
          </w:p>
        </w:tc>
        <w:tc>
          <w:tcPr>
            <w:tcW w:w="940" w:type="dxa"/>
            <w:vAlign w:val="bottom"/>
            <w:gridSpan w:val="2"/>
            <w:shd w:val="clear" w:color="auto" w:fill="CCEEFF"/>
          </w:tcPr>
          <w:p>
            <w:pPr>
              <w:jc w:val="center"/>
              <w:ind w:left="46"/>
              <w:spacing w:after="0"/>
              <w:rPr>
                <w:sz w:val="20"/>
                <w:szCs w:val="20"/>
                <w:color w:val="auto"/>
              </w:rPr>
            </w:pPr>
            <w:r>
              <w:rPr>
                <w:rFonts w:ascii="Arial" w:cs="Arial" w:eastAsia="Arial" w:hAnsi="Arial"/>
                <w:sz w:val="11"/>
                <w:szCs w:val="11"/>
                <w:color w:val="auto"/>
                <w:w w:val="87"/>
              </w:rPr>
              <w:t>107.8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355,749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250,631</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105,118</w:t>
            </w:r>
          </w:p>
        </w:tc>
        <w:tc>
          <w:tcPr>
            <w:tcW w:w="840" w:type="dxa"/>
            <w:vAlign w:val="bottom"/>
            <w:gridSpan w:val="2"/>
            <w:shd w:val="clear" w:color="auto" w:fill="CCEEFF"/>
          </w:tcPr>
          <w:p>
            <w:pPr>
              <w:jc w:val="center"/>
              <w:ind w:left="26"/>
              <w:spacing w:after="0"/>
              <w:rPr>
                <w:sz w:val="20"/>
                <w:szCs w:val="20"/>
                <w:color w:val="auto"/>
              </w:rPr>
            </w:pPr>
            <w:r>
              <w:rPr>
                <w:rFonts w:ascii="Arial" w:cs="Arial" w:eastAsia="Arial" w:hAnsi="Arial"/>
                <w:sz w:val="11"/>
                <w:szCs w:val="11"/>
                <w:color w:val="auto"/>
                <w:w w:val="93"/>
              </w:rPr>
              <w:t>41.9</w:t>
            </w:r>
          </w:p>
        </w:tc>
        <w:tc>
          <w:tcPr>
            <w:tcW w:w="0" w:type="dxa"/>
            <w:vAlign w:val="bottom"/>
          </w:tcPr>
          <w:p>
            <w:pPr>
              <w:spacing w:after="0"/>
              <w:rPr>
                <w:sz w:val="1"/>
                <w:szCs w:val="1"/>
                <w:color w:val="auto"/>
              </w:rPr>
            </w:pPr>
          </w:p>
        </w:tc>
      </w:tr>
      <w:tr>
        <w:trPr>
          <w:trHeight w:val="142"/>
        </w:trPr>
        <w:tc>
          <w:tcPr>
            <w:tcW w:w="310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Corporate Items</w:t>
            </w: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79</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56</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w:t>
            </w:r>
          </w:p>
        </w:tc>
        <w:tc>
          <w:tcPr>
            <w:tcW w:w="10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1"/>
                <w:szCs w:val="11"/>
                <w:color w:val="auto"/>
                <w:w w:val="98"/>
              </w:rPr>
              <w:t>N/M</w:t>
            </w: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158</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146</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w:t>
            </w:r>
          </w:p>
        </w:tc>
        <w:tc>
          <w:tcPr>
            <w:tcW w:w="8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jc w:val="center"/>
              <w:spacing w:after="0"/>
              <w:rPr>
                <w:sz w:val="20"/>
                <w:szCs w:val="20"/>
                <w:color w:val="auto"/>
              </w:rPr>
            </w:pPr>
            <w:r>
              <w:rPr>
                <w:rFonts w:ascii="Arial" w:cs="Arial" w:eastAsia="Arial" w:hAnsi="Arial"/>
                <w:sz w:val="11"/>
                <w:szCs w:val="11"/>
                <w:color w:val="auto"/>
                <w:w w:val="98"/>
              </w:rPr>
              <w:t>N/M</w:t>
            </w: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ind w:left="220"/>
              <w:spacing w:after="0"/>
              <w:rPr>
                <w:sz w:val="20"/>
                <w:szCs w:val="20"/>
                <w:color w:val="auto"/>
              </w:rPr>
            </w:pPr>
            <w:r>
              <w:rPr>
                <w:rFonts w:ascii="Arial" w:cs="Arial" w:eastAsia="Arial" w:hAnsi="Arial"/>
                <w:sz w:val="11"/>
                <w:szCs w:val="11"/>
                <w:color w:val="auto"/>
              </w:rPr>
              <w:t>Total</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926,458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710,000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216,458</w:t>
            </w:r>
          </w:p>
        </w:tc>
        <w:tc>
          <w:tcPr>
            <w:tcW w:w="940" w:type="dxa"/>
            <w:vAlign w:val="bottom"/>
            <w:gridSpan w:val="2"/>
            <w:shd w:val="clear" w:color="auto" w:fill="CCEEFF"/>
          </w:tcPr>
          <w:p>
            <w:pPr>
              <w:jc w:val="center"/>
              <w:ind w:left="26"/>
              <w:spacing w:after="0"/>
              <w:rPr>
                <w:sz w:val="20"/>
                <w:szCs w:val="20"/>
                <w:color w:val="auto"/>
              </w:rPr>
            </w:pPr>
            <w:r>
              <w:rPr>
                <w:rFonts w:ascii="Arial" w:cs="Arial" w:eastAsia="Arial" w:hAnsi="Arial"/>
                <w:sz w:val="11"/>
                <w:szCs w:val="11"/>
                <w:color w:val="auto"/>
                <w:w w:val="83"/>
              </w:rPr>
              <w:t>30.5</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1,734,606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1,568,563</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166,043</w:t>
            </w:r>
          </w:p>
        </w:tc>
        <w:tc>
          <w:tcPr>
            <w:tcW w:w="840" w:type="dxa"/>
            <w:vAlign w:val="bottom"/>
            <w:gridSpan w:val="2"/>
            <w:shd w:val="clear" w:color="auto" w:fill="CCEEFF"/>
          </w:tcPr>
          <w:p>
            <w:pPr>
              <w:jc w:val="center"/>
              <w:ind w:left="26"/>
              <w:spacing w:after="0"/>
              <w:rPr>
                <w:sz w:val="20"/>
                <w:szCs w:val="20"/>
                <w:color w:val="auto"/>
              </w:rPr>
            </w:pPr>
            <w:r>
              <w:rPr>
                <w:rFonts w:ascii="Arial" w:cs="Arial" w:eastAsia="Arial" w:hAnsi="Arial"/>
                <w:sz w:val="11"/>
                <w:szCs w:val="11"/>
                <w:color w:val="auto"/>
                <w:w w:val="93"/>
              </w:rPr>
              <w:t>10.6</w:t>
            </w:r>
          </w:p>
        </w:tc>
        <w:tc>
          <w:tcPr>
            <w:tcW w:w="0" w:type="dxa"/>
            <w:vAlign w:val="bottom"/>
          </w:tcPr>
          <w:p>
            <w:pPr>
              <w:spacing w:after="0"/>
              <w:rPr>
                <w:sz w:val="1"/>
                <w:szCs w:val="1"/>
                <w:color w:val="auto"/>
              </w:rPr>
            </w:pPr>
          </w:p>
        </w:tc>
      </w:tr>
      <w:tr>
        <w:trPr>
          <w:trHeight w:val="144"/>
        </w:trPr>
        <w:tc>
          <w:tcPr>
            <w:tcW w:w="3100" w:type="dxa"/>
            <w:vAlign w:val="bottom"/>
          </w:tcPr>
          <w:p>
            <w:pPr>
              <w:spacing w:after="0" w:line="144" w:lineRule="exact"/>
              <w:rPr>
                <w:sz w:val="20"/>
                <w:szCs w:val="20"/>
                <w:color w:val="auto"/>
              </w:rPr>
            </w:pPr>
            <w:r>
              <w:rPr>
                <w:rFonts w:ascii="Arial" w:cs="Arial" w:eastAsia="Arial" w:hAnsi="Arial"/>
                <w:sz w:val="11"/>
                <w:szCs w:val="11"/>
                <w:b w:val="1"/>
                <w:bCs w:val="1"/>
                <w:color w:val="auto"/>
              </w:rPr>
              <w:t>Cost of Revenues</w:t>
            </w:r>
            <w:r>
              <w:rPr>
                <w:rFonts w:ascii="Arial" w:cs="Arial" w:eastAsia="Arial" w:hAnsi="Arial"/>
                <w:sz w:val="14"/>
                <w:szCs w:val="14"/>
                <w:b w:val="1"/>
                <w:bCs w:val="1"/>
                <w:color w:val="auto"/>
                <w:vertAlign w:val="superscript"/>
              </w:rPr>
              <w:t>(2)</w:t>
            </w:r>
            <w:r>
              <w:rPr>
                <w:rFonts w:ascii="Arial" w:cs="Arial" w:eastAsia="Arial" w:hAnsi="Arial"/>
                <w:sz w:val="11"/>
                <w:szCs w:val="11"/>
                <w:b w:val="1"/>
                <w:bCs w:val="1"/>
                <w:color w:val="auto"/>
              </w:rPr>
              <w:t>:</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00" w:type="dxa"/>
            <w:vAlign w:val="bottom"/>
            <w:shd w:val="clear" w:color="auto" w:fill="CCEEFF"/>
          </w:tcPr>
          <w:p>
            <w:pPr>
              <w:ind w:left="80"/>
              <w:spacing w:after="0"/>
              <w:rPr>
                <w:sz w:val="20"/>
                <w:szCs w:val="20"/>
                <w:color w:val="auto"/>
              </w:rPr>
            </w:pPr>
            <w:r>
              <w:rPr>
                <w:rFonts w:ascii="Arial" w:cs="Arial" w:eastAsia="Arial" w:hAnsi="Arial"/>
                <w:sz w:val="11"/>
                <w:szCs w:val="11"/>
                <w:color w:val="auto"/>
              </w:rPr>
              <w:t>Environmental Services</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487,257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385,113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102,144</w:t>
            </w:r>
          </w:p>
        </w:tc>
        <w:tc>
          <w:tcPr>
            <w:tcW w:w="940" w:type="dxa"/>
            <w:vAlign w:val="bottom"/>
            <w:gridSpan w:val="2"/>
            <w:shd w:val="clear" w:color="auto" w:fill="CCEEFF"/>
          </w:tcPr>
          <w:p>
            <w:pPr>
              <w:jc w:val="center"/>
              <w:ind w:left="26"/>
              <w:spacing w:after="0"/>
              <w:rPr>
                <w:sz w:val="20"/>
                <w:szCs w:val="20"/>
                <w:color w:val="auto"/>
              </w:rPr>
            </w:pPr>
            <w:r>
              <w:rPr>
                <w:rFonts w:ascii="Arial" w:cs="Arial" w:eastAsia="Arial" w:hAnsi="Arial"/>
                <w:sz w:val="11"/>
                <w:szCs w:val="11"/>
                <w:color w:val="auto"/>
                <w:w w:val="83"/>
              </w:rPr>
              <w:t>26.5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938,512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876,234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62,278</w:t>
            </w:r>
          </w:p>
        </w:tc>
        <w:tc>
          <w:tcPr>
            <w:tcW w:w="840" w:type="dxa"/>
            <w:vAlign w:val="bottom"/>
            <w:gridSpan w:val="2"/>
            <w:shd w:val="clear" w:color="auto" w:fill="CCEEFF"/>
          </w:tcPr>
          <w:p>
            <w:pPr>
              <w:jc w:val="center"/>
              <w:ind w:left="26"/>
              <w:spacing w:after="0"/>
              <w:rPr>
                <w:sz w:val="20"/>
                <w:szCs w:val="20"/>
                <w:color w:val="auto"/>
              </w:rPr>
            </w:pPr>
            <w:r>
              <w:rPr>
                <w:rFonts w:ascii="Arial" w:cs="Arial" w:eastAsia="Arial" w:hAnsi="Arial"/>
                <w:sz w:val="11"/>
                <w:szCs w:val="11"/>
                <w:color w:val="auto"/>
                <w:w w:val="78"/>
              </w:rPr>
              <w:t>7.1</w:t>
            </w:r>
          </w:p>
        </w:tc>
        <w:tc>
          <w:tcPr>
            <w:tcW w:w="0" w:type="dxa"/>
            <w:vAlign w:val="bottom"/>
          </w:tcPr>
          <w:p>
            <w:pPr>
              <w:spacing w:after="0"/>
              <w:rPr>
                <w:sz w:val="1"/>
                <w:szCs w:val="1"/>
                <w:color w:val="auto"/>
              </w:rPr>
            </w:pPr>
          </w:p>
        </w:tc>
      </w:tr>
      <w:tr>
        <w:trPr>
          <w:trHeight w:val="142"/>
        </w:trPr>
        <w:tc>
          <w:tcPr>
            <w:tcW w:w="3100" w:type="dxa"/>
            <w:vAlign w:val="bottom"/>
          </w:tcPr>
          <w:p>
            <w:pPr>
              <w:ind w:left="80"/>
              <w:spacing w:after="0"/>
              <w:rPr>
                <w:sz w:val="20"/>
                <w:szCs w:val="20"/>
                <w:color w:val="auto"/>
              </w:rPr>
            </w:pPr>
            <w:r>
              <w:rPr>
                <w:rFonts w:ascii="Arial" w:cs="Arial" w:eastAsia="Arial" w:hAnsi="Arial"/>
                <w:sz w:val="11"/>
                <w:szCs w:val="11"/>
                <w:color w:val="auto"/>
              </w:rPr>
              <w:t>Safety-Kleen Sustainability Solutions</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123,025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76,318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46,707</w:t>
            </w:r>
          </w:p>
        </w:tc>
        <w:tc>
          <w:tcPr>
            <w:tcW w:w="940" w:type="dxa"/>
            <w:vAlign w:val="bottom"/>
            <w:gridSpan w:val="2"/>
          </w:tcPr>
          <w:p>
            <w:pPr>
              <w:jc w:val="center"/>
              <w:ind w:left="26"/>
              <w:spacing w:after="0"/>
              <w:rPr>
                <w:sz w:val="20"/>
                <w:szCs w:val="20"/>
                <w:color w:val="auto"/>
              </w:rPr>
            </w:pPr>
            <w:r>
              <w:rPr>
                <w:rFonts w:ascii="Arial" w:cs="Arial" w:eastAsia="Arial" w:hAnsi="Arial"/>
                <w:sz w:val="11"/>
                <w:szCs w:val="11"/>
                <w:color w:val="auto"/>
                <w:w w:val="83"/>
              </w:rPr>
              <w:t>61.2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231,401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190,146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41,255</w:t>
            </w:r>
          </w:p>
        </w:tc>
        <w:tc>
          <w:tcPr>
            <w:tcW w:w="840" w:type="dxa"/>
            <w:vAlign w:val="bottom"/>
            <w:gridSpan w:val="2"/>
          </w:tcPr>
          <w:p>
            <w:pPr>
              <w:jc w:val="center"/>
              <w:ind w:left="26"/>
              <w:spacing w:after="0"/>
              <w:rPr>
                <w:sz w:val="20"/>
                <w:szCs w:val="20"/>
                <w:color w:val="auto"/>
              </w:rPr>
            </w:pPr>
            <w:r>
              <w:rPr>
                <w:rFonts w:ascii="Arial" w:cs="Arial" w:eastAsia="Arial" w:hAnsi="Arial"/>
                <w:sz w:val="11"/>
                <w:szCs w:val="11"/>
                <w:color w:val="auto"/>
                <w:w w:val="93"/>
              </w:rPr>
              <w:t>21.7</w:t>
            </w:r>
          </w:p>
        </w:tc>
        <w:tc>
          <w:tcPr>
            <w:tcW w:w="0" w:type="dxa"/>
            <w:vAlign w:val="bottom"/>
          </w:tcPr>
          <w:p>
            <w:pPr>
              <w:spacing w:after="0"/>
              <w:rPr>
                <w:sz w:val="1"/>
                <w:szCs w:val="1"/>
                <w:color w:val="auto"/>
              </w:rPr>
            </w:pPr>
          </w:p>
        </w:tc>
      </w:tr>
      <w:tr>
        <w:trPr>
          <w:trHeight w:val="146"/>
        </w:trPr>
        <w:tc>
          <w:tcPr>
            <w:tcW w:w="3100" w:type="dxa"/>
            <w:vAlign w:val="bottom"/>
            <w:shd w:val="clear" w:color="auto" w:fill="CCEEFF"/>
          </w:tcPr>
          <w:p>
            <w:pPr>
              <w:ind w:left="80"/>
              <w:spacing w:after="0"/>
              <w:rPr>
                <w:sz w:val="20"/>
                <w:szCs w:val="20"/>
                <w:color w:val="auto"/>
              </w:rPr>
            </w:pPr>
            <w:r>
              <w:rPr>
                <w:rFonts w:ascii="Arial" w:cs="Arial" w:eastAsia="Arial" w:hAnsi="Arial"/>
                <w:sz w:val="11"/>
                <w:szCs w:val="11"/>
                <w:color w:val="auto"/>
              </w:rPr>
              <w:t>Corporate Items</w:t>
            </w: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7,604</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9,250</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(1,646)</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w w:val="98"/>
              </w:rPr>
              <w:t>N/M</w:t>
            </w:r>
          </w:p>
        </w:tc>
        <w:tc>
          <w:tcPr>
            <w:tcW w:w="1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8,509</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10,967</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(2,458)</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8"/>
              </w:rPr>
              <w:t>N/M</w:t>
            </w:r>
          </w:p>
        </w:tc>
        <w:tc>
          <w:tcPr>
            <w:tcW w:w="0" w:type="dxa"/>
            <w:vAlign w:val="bottom"/>
          </w:tcPr>
          <w:p>
            <w:pPr>
              <w:spacing w:after="0"/>
              <w:rPr>
                <w:sz w:val="1"/>
                <w:szCs w:val="1"/>
                <w:color w:val="auto"/>
              </w:rPr>
            </w:pPr>
          </w:p>
        </w:tc>
      </w:tr>
      <w:tr>
        <w:trPr>
          <w:trHeight w:val="131"/>
        </w:trPr>
        <w:tc>
          <w:tcPr>
            <w:tcW w:w="3100" w:type="dxa"/>
            <w:vAlign w:val="bottom"/>
          </w:tcPr>
          <w:p>
            <w:pPr>
              <w:ind w:left="220"/>
              <w:spacing w:after="0"/>
              <w:rPr>
                <w:sz w:val="20"/>
                <w:szCs w:val="20"/>
                <w:color w:val="auto"/>
              </w:rPr>
            </w:pPr>
            <w:r>
              <w:rPr>
                <w:rFonts w:ascii="Arial" w:cs="Arial" w:eastAsia="Arial" w:hAnsi="Arial"/>
                <w:sz w:val="11"/>
                <w:szCs w:val="11"/>
                <w:color w:val="auto"/>
              </w:rPr>
              <w:t>Total</w:t>
            </w:r>
          </w:p>
        </w:tc>
        <w:tc>
          <w:tcPr>
            <w:tcW w:w="1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617,886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470,681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147,205</w:t>
            </w:r>
          </w:p>
        </w:tc>
        <w:tc>
          <w:tcPr>
            <w:tcW w:w="940" w:type="dxa"/>
            <w:vAlign w:val="bottom"/>
            <w:gridSpan w:val="2"/>
          </w:tcPr>
          <w:p>
            <w:pPr>
              <w:jc w:val="center"/>
              <w:ind w:left="26"/>
              <w:spacing w:after="0"/>
              <w:rPr>
                <w:sz w:val="20"/>
                <w:szCs w:val="20"/>
                <w:color w:val="auto"/>
              </w:rPr>
            </w:pPr>
            <w:r>
              <w:rPr>
                <w:rFonts w:ascii="Arial" w:cs="Arial" w:eastAsia="Arial" w:hAnsi="Arial"/>
                <w:sz w:val="11"/>
                <w:szCs w:val="11"/>
                <w:color w:val="auto"/>
                <w:w w:val="83"/>
              </w:rPr>
              <w:t>31.3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1,178,422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1,077,347</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101,075</w:t>
            </w:r>
          </w:p>
        </w:tc>
        <w:tc>
          <w:tcPr>
            <w:tcW w:w="840" w:type="dxa"/>
            <w:vAlign w:val="bottom"/>
            <w:gridSpan w:val="2"/>
          </w:tcPr>
          <w:p>
            <w:pPr>
              <w:jc w:val="center"/>
              <w:ind w:left="26"/>
              <w:spacing w:after="0"/>
              <w:rPr>
                <w:sz w:val="20"/>
                <w:szCs w:val="20"/>
                <w:color w:val="auto"/>
              </w:rPr>
            </w:pPr>
            <w:r>
              <w:rPr>
                <w:rFonts w:ascii="Arial" w:cs="Arial" w:eastAsia="Arial" w:hAnsi="Arial"/>
                <w:sz w:val="11"/>
                <w:szCs w:val="11"/>
                <w:color w:val="auto"/>
                <w:w w:val="78"/>
              </w:rPr>
              <w:t>9.4</w:t>
            </w:r>
          </w:p>
        </w:tc>
        <w:tc>
          <w:tcPr>
            <w:tcW w:w="0" w:type="dxa"/>
            <w:vAlign w:val="bottom"/>
          </w:tcPr>
          <w:p>
            <w:pPr>
              <w:spacing w:after="0"/>
              <w:rPr>
                <w:sz w:val="1"/>
                <w:szCs w:val="1"/>
                <w:color w:val="auto"/>
              </w:rPr>
            </w:pPr>
          </w:p>
        </w:tc>
      </w:tr>
      <w:tr>
        <w:trPr>
          <w:trHeight w:val="146"/>
        </w:trPr>
        <w:tc>
          <w:tcPr>
            <w:tcW w:w="31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Selling, General &amp; Administrative Expenses:</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tcPr>
          <w:p>
            <w:pPr>
              <w:ind w:left="80"/>
              <w:spacing w:after="0"/>
              <w:rPr>
                <w:sz w:val="20"/>
                <w:szCs w:val="20"/>
                <w:color w:val="auto"/>
              </w:rPr>
            </w:pPr>
            <w:r>
              <w:rPr>
                <w:rFonts w:ascii="Arial" w:cs="Arial" w:eastAsia="Arial" w:hAnsi="Arial"/>
                <w:sz w:val="11"/>
                <w:szCs w:val="11"/>
                <w:color w:val="auto"/>
              </w:rPr>
              <w:t>Environmental Services</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60,799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51,240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9,559</w:t>
            </w:r>
          </w:p>
        </w:tc>
        <w:tc>
          <w:tcPr>
            <w:tcW w:w="940" w:type="dxa"/>
            <w:vAlign w:val="bottom"/>
            <w:gridSpan w:val="2"/>
          </w:tcPr>
          <w:p>
            <w:pPr>
              <w:jc w:val="center"/>
              <w:ind w:left="26"/>
              <w:spacing w:after="0"/>
              <w:rPr>
                <w:sz w:val="20"/>
                <w:szCs w:val="20"/>
                <w:color w:val="auto"/>
              </w:rPr>
            </w:pPr>
            <w:r>
              <w:rPr>
                <w:rFonts w:ascii="Arial" w:cs="Arial" w:eastAsia="Arial" w:hAnsi="Arial"/>
                <w:sz w:val="11"/>
                <w:szCs w:val="11"/>
                <w:color w:val="auto"/>
                <w:w w:val="83"/>
              </w:rPr>
              <w:t>18.7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123,892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119,453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4,439</w:t>
            </w:r>
          </w:p>
        </w:tc>
        <w:tc>
          <w:tcPr>
            <w:tcW w:w="840" w:type="dxa"/>
            <w:vAlign w:val="bottom"/>
            <w:gridSpan w:val="2"/>
          </w:tcPr>
          <w:p>
            <w:pPr>
              <w:jc w:val="center"/>
              <w:ind w:left="26"/>
              <w:spacing w:after="0"/>
              <w:rPr>
                <w:sz w:val="20"/>
                <w:szCs w:val="20"/>
                <w:color w:val="auto"/>
              </w:rPr>
            </w:pPr>
            <w:r>
              <w:rPr>
                <w:rFonts w:ascii="Arial" w:cs="Arial" w:eastAsia="Arial" w:hAnsi="Arial"/>
                <w:sz w:val="11"/>
                <w:szCs w:val="11"/>
                <w:color w:val="auto"/>
                <w:w w:val="78"/>
              </w:rPr>
              <w:t>3.7</w:t>
            </w:r>
          </w:p>
        </w:tc>
        <w:tc>
          <w:tcPr>
            <w:tcW w:w="0" w:type="dxa"/>
            <w:vAlign w:val="bottom"/>
          </w:tcPr>
          <w:p>
            <w:pPr>
              <w:spacing w:after="0"/>
              <w:rPr>
                <w:sz w:val="1"/>
                <w:szCs w:val="1"/>
                <w:color w:val="auto"/>
              </w:rPr>
            </w:pPr>
          </w:p>
        </w:tc>
      </w:tr>
      <w:tr>
        <w:trPr>
          <w:trHeight w:val="146"/>
        </w:trPr>
        <w:tc>
          <w:tcPr>
            <w:tcW w:w="3100" w:type="dxa"/>
            <w:vAlign w:val="bottom"/>
            <w:shd w:val="clear" w:color="auto" w:fill="CCEEFF"/>
          </w:tcPr>
          <w:p>
            <w:pPr>
              <w:ind w:left="80"/>
              <w:spacing w:after="0"/>
              <w:rPr>
                <w:sz w:val="20"/>
                <w:szCs w:val="20"/>
                <w:color w:val="auto"/>
              </w:rPr>
            </w:pPr>
            <w:r>
              <w:rPr>
                <w:rFonts w:ascii="Arial" w:cs="Arial" w:eastAsia="Arial" w:hAnsi="Arial"/>
                <w:sz w:val="11"/>
                <w:szCs w:val="11"/>
                <w:color w:val="auto"/>
              </w:rPr>
              <w:t>Safety-Kleen Sustainability Solutions</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15,943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12,601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3,342</w:t>
            </w:r>
          </w:p>
        </w:tc>
        <w:tc>
          <w:tcPr>
            <w:tcW w:w="940" w:type="dxa"/>
            <w:vAlign w:val="bottom"/>
            <w:gridSpan w:val="2"/>
            <w:shd w:val="clear" w:color="auto" w:fill="CCEEFF"/>
          </w:tcPr>
          <w:p>
            <w:pPr>
              <w:jc w:val="center"/>
              <w:ind w:left="26"/>
              <w:spacing w:after="0"/>
              <w:rPr>
                <w:sz w:val="20"/>
                <w:szCs w:val="20"/>
                <w:color w:val="auto"/>
              </w:rPr>
            </w:pPr>
            <w:r>
              <w:rPr>
                <w:rFonts w:ascii="Arial" w:cs="Arial" w:eastAsia="Arial" w:hAnsi="Arial"/>
                <w:sz w:val="11"/>
                <w:szCs w:val="11"/>
                <w:color w:val="auto"/>
                <w:w w:val="83"/>
              </w:rPr>
              <w:t>26.5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29,402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27,850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1,552</w:t>
            </w:r>
          </w:p>
        </w:tc>
        <w:tc>
          <w:tcPr>
            <w:tcW w:w="840" w:type="dxa"/>
            <w:vAlign w:val="bottom"/>
            <w:gridSpan w:val="2"/>
            <w:shd w:val="clear" w:color="auto" w:fill="CCEEFF"/>
          </w:tcPr>
          <w:p>
            <w:pPr>
              <w:jc w:val="center"/>
              <w:ind w:left="26"/>
              <w:spacing w:after="0"/>
              <w:rPr>
                <w:sz w:val="20"/>
                <w:szCs w:val="20"/>
                <w:color w:val="auto"/>
              </w:rPr>
            </w:pPr>
            <w:r>
              <w:rPr>
                <w:rFonts w:ascii="Arial" w:cs="Arial" w:eastAsia="Arial" w:hAnsi="Arial"/>
                <w:sz w:val="11"/>
                <w:szCs w:val="11"/>
                <w:color w:val="auto"/>
                <w:w w:val="78"/>
              </w:rPr>
              <w:t>5.6</w:t>
            </w:r>
          </w:p>
        </w:tc>
        <w:tc>
          <w:tcPr>
            <w:tcW w:w="0" w:type="dxa"/>
            <w:vAlign w:val="bottom"/>
          </w:tcPr>
          <w:p>
            <w:pPr>
              <w:spacing w:after="0"/>
              <w:rPr>
                <w:sz w:val="1"/>
                <w:szCs w:val="1"/>
                <w:color w:val="auto"/>
              </w:rPr>
            </w:pPr>
          </w:p>
        </w:tc>
      </w:tr>
      <w:tr>
        <w:trPr>
          <w:trHeight w:val="142"/>
        </w:trPr>
        <w:tc>
          <w:tcPr>
            <w:tcW w:w="310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rPr>
              <w:t>Corporate Items</w:t>
            </w: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47,364</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39,998</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7,366</w:t>
            </w:r>
          </w:p>
        </w:tc>
        <w:tc>
          <w:tcPr>
            <w:tcW w:w="940" w:type="dxa"/>
            <w:vAlign w:val="bottom"/>
            <w:tcBorders>
              <w:bottom w:val="single" w:sz="8" w:color="CCEEFF"/>
            </w:tcBorders>
            <w:gridSpan w:val="2"/>
          </w:tcPr>
          <w:p>
            <w:pPr>
              <w:jc w:val="center"/>
              <w:ind w:left="26"/>
              <w:spacing w:after="0"/>
              <w:rPr>
                <w:sz w:val="20"/>
                <w:szCs w:val="20"/>
                <w:color w:val="auto"/>
              </w:rPr>
            </w:pPr>
            <w:r>
              <w:rPr>
                <w:rFonts w:ascii="Arial" w:cs="Arial" w:eastAsia="Arial" w:hAnsi="Arial"/>
                <w:sz w:val="11"/>
                <w:szCs w:val="11"/>
                <w:color w:val="auto"/>
                <w:w w:val="83"/>
              </w:rPr>
              <w:t>18.4</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92,453</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85,843</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6,610</w:t>
            </w:r>
          </w:p>
        </w:tc>
        <w:tc>
          <w:tcPr>
            <w:tcW w:w="840" w:type="dxa"/>
            <w:vAlign w:val="bottom"/>
            <w:tcBorders>
              <w:bottom w:val="single" w:sz="8" w:color="CCEEFF"/>
            </w:tcBorders>
            <w:gridSpan w:val="2"/>
          </w:tcPr>
          <w:p>
            <w:pPr>
              <w:jc w:val="center"/>
              <w:ind w:left="26"/>
              <w:spacing w:after="0"/>
              <w:rPr>
                <w:sz w:val="20"/>
                <w:szCs w:val="20"/>
                <w:color w:val="auto"/>
              </w:rPr>
            </w:pPr>
            <w:r>
              <w:rPr>
                <w:rFonts w:ascii="Arial" w:cs="Arial" w:eastAsia="Arial" w:hAnsi="Arial"/>
                <w:sz w:val="11"/>
                <w:szCs w:val="11"/>
                <w:color w:val="auto"/>
                <w:w w:val="78"/>
              </w:rPr>
              <w:t>7.7</w:t>
            </w: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ind w:left="220"/>
              <w:spacing w:after="0"/>
              <w:rPr>
                <w:sz w:val="20"/>
                <w:szCs w:val="20"/>
                <w:color w:val="auto"/>
              </w:rPr>
            </w:pPr>
            <w:r>
              <w:rPr>
                <w:rFonts w:ascii="Arial" w:cs="Arial" w:eastAsia="Arial" w:hAnsi="Arial"/>
                <w:sz w:val="11"/>
                <w:szCs w:val="11"/>
                <w:color w:val="auto"/>
              </w:rPr>
              <w:t>Total</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124,106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103,839</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20,267</w:t>
            </w:r>
          </w:p>
        </w:tc>
        <w:tc>
          <w:tcPr>
            <w:tcW w:w="940" w:type="dxa"/>
            <w:vAlign w:val="bottom"/>
            <w:gridSpan w:val="2"/>
            <w:shd w:val="clear" w:color="auto" w:fill="CCEEFF"/>
          </w:tcPr>
          <w:p>
            <w:pPr>
              <w:jc w:val="center"/>
              <w:ind w:left="26"/>
              <w:spacing w:after="0"/>
              <w:rPr>
                <w:sz w:val="20"/>
                <w:szCs w:val="20"/>
                <w:color w:val="auto"/>
              </w:rPr>
            </w:pPr>
            <w:r>
              <w:rPr>
                <w:rFonts w:ascii="Arial" w:cs="Arial" w:eastAsia="Arial" w:hAnsi="Arial"/>
                <w:sz w:val="11"/>
                <w:szCs w:val="11"/>
                <w:color w:val="auto"/>
                <w:w w:val="83"/>
              </w:rPr>
              <w:t>19.5</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245,747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233,146</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12,601</w:t>
            </w:r>
          </w:p>
        </w:tc>
        <w:tc>
          <w:tcPr>
            <w:tcW w:w="840" w:type="dxa"/>
            <w:vAlign w:val="bottom"/>
            <w:gridSpan w:val="2"/>
            <w:shd w:val="clear" w:color="auto" w:fill="CCEEFF"/>
          </w:tcPr>
          <w:p>
            <w:pPr>
              <w:jc w:val="center"/>
              <w:ind w:left="26"/>
              <w:spacing w:after="0"/>
              <w:rPr>
                <w:sz w:val="20"/>
                <w:szCs w:val="20"/>
                <w:color w:val="auto"/>
              </w:rPr>
            </w:pPr>
            <w:r>
              <w:rPr>
                <w:rFonts w:ascii="Arial" w:cs="Arial" w:eastAsia="Arial" w:hAnsi="Arial"/>
                <w:sz w:val="11"/>
                <w:szCs w:val="11"/>
                <w:color w:val="auto"/>
                <w:w w:val="78"/>
              </w:rPr>
              <w:t>5.4</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20"/>
                <w:szCs w:val="20"/>
                <w:color w:val="auto"/>
              </w:rPr>
            </w:pPr>
            <w:r>
              <w:rPr>
                <w:rFonts w:ascii="Arial" w:cs="Arial" w:eastAsia="Arial" w:hAnsi="Arial"/>
                <w:sz w:val="11"/>
                <w:szCs w:val="11"/>
                <w:b w:val="1"/>
                <w:bCs w:val="1"/>
                <w:color w:val="auto"/>
              </w:rPr>
              <w:t>Adjusted EBITDA:</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100" w:type="dxa"/>
            <w:vAlign w:val="bottom"/>
            <w:shd w:val="clear" w:color="auto" w:fill="CCEEFF"/>
          </w:tcPr>
          <w:p>
            <w:pPr>
              <w:ind w:left="80"/>
              <w:spacing w:after="0"/>
              <w:rPr>
                <w:sz w:val="20"/>
                <w:szCs w:val="20"/>
                <w:color w:val="auto"/>
              </w:rPr>
            </w:pPr>
            <w:r>
              <w:rPr>
                <w:rFonts w:ascii="Arial" w:cs="Arial" w:eastAsia="Arial" w:hAnsi="Arial"/>
                <w:sz w:val="11"/>
                <w:szCs w:val="11"/>
                <w:color w:val="auto"/>
              </w:rPr>
              <w:t>Environmental Services</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176,041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176,241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w:t>
            </w:r>
          </w:p>
        </w:tc>
        <w:tc>
          <w:tcPr>
            <w:tcW w:w="940" w:type="dxa"/>
            <w:vAlign w:val="bottom"/>
            <w:gridSpan w:val="2"/>
            <w:shd w:val="clear" w:color="auto" w:fill="CCEEFF"/>
          </w:tcPr>
          <w:p>
            <w:pPr>
              <w:jc w:val="center"/>
              <w:ind w:left="46"/>
              <w:spacing w:after="0"/>
              <w:rPr>
                <w:sz w:val="20"/>
                <w:szCs w:val="20"/>
                <w:color w:val="auto"/>
              </w:rPr>
            </w:pPr>
            <w:r>
              <w:rPr>
                <w:rFonts w:ascii="Arial" w:cs="Arial" w:eastAsia="Arial" w:hAnsi="Arial"/>
                <w:sz w:val="11"/>
                <w:szCs w:val="11"/>
                <w:color w:val="auto"/>
                <w:w w:val="88"/>
              </w:rPr>
              <w:t>(0.1)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316,295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322,099</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(5,804)</w:t>
            </w:r>
          </w:p>
        </w:tc>
        <w:tc>
          <w:tcPr>
            <w:tcW w:w="840" w:type="dxa"/>
            <w:vAlign w:val="bottom"/>
            <w:gridSpan w:val="2"/>
            <w:shd w:val="clear" w:color="auto" w:fill="CCEEFF"/>
          </w:tcPr>
          <w:p>
            <w:pPr>
              <w:jc w:val="center"/>
              <w:ind w:left="26"/>
              <w:spacing w:after="0"/>
              <w:rPr>
                <w:sz w:val="20"/>
                <w:szCs w:val="20"/>
                <w:color w:val="auto"/>
              </w:rPr>
            </w:pPr>
            <w:r>
              <w:rPr>
                <w:rFonts w:ascii="Arial" w:cs="Arial" w:eastAsia="Arial" w:hAnsi="Arial"/>
                <w:sz w:val="11"/>
                <w:szCs w:val="11"/>
                <w:color w:val="auto"/>
                <w:w w:val="88"/>
              </w:rPr>
              <w:t>(1.8)</w:t>
            </w:r>
          </w:p>
        </w:tc>
        <w:tc>
          <w:tcPr>
            <w:tcW w:w="0" w:type="dxa"/>
            <w:vAlign w:val="bottom"/>
          </w:tcPr>
          <w:p>
            <w:pPr>
              <w:spacing w:after="0"/>
              <w:rPr>
                <w:sz w:val="1"/>
                <w:szCs w:val="1"/>
                <w:color w:val="auto"/>
              </w:rPr>
            </w:pPr>
          </w:p>
        </w:tc>
      </w:tr>
      <w:tr>
        <w:trPr>
          <w:trHeight w:val="142"/>
        </w:trPr>
        <w:tc>
          <w:tcPr>
            <w:tcW w:w="3100" w:type="dxa"/>
            <w:vAlign w:val="bottom"/>
          </w:tcPr>
          <w:p>
            <w:pPr>
              <w:ind w:left="80"/>
              <w:spacing w:after="0"/>
              <w:rPr>
                <w:sz w:val="20"/>
                <w:szCs w:val="20"/>
                <w:color w:val="auto"/>
              </w:rPr>
            </w:pPr>
            <w:r>
              <w:rPr>
                <w:rFonts w:ascii="Arial" w:cs="Arial" w:eastAsia="Arial" w:hAnsi="Arial"/>
                <w:sz w:val="11"/>
                <w:szCs w:val="11"/>
                <w:color w:val="auto"/>
              </w:rPr>
              <w:t>Safety-Kleen Sustainability Solutions</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63,314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8,431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54,883</w:t>
            </w:r>
          </w:p>
        </w:tc>
        <w:tc>
          <w:tcPr>
            <w:tcW w:w="94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651.0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94,946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32,635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62,311</w:t>
            </w:r>
          </w:p>
        </w:tc>
        <w:tc>
          <w:tcPr>
            <w:tcW w:w="840" w:type="dxa"/>
            <w:vAlign w:val="bottom"/>
            <w:gridSpan w:val="2"/>
          </w:tcPr>
          <w:p>
            <w:pPr>
              <w:jc w:val="center"/>
              <w:ind w:left="26"/>
              <w:spacing w:after="0"/>
              <w:rPr>
                <w:sz w:val="20"/>
                <w:szCs w:val="20"/>
                <w:color w:val="auto"/>
              </w:rPr>
            </w:pPr>
            <w:r>
              <w:rPr>
                <w:rFonts w:ascii="Arial" w:cs="Arial" w:eastAsia="Arial" w:hAnsi="Arial"/>
                <w:sz w:val="11"/>
                <w:szCs w:val="11"/>
                <w:color w:val="auto"/>
                <w:w w:val="87"/>
              </w:rPr>
              <w:t>190.9</w:t>
            </w:r>
          </w:p>
        </w:tc>
        <w:tc>
          <w:tcPr>
            <w:tcW w:w="0" w:type="dxa"/>
            <w:vAlign w:val="bottom"/>
          </w:tcPr>
          <w:p>
            <w:pPr>
              <w:spacing w:after="0"/>
              <w:rPr>
                <w:sz w:val="1"/>
                <w:szCs w:val="1"/>
                <w:color w:val="auto"/>
              </w:rPr>
            </w:pPr>
          </w:p>
        </w:tc>
      </w:tr>
      <w:tr>
        <w:trPr>
          <w:trHeight w:val="144"/>
        </w:trPr>
        <w:tc>
          <w:tcPr>
            <w:tcW w:w="3100" w:type="dxa"/>
            <w:vAlign w:val="bottom"/>
            <w:shd w:val="clear" w:color="auto" w:fill="CCEEFF"/>
          </w:tcPr>
          <w:p>
            <w:pPr>
              <w:ind w:left="80"/>
              <w:spacing w:after="0"/>
              <w:rPr>
                <w:sz w:val="20"/>
                <w:szCs w:val="20"/>
                <w:color w:val="auto"/>
              </w:rPr>
            </w:pPr>
            <w:r>
              <w:rPr>
                <w:rFonts w:ascii="Arial" w:cs="Arial" w:eastAsia="Arial" w:hAnsi="Arial"/>
                <w:sz w:val="11"/>
                <w:szCs w:val="11"/>
                <w:color w:val="auto"/>
              </w:rPr>
              <w:t>Corporate Items</w:t>
            </w: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(51,584)</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(46,406)</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(5,178)</w:t>
            </w:r>
          </w:p>
        </w:tc>
        <w:tc>
          <w:tcPr>
            <w:tcW w:w="940" w:type="dxa"/>
            <w:vAlign w:val="bottom"/>
            <w:gridSpan w:val="2"/>
            <w:shd w:val="clear" w:color="auto" w:fill="CCEEFF"/>
          </w:tcPr>
          <w:p>
            <w:pPr>
              <w:jc w:val="center"/>
              <w:ind w:left="26"/>
              <w:spacing w:after="0"/>
              <w:rPr>
                <w:sz w:val="20"/>
                <w:szCs w:val="20"/>
                <w:color w:val="auto"/>
              </w:rPr>
            </w:pPr>
            <w:r>
              <w:rPr>
                <w:rFonts w:ascii="Arial" w:cs="Arial" w:eastAsia="Arial" w:hAnsi="Arial"/>
                <w:sz w:val="11"/>
                <w:szCs w:val="11"/>
                <w:color w:val="auto"/>
                <w:w w:val="90"/>
              </w:rPr>
              <w:t>(11.2)</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(94,019)</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(90,587)</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(3,432)</w:t>
            </w:r>
          </w:p>
        </w:tc>
        <w:tc>
          <w:tcPr>
            <w:tcW w:w="840" w:type="dxa"/>
            <w:vAlign w:val="bottom"/>
            <w:gridSpan w:val="2"/>
            <w:shd w:val="clear" w:color="auto" w:fill="CCEEFF"/>
          </w:tcPr>
          <w:p>
            <w:pPr>
              <w:jc w:val="center"/>
              <w:ind w:left="26"/>
              <w:spacing w:after="0"/>
              <w:rPr>
                <w:sz w:val="20"/>
                <w:szCs w:val="20"/>
                <w:color w:val="auto"/>
              </w:rPr>
            </w:pPr>
            <w:r>
              <w:rPr>
                <w:rFonts w:ascii="Arial" w:cs="Arial" w:eastAsia="Arial" w:hAnsi="Arial"/>
                <w:sz w:val="11"/>
                <w:szCs w:val="11"/>
                <w:color w:val="auto"/>
                <w:w w:val="88"/>
              </w:rPr>
              <w:t>(3.8)</w:t>
            </w:r>
          </w:p>
        </w:tc>
        <w:tc>
          <w:tcPr>
            <w:tcW w:w="0" w:type="dxa"/>
            <w:vAlign w:val="bottom"/>
          </w:tcPr>
          <w:p>
            <w:pPr>
              <w:spacing w:after="0"/>
              <w:rPr>
                <w:sz w:val="1"/>
                <w:szCs w:val="1"/>
                <w:color w:val="auto"/>
              </w:rPr>
            </w:pPr>
          </w:p>
        </w:tc>
      </w:tr>
      <w:tr>
        <w:trPr>
          <w:trHeight w:val="135"/>
        </w:trPr>
        <w:tc>
          <w:tcPr>
            <w:tcW w:w="3100" w:type="dxa"/>
            <w:vAlign w:val="bottom"/>
          </w:tcPr>
          <w:p>
            <w:pPr>
              <w:ind w:left="220"/>
              <w:spacing w:after="0"/>
              <w:rPr>
                <w:sz w:val="20"/>
                <w:szCs w:val="20"/>
                <w:color w:val="auto"/>
              </w:rPr>
            </w:pPr>
            <w:r>
              <w:rPr>
                <w:rFonts w:ascii="Arial" w:cs="Arial" w:eastAsia="Arial" w:hAnsi="Arial"/>
                <w:sz w:val="11"/>
                <w:szCs w:val="11"/>
                <w:color w:val="auto"/>
              </w:rPr>
              <w:t>Total</w:t>
            </w: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187,771</w:t>
            </w:r>
          </w:p>
        </w:tc>
        <w:tc>
          <w:tcPr>
            <w:tcW w:w="80" w:type="dxa"/>
            <w:vAlign w:val="bottom"/>
          </w:tcPr>
          <w:p>
            <w:pPr>
              <w:spacing w:after="0"/>
              <w:rPr>
                <w:sz w:val="11"/>
                <w:szCs w:val="1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138,266</w:t>
            </w:r>
          </w:p>
        </w:tc>
        <w:tc>
          <w:tcPr>
            <w:tcW w:w="80" w:type="dxa"/>
            <w:vAlign w:val="bottom"/>
          </w:tcPr>
          <w:p>
            <w:pPr>
              <w:spacing w:after="0"/>
              <w:rPr>
                <w:sz w:val="11"/>
                <w:szCs w:val="11"/>
                <w:color w:val="auto"/>
              </w:rPr>
            </w:pPr>
          </w:p>
        </w:tc>
        <w:tc>
          <w:tcPr>
            <w:tcW w:w="1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49,505</w:t>
            </w:r>
          </w:p>
        </w:tc>
        <w:tc>
          <w:tcPr>
            <w:tcW w:w="940" w:type="dxa"/>
            <w:vAlign w:val="bottom"/>
            <w:gridSpan w:val="2"/>
          </w:tcPr>
          <w:p>
            <w:pPr>
              <w:jc w:val="center"/>
              <w:ind w:left="46"/>
              <w:spacing w:after="0"/>
              <w:rPr>
                <w:sz w:val="20"/>
                <w:szCs w:val="20"/>
                <w:color w:val="auto"/>
              </w:rPr>
            </w:pPr>
            <w:r>
              <w:rPr>
                <w:rFonts w:ascii="Arial" w:cs="Arial" w:eastAsia="Arial" w:hAnsi="Arial"/>
                <w:sz w:val="11"/>
                <w:szCs w:val="11"/>
                <w:color w:val="auto"/>
                <w:w w:val="89"/>
              </w:rPr>
              <w:t>35.8%</w:t>
            </w:r>
          </w:p>
        </w:tc>
        <w:tc>
          <w:tcPr>
            <w:tcW w:w="100" w:type="dxa"/>
            <w:vAlign w:val="bottom"/>
          </w:tcPr>
          <w:p>
            <w:pPr>
              <w:spacing w:after="0"/>
              <w:rPr>
                <w:sz w:val="11"/>
                <w:szCs w:val="11"/>
                <w:color w:val="auto"/>
              </w:rPr>
            </w:pP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317,222</w:t>
            </w:r>
          </w:p>
        </w:tc>
        <w:tc>
          <w:tcPr>
            <w:tcW w:w="100" w:type="dxa"/>
            <w:vAlign w:val="bottom"/>
          </w:tcPr>
          <w:p>
            <w:pPr>
              <w:spacing w:after="0"/>
              <w:rPr>
                <w:sz w:val="11"/>
                <w:szCs w:val="11"/>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264,147</w:t>
            </w:r>
          </w:p>
        </w:tc>
        <w:tc>
          <w:tcPr>
            <w:tcW w:w="100" w:type="dxa"/>
            <w:vAlign w:val="bottom"/>
          </w:tcPr>
          <w:p>
            <w:pPr>
              <w:spacing w:after="0"/>
              <w:rPr>
                <w:sz w:val="11"/>
                <w:szCs w:val="11"/>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53,075</w:t>
            </w:r>
          </w:p>
        </w:tc>
        <w:tc>
          <w:tcPr>
            <w:tcW w:w="840" w:type="dxa"/>
            <w:vAlign w:val="bottom"/>
            <w:gridSpan w:val="2"/>
          </w:tcPr>
          <w:p>
            <w:pPr>
              <w:jc w:val="center"/>
              <w:ind w:left="26"/>
              <w:spacing w:after="0"/>
              <w:rPr>
                <w:sz w:val="20"/>
                <w:szCs w:val="20"/>
                <w:color w:val="auto"/>
              </w:rPr>
            </w:pPr>
            <w:r>
              <w:rPr>
                <w:rFonts w:ascii="Arial" w:cs="Arial" w:eastAsia="Arial" w:hAnsi="Arial"/>
                <w:sz w:val="11"/>
                <w:szCs w:val="11"/>
                <w:color w:val="auto"/>
                <w:w w:val="89"/>
              </w:rPr>
              <w:t>20.1%</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N/M = not meaningful</w:t>
      </w:r>
    </w:p>
    <w:p>
      <w:pPr>
        <w:spacing w:after="0" w:line="15" w:lineRule="exact"/>
        <w:rPr>
          <w:sz w:val="20"/>
          <w:szCs w:val="20"/>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Direct revenue is revenue allocated to the segment performing the provided service.</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1"/>
          <w:szCs w:val="11"/>
          <w:color w:val="auto"/>
        </w:rPr>
      </w:pPr>
      <w:r>
        <w:rPr>
          <w:rFonts w:ascii="Arial" w:cs="Arial" w:eastAsia="Arial" w:hAnsi="Arial"/>
          <w:sz w:val="11"/>
          <w:szCs w:val="11"/>
          <w:color w:val="auto"/>
        </w:rPr>
        <w:t>Cost of revenue is shown exclusive of items presented separately on the consolidated statements of operations which consist of (i) accretion of environmental liabilities and (ii) depreciation and amortization.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7" w:name="page28"/>
    <w:bookmarkEnd w:id="2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Direct Revenues</w:t>
      </w:r>
    </w:p>
    <w:p>
      <w:pPr>
        <w:spacing w:after="0" w:line="96"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There are many factors which have impacted and continue to impact our revenues including, but not limited to: overall levels of industrial activity and growth in North America, existence or non-existence of large scale environmental waste and remediation projects, competitive industry pricing, miles driven and related lubricant demand, impacts of acquisitions and divestitures, the level of emergency response services, weather related events, base and blended oil pricing, market changes relative to the collection of used oil, our ability to manage the spread between oil product prices and prices for the collection of used oil, the number of parts washers placed at customer sites and foreign currency translation. In addition, customer efforts to minimize hazardous waste and changes in regulation can also impact our revenues.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Environmental Services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gridSpan w:val="5"/>
          </w:tcPr>
          <w:p>
            <w:pPr>
              <w:jc w:val="right"/>
              <w:ind w:right="500"/>
              <w:spacing w:after="0"/>
              <w:rPr>
                <w:sz w:val="20"/>
                <w:szCs w:val="20"/>
                <w:color w:val="auto"/>
              </w:rPr>
            </w:pPr>
            <w:r>
              <w:rPr>
                <w:rFonts w:ascii="Arial" w:cs="Arial" w:eastAsia="Arial" w:hAnsi="Arial"/>
                <w:sz w:val="11"/>
                <w:szCs w:val="11"/>
                <w:b w:val="1"/>
                <w:bCs w:val="1"/>
                <w:color w:val="auto"/>
                <w:w w:val="93"/>
              </w:rPr>
              <w:t>For the Three Months Ended</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60" w:type="dxa"/>
            <w:vAlign w:val="bottom"/>
            <w:gridSpan w:val="6"/>
          </w:tcPr>
          <w:p>
            <w:pPr>
              <w:ind w:left="140"/>
              <w:spacing w:after="0"/>
              <w:rPr>
                <w:sz w:val="20"/>
                <w:szCs w:val="20"/>
                <w:color w:val="auto"/>
              </w:rPr>
            </w:pPr>
            <w:r>
              <w:rPr>
                <w:rFonts w:ascii="Arial" w:cs="Arial" w:eastAsia="Arial" w:hAnsi="Arial"/>
                <w:sz w:val="11"/>
                <w:szCs w:val="11"/>
                <w:b w:val="1"/>
                <w:bCs w:val="1"/>
                <w:color w:val="auto"/>
              </w:rPr>
              <w:t>For the Six Months Ended</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3"/>
          </w:tcPr>
          <w:p>
            <w:pPr>
              <w:jc w:val="right"/>
              <w:spacing w:after="0"/>
              <w:rPr>
                <w:sz w:val="20"/>
                <w:szCs w:val="20"/>
                <w:color w:val="auto"/>
              </w:rPr>
            </w:pPr>
            <w:r>
              <w:rPr>
                <w:rFonts w:ascii="Arial" w:cs="Arial" w:eastAsia="Arial" w:hAnsi="Arial"/>
                <w:sz w:val="11"/>
                <w:szCs w:val="11"/>
                <w:b w:val="1"/>
                <w:bCs w:val="1"/>
                <w:color w:val="auto"/>
              </w:rPr>
              <w:t>June 30,</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80" w:type="dxa"/>
            <w:vAlign w:val="bottom"/>
            <w:gridSpan w:val="5"/>
          </w:tcPr>
          <w:p>
            <w:pPr>
              <w:jc w:val="right"/>
              <w:ind w:right="960"/>
              <w:spacing w:after="0"/>
              <w:rPr>
                <w:sz w:val="20"/>
                <w:szCs w:val="20"/>
                <w:color w:val="auto"/>
              </w:rPr>
            </w:pPr>
            <w:r>
              <w:rPr>
                <w:rFonts w:ascii="Arial" w:cs="Arial" w:eastAsia="Arial" w:hAnsi="Arial"/>
                <w:sz w:val="11"/>
                <w:szCs w:val="11"/>
                <w:b w:val="1"/>
                <w:bCs w:val="1"/>
                <w:color w:val="auto"/>
              </w:rPr>
              <w:t>2021 over 2020</w:t>
            </w:r>
          </w:p>
        </w:tc>
        <w:tc>
          <w:tcPr>
            <w:tcW w:w="1180" w:type="dxa"/>
            <w:vAlign w:val="bottom"/>
            <w:gridSpan w:val="3"/>
          </w:tcPr>
          <w:p>
            <w:pPr>
              <w:jc w:val="right"/>
              <w:ind w:right="60"/>
              <w:spacing w:after="0"/>
              <w:rPr>
                <w:sz w:val="20"/>
                <w:szCs w:val="20"/>
                <w:color w:val="auto"/>
              </w:rPr>
            </w:pPr>
            <w:r>
              <w:rPr>
                <w:rFonts w:ascii="Arial" w:cs="Arial" w:eastAsia="Arial" w:hAnsi="Arial"/>
                <w:sz w:val="11"/>
                <w:szCs w:val="11"/>
                <w:b w:val="1"/>
                <w:bCs w:val="1"/>
                <w:color w:val="auto"/>
              </w:rPr>
              <w:t>June 30,</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ind w:left="480"/>
              <w:spacing w:after="0"/>
              <w:rPr>
                <w:sz w:val="20"/>
                <w:szCs w:val="20"/>
                <w:color w:val="auto"/>
              </w:rPr>
            </w:pPr>
            <w:r>
              <w:rPr>
                <w:rFonts w:ascii="Arial" w:cs="Arial" w:eastAsia="Arial" w:hAnsi="Arial"/>
                <w:sz w:val="11"/>
                <w:szCs w:val="11"/>
                <w:b w:val="1"/>
                <w:bCs w:val="1"/>
                <w:color w:val="auto"/>
                <w:w w:val="86"/>
              </w:rPr>
              <w:t>2021 over 2020</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620" w:type="dxa"/>
            <w:vAlign w:val="bottom"/>
            <w:vMerge w:val="restart"/>
          </w:tcPr>
          <w:p>
            <w:pPr>
              <w:spacing w:after="0"/>
              <w:rPr>
                <w:sz w:val="20"/>
                <w:szCs w:val="20"/>
                <w:color w:val="auto"/>
              </w:rPr>
            </w:pPr>
            <w:r>
              <w:rPr>
                <w:rFonts w:ascii="Arial" w:cs="Arial" w:eastAsia="Arial" w:hAnsi="Arial"/>
                <w:sz w:val="11"/>
                <w:szCs w:val="11"/>
                <w:color w:val="auto"/>
              </w:rPr>
              <w:t>(in thousands, except percentages)</w:t>
            </w:r>
          </w:p>
        </w:tc>
        <w:tc>
          <w:tcPr>
            <w:tcW w:w="260" w:type="dxa"/>
            <w:vAlign w:val="bottom"/>
            <w:tcBorders>
              <w:top w:val="single" w:sz="8" w:color="auto"/>
            </w:tcBorders>
          </w:tcPr>
          <w:p>
            <w:pPr>
              <w:spacing w:after="0"/>
              <w:rPr>
                <w:sz w:val="8"/>
                <w:szCs w:val="8"/>
                <w:color w:val="auto"/>
              </w:rPr>
            </w:pPr>
          </w:p>
        </w:tc>
        <w:tc>
          <w:tcPr>
            <w:tcW w:w="820" w:type="dxa"/>
            <w:vAlign w:val="bottom"/>
            <w:tcBorders>
              <w:top w:val="single" w:sz="8" w:color="auto"/>
            </w:tcBorders>
            <w:vMerge w:val="restart"/>
          </w:tcPr>
          <w:p>
            <w:pPr>
              <w:jc w:val="right"/>
              <w:ind w:right="384"/>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vMerge w:val="restart"/>
          </w:tcPr>
          <w:p>
            <w:pPr>
              <w:jc w:val="right"/>
              <w:ind w:right="384"/>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jc w:val="right"/>
              <w:ind w:right="365"/>
              <w:spacing w:after="0" w:line="99" w:lineRule="exact"/>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jc w:val="right"/>
              <w:ind w:right="364"/>
              <w:spacing w:after="0" w:line="99"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20" w:type="dxa"/>
            <w:vAlign w:val="bottom"/>
            <w:tcBorders>
              <w:top w:val="single" w:sz="8" w:color="auto"/>
            </w:tcBorders>
            <w:vMerge w:val="restart"/>
          </w:tcPr>
          <w:p>
            <w:pPr>
              <w:jc w:val="right"/>
              <w:ind w:right="364"/>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vMerge w:val="restart"/>
          </w:tcPr>
          <w:p>
            <w:pPr>
              <w:jc w:val="right"/>
              <w:ind w:right="364"/>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right"/>
              <w:ind w:right="405"/>
              <w:spacing w:after="0" w:line="99" w:lineRule="exact"/>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jc w:val="right"/>
              <w:ind w:right="364"/>
              <w:spacing w:after="0" w:line="99"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2"/>
        </w:trPr>
        <w:tc>
          <w:tcPr>
            <w:tcW w:w="26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5"/>
              <w:spacing w:after="0"/>
              <w:rPr>
                <w:sz w:val="20"/>
                <w:szCs w:val="20"/>
                <w:color w:val="auto"/>
              </w:rPr>
            </w:pPr>
            <w:r>
              <w:rPr>
                <w:rFonts w:ascii="Arial" w:cs="Arial" w:eastAsia="Arial" w:hAnsi="Arial"/>
                <w:sz w:val="11"/>
                <w:szCs w:val="11"/>
                <w:b w:val="1"/>
                <w:bCs w:val="1"/>
                <w:color w:val="auto"/>
              </w:rPr>
              <w:t>Change</w:t>
            </w:r>
          </w:p>
        </w:tc>
        <w:tc>
          <w:tcPr>
            <w:tcW w:w="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4"/>
              </w:rPr>
              <w:t>Change</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45"/>
              <w:spacing w:after="0"/>
              <w:rPr>
                <w:sz w:val="20"/>
                <w:szCs w:val="20"/>
                <w:color w:val="auto"/>
              </w:rPr>
            </w:pPr>
            <w:r>
              <w:rPr>
                <w:rFonts w:ascii="Arial" w:cs="Arial" w:eastAsia="Arial" w:hAnsi="Arial"/>
                <w:sz w:val="11"/>
                <w:szCs w:val="11"/>
                <w:b w:val="1"/>
                <w:bCs w:val="1"/>
                <w:color w:val="auto"/>
                <w:w w:val="89"/>
              </w:rPr>
              <w:t>Change</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244"/>
              <w:spacing w:after="0"/>
              <w:rPr>
                <w:sz w:val="20"/>
                <w:szCs w:val="20"/>
                <w:color w:val="auto"/>
              </w:rPr>
            </w:pPr>
            <w:r>
              <w:rPr>
                <w:rFonts w:ascii="Arial" w:cs="Arial" w:eastAsia="Arial" w:hAnsi="Arial"/>
                <w:sz w:val="11"/>
                <w:szCs w:val="11"/>
                <w:b w:val="1"/>
                <w:bCs w:val="1"/>
                <w:color w:val="auto"/>
                <w:w w:val="89"/>
              </w:rPr>
              <w:t>Change</w:t>
            </w:r>
          </w:p>
        </w:tc>
        <w:tc>
          <w:tcPr>
            <w:tcW w:w="0" w:type="dxa"/>
            <w:vAlign w:val="bottom"/>
          </w:tcPr>
          <w:p>
            <w:pPr>
              <w:spacing w:after="0"/>
              <w:rPr>
                <w:sz w:val="1"/>
                <w:szCs w:val="1"/>
                <w:color w:val="auto"/>
              </w:rPr>
            </w:pPr>
          </w:p>
        </w:tc>
      </w:tr>
      <w:tr>
        <w:trPr>
          <w:trHeight w:val="144"/>
        </w:trPr>
        <w:tc>
          <w:tcPr>
            <w:tcW w:w="2620" w:type="dxa"/>
            <w:vAlign w:val="bottom"/>
            <w:shd w:val="clear" w:color="auto" w:fill="CCEEFF"/>
          </w:tcPr>
          <w:p>
            <w:pPr>
              <w:spacing w:after="0"/>
              <w:rPr>
                <w:sz w:val="20"/>
                <w:szCs w:val="20"/>
                <w:color w:val="auto"/>
              </w:rPr>
            </w:pPr>
            <w:r>
              <w:rPr>
                <w:rFonts w:ascii="Arial" w:cs="Arial" w:eastAsia="Arial" w:hAnsi="Arial"/>
                <w:sz w:val="12"/>
                <w:szCs w:val="12"/>
                <w:color w:val="auto"/>
              </w:rPr>
              <w:t>Direct revenues</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724,097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612,594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111,503</w:t>
            </w:r>
          </w:p>
        </w:tc>
        <w:tc>
          <w:tcPr>
            <w:tcW w:w="8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18.2 %  $</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1,378,699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1,317,786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60,913</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4.6 %</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60" w:firstLine="432"/>
        <w:spacing w:after="0" w:line="279" w:lineRule="auto"/>
        <w:rPr>
          <w:sz w:val="20"/>
          <w:szCs w:val="20"/>
          <w:color w:val="auto"/>
        </w:rPr>
      </w:pPr>
      <w:r>
        <w:rPr>
          <w:rFonts w:ascii="Arial" w:cs="Arial" w:eastAsia="Arial" w:hAnsi="Arial"/>
          <w:sz w:val="11"/>
          <w:szCs w:val="11"/>
          <w:color w:val="auto"/>
        </w:rPr>
        <w:t>Environmental Services direct revenues for the three months ended June 30, 2021 increased $111.5 million from the comparable period in 2020 driven primarily by higher demand throughout our portfolio of services and greater volumes of higher value waste streams at our incinerators and landfills, partially offset by lower demand for our COVID-19 decontamination services. Direct revenues related to our industrial services increased $49.6 million predominately due to increased demand for industrial cleanings as overall economic activity began to improve and industrial cleaning services previously delayed due to the impacts of COVID-19 were executed combined with a renewed sales strategy for the business. Demand for our base field services, excluding any COVID-19 decontamination services, increased approximately $18.2 million from the same period in 2020. Direct revenues for the Safety-Kleen core service offerings increased $14.0 million from the comparable period in 2020 due to improved pricing and higher demand for these containerized waste, vacuum and parts washer services. Direct revenues at our incinerators increased $12.8 million when comparing the three months ended June 30, 2021 to the same period in 2020, resulting from greater volumes of higher value waste streams. Overall, incinerator utilization was 87% which was consistent with the same period in 2020 and illustrates the shifting of mix to higher value waste streams. Higher pricing and volumes at our landfill facilities increased direct revenues by $3.9 million. In the three months ended June 30, 2021, lower demand for our COVID-19 decontamination services resulted in a direct revenue decrease of $38.5 million, partially offsetting all of the increases noted above. The Canadian operations of the Environmental Services segment were positively impacted by $12.9 million due to foreign currency translation.</w:t>
      </w:r>
    </w:p>
    <w:p>
      <w:pPr>
        <w:spacing w:after="0" w:line="72" w:lineRule="exact"/>
        <w:rPr>
          <w:sz w:val="20"/>
          <w:szCs w:val="20"/>
          <w:color w:val="auto"/>
        </w:rPr>
      </w:pPr>
    </w:p>
    <w:p>
      <w:pPr>
        <w:ind w:right="80" w:firstLine="432"/>
        <w:spacing w:after="0" w:line="254" w:lineRule="auto"/>
        <w:rPr>
          <w:sz w:val="20"/>
          <w:szCs w:val="20"/>
          <w:color w:val="auto"/>
        </w:rPr>
      </w:pPr>
      <w:r>
        <w:rPr>
          <w:rFonts w:ascii="Arial" w:cs="Arial" w:eastAsia="Arial" w:hAnsi="Arial"/>
          <w:sz w:val="12"/>
          <w:szCs w:val="12"/>
          <w:color w:val="auto"/>
        </w:rPr>
        <w:t>Environmental Services direct revenues for the six months ended June 30, 2021 increased $60.9 million from the comparable period in 2020 driven primarily by returning demand for our services, specifically in the three months ended June 30, 2021 as compared to the same period in the prior year. Demand for industrial services increased direct revenues by $19.2 million from the comparable period in the prior year, as overall economic activity began to improve and industrial cleaning services delayed due to the impacts of COVID-19 were executed combined with a renewed sales strategy for the business. Utilization at the incinerators for the six months ended June 30, 2021 was 83% as compared to 86% in the prior year. This lower utilization was generally the result of more down days due to significant weather events which occurred during the first quarter of 2021. Despite the lower utilization, greater volumes of higher value waste streams drove a $9.0 million increase in direct revenues at our incinerator facilities. Direct revenues at our landfill facilities increased $2.4 million from the comparable period in 2020 due to higher value waste streams overcoming lower volumes. In the six months ended June 30, 2021, direct revenues from COVID-19 decontamination services decreased by $20.3 million, partially offsetting the increases noted above, due to lower demand for such services, specifically in the second quarter of 2021. Also impacting the year over year change in direct revenues within this segment was the positive impact of foreign currency translation on our Canadian operations of $17.6 million.</w:t>
      </w:r>
    </w:p>
    <w:p>
      <w:pPr>
        <w:spacing w:after="0" w:line="83"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Safety-Kleen Sustainability Solutions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gridSpan w:val="5"/>
          </w:tcPr>
          <w:p>
            <w:pPr>
              <w:ind w:left="80"/>
              <w:spacing w:after="0"/>
              <w:rPr>
                <w:sz w:val="20"/>
                <w:szCs w:val="20"/>
                <w:color w:val="auto"/>
              </w:rPr>
            </w:pPr>
            <w:r>
              <w:rPr>
                <w:rFonts w:ascii="Arial" w:cs="Arial" w:eastAsia="Arial" w:hAnsi="Arial"/>
                <w:sz w:val="11"/>
                <w:szCs w:val="11"/>
                <w:b w:val="1"/>
                <w:bCs w:val="1"/>
                <w:color w:val="auto"/>
              </w:rPr>
              <w:t>For the Three Months Ended</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60" w:type="dxa"/>
            <w:vAlign w:val="bottom"/>
            <w:gridSpan w:val="6"/>
          </w:tcPr>
          <w:p>
            <w:pPr>
              <w:ind w:left="120"/>
              <w:spacing w:after="0"/>
              <w:rPr>
                <w:sz w:val="20"/>
                <w:szCs w:val="20"/>
                <w:color w:val="auto"/>
              </w:rPr>
            </w:pPr>
            <w:r>
              <w:rPr>
                <w:rFonts w:ascii="Arial" w:cs="Arial" w:eastAsia="Arial" w:hAnsi="Arial"/>
                <w:sz w:val="11"/>
                <w:szCs w:val="11"/>
                <w:b w:val="1"/>
                <w:bCs w:val="1"/>
                <w:color w:val="auto"/>
              </w:rPr>
              <w:t>For the Six Months Ended</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3"/>
          </w:tcPr>
          <w:p>
            <w:pPr>
              <w:jc w:val="right"/>
              <w:spacing w:after="0"/>
              <w:rPr>
                <w:sz w:val="20"/>
                <w:szCs w:val="20"/>
                <w:color w:val="auto"/>
              </w:rPr>
            </w:pPr>
            <w:r>
              <w:rPr>
                <w:rFonts w:ascii="Arial" w:cs="Arial" w:eastAsia="Arial" w:hAnsi="Arial"/>
                <w:sz w:val="11"/>
                <w:szCs w:val="11"/>
                <w:b w:val="1"/>
                <w:bCs w:val="1"/>
                <w:color w:val="auto"/>
              </w:rPr>
              <w:t>June 30,</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80" w:type="dxa"/>
            <w:vAlign w:val="bottom"/>
            <w:gridSpan w:val="5"/>
          </w:tcPr>
          <w:p>
            <w:pPr>
              <w:jc w:val="right"/>
              <w:ind w:right="960"/>
              <w:spacing w:after="0"/>
              <w:rPr>
                <w:sz w:val="20"/>
                <w:szCs w:val="20"/>
                <w:color w:val="auto"/>
              </w:rPr>
            </w:pPr>
            <w:r>
              <w:rPr>
                <w:rFonts w:ascii="Arial" w:cs="Arial" w:eastAsia="Arial" w:hAnsi="Arial"/>
                <w:sz w:val="11"/>
                <w:szCs w:val="11"/>
                <w:b w:val="1"/>
                <w:bCs w:val="1"/>
                <w:color w:val="auto"/>
              </w:rPr>
              <w:t>2021 over 2020</w:t>
            </w:r>
          </w:p>
        </w:tc>
        <w:tc>
          <w:tcPr>
            <w:tcW w:w="1180" w:type="dxa"/>
            <w:vAlign w:val="bottom"/>
            <w:gridSpan w:val="3"/>
          </w:tcPr>
          <w:p>
            <w:pPr>
              <w:jc w:val="right"/>
              <w:ind w:right="72"/>
              <w:spacing w:after="0"/>
              <w:rPr>
                <w:sz w:val="20"/>
                <w:szCs w:val="20"/>
                <w:color w:val="auto"/>
              </w:rPr>
            </w:pPr>
            <w:r>
              <w:rPr>
                <w:rFonts w:ascii="Arial" w:cs="Arial" w:eastAsia="Arial" w:hAnsi="Arial"/>
                <w:sz w:val="11"/>
                <w:szCs w:val="11"/>
                <w:b w:val="1"/>
                <w:bCs w:val="1"/>
                <w:color w:val="auto"/>
              </w:rPr>
              <w:t>June 30,</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ind w:left="460"/>
              <w:spacing w:after="0"/>
              <w:rPr>
                <w:sz w:val="20"/>
                <w:szCs w:val="20"/>
                <w:color w:val="auto"/>
              </w:rPr>
            </w:pPr>
            <w:r>
              <w:rPr>
                <w:rFonts w:ascii="Arial" w:cs="Arial" w:eastAsia="Arial" w:hAnsi="Arial"/>
                <w:sz w:val="11"/>
                <w:szCs w:val="11"/>
                <w:b w:val="1"/>
                <w:bCs w:val="1"/>
                <w:color w:val="auto"/>
                <w:w w:val="86"/>
              </w:rPr>
              <w:t>2021 over 2020</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640" w:type="dxa"/>
            <w:vAlign w:val="bottom"/>
            <w:vMerge w:val="restart"/>
          </w:tcPr>
          <w:p>
            <w:pPr>
              <w:spacing w:after="0"/>
              <w:rPr>
                <w:sz w:val="20"/>
                <w:szCs w:val="20"/>
                <w:color w:val="auto"/>
              </w:rPr>
            </w:pPr>
            <w:r>
              <w:rPr>
                <w:rFonts w:ascii="Arial" w:cs="Arial" w:eastAsia="Arial" w:hAnsi="Arial"/>
                <w:sz w:val="11"/>
                <w:szCs w:val="11"/>
                <w:color w:val="auto"/>
              </w:rPr>
              <w:t>(in thousands, except percentages)</w:t>
            </w:r>
          </w:p>
        </w:tc>
        <w:tc>
          <w:tcPr>
            <w:tcW w:w="260" w:type="dxa"/>
            <w:vAlign w:val="bottom"/>
            <w:tcBorders>
              <w:top w:val="single" w:sz="8" w:color="auto"/>
            </w:tcBorders>
          </w:tcPr>
          <w:p>
            <w:pPr>
              <w:spacing w:after="0"/>
              <w:rPr>
                <w:sz w:val="8"/>
                <w:szCs w:val="8"/>
                <w:color w:val="auto"/>
              </w:rPr>
            </w:pPr>
          </w:p>
        </w:tc>
        <w:tc>
          <w:tcPr>
            <w:tcW w:w="820" w:type="dxa"/>
            <w:vAlign w:val="bottom"/>
            <w:tcBorders>
              <w:top w:val="single" w:sz="8" w:color="auto"/>
            </w:tcBorders>
            <w:vMerge w:val="restart"/>
          </w:tcPr>
          <w:p>
            <w:pPr>
              <w:jc w:val="right"/>
              <w:ind w:right="364"/>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vMerge w:val="restart"/>
          </w:tcPr>
          <w:p>
            <w:pPr>
              <w:jc w:val="right"/>
              <w:ind w:right="364"/>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jc w:val="right"/>
              <w:ind w:right="385"/>
              <w:spacing w:after="0" w:line="99" w:lineRule="exact"/>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right"/>
              <w:ind w:right="344"/>
              <w:spacing w:after="0" w:line="99"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20" w:type="dxa"/>
            <w:vAlign w:val="bottom"/>
            <w:tcBorders>
              <w:top w:val="single" w:sz="8" w:color="auto"/>
            </w:tcBorders>
            <w:vMerge w:val="restart"/>
          </w:tcPr>
          <w:p>
            <w:pPr>
              <w:jc w:val="right"/>
              <w:ind w:right="364"/>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00" w:type="dxa"/>
            <w:vAlign w:val="bottom"/>
            <w:tcBorders>
              <w:top w:val="single" w:sz="8" w:color="auto"/>
            </w:tcBorders>
            <w:vMerge w:val="restart"/>
          </w:tcPr>
          <w:p>
            <w:pPr>
              <w:jc w:val="right"/>
              <w:ind w:right="364"/>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right"/>
              <w:ind w:right="425"/>
              <w:spacing w:after="0" w:line="99" w:lineRule="exact"/>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right"/>
              <w:ind w:right="364"/>
              <w:spacing w:after="0" w:line="99"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2"/>
        </w:trPr>
        <w:tc>
          <w:tcPr>
            <w:tcW w:w="264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25"/>
              <w:spacing w:after="0"/>
              <w:rPr>
                <w:sz w:val="20"/>
                <w:szCs w:val="20"/>
                <w:color w:val="auto"/>
              </w:rPr>
            </w:pPr>
            <w:r>
              <w:rPr>
                <w:rFonts w:ascii="Arial" w:cs="Arial" w:eastAsia="Arial" w:hAnsi="Arial"/>
                <w:sz w:val="11"/>
                <w:szCs w:val="11"/>
                <w:b w:val="1"/>
                <w:bCs w:val="1"/>
                <w:color w:val="auto"/>
                <w:w w:val="84"/>
              </w:rPr>
              <w:t>Change</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Change</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45"/>
              <w:spacing w:after="0"/>
              <w:rPr>
                <w:sz w:val="20"/>
                <w:szCs w:val="20"/>
                <w:color w:val="auto"/>
              </w:rPr>
            </w:pPr>
            <w:r>
              <w:rPr>
                <w:rFonts w:ascii="Arial" w:cs="Arial" w:eastAsia="Arial" w:hAnsi="Arial"/>
                <w:sz w:val="11"/>
                <w:szCs w:val="11"/>
                <w:b w:val="1"/>
                <w:bCs w:val="1"/>
                <w:color w:val="auto"/>
                <w:w w:val="89"/>
              </w:rPr>
              <w:t>Change</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224"/>
              <w:spacing w:after="0"/>
              <w:rPr>
                <w:sz w:val="20"/>
                <w:szCs w:val="20"/>
                <w:color w:val="auto"/>
              </w:rPr>
            </w:pPr>
            <w:r>
              <w:rPr>
                <w:rFonts w:ascii="Arial" w:cs="Arial" w:eastAsia="Arial" w:hAnsi="Arial"/>
                <w:sz w:val="11"/>
                <w:szCs w:val="11"/>
                <w:b w:val="1"/>
                <w:bCs w:val="1"/>
                <w:color w:val="auto"/>
                <w:w w:val="89"/>
              </w:rPr>
              <w:t>Change</w:t>
            </w:r>
          </w:p>
        </w:tc>
        <w:tc>
          <w:tcPr>
            <w:tcW w:w="0" w:type="dxa"/>
            <w:vAlign w:val="bottom"/>
          </w:tcPr>
          <w:p>
            <w:pPr>
              <w:spacing w:after="0"/>
              <w:rPr>
                <w:sz w:val="1"/>
                <w:szCs w:val="1"/>
                <w:color w:val="auto"/>
              </w:rPr>
            </w:pPr>
          </w:p>
        </w:tc>
      </w:tr>
      <w:tr>
        <w:trPr>
          <w:trHeight w:val="144"/>
        </w:trPr>
        <w:tc>
          <w:tcPr>
            <w:tcW w:w="2640" w:type="dxa"/>
            <w:vAlign w:val="bottom"/>
            <w:shd w:val="clear" w:color="auto" w:fill="CCEEFF"/>
          </w:tcPr>
          <w:p>
            <w:pPr>
              <w:spacing w:after="0"/>
              <w:rPr>
                <w:sz w:val="20"/>
                <w:szCs w:val="20"/>
                <w:color w:val="auto"/>
              </w:rPr>
            </w:pPr>
            <w:r>
              <w:rPr>
                <w:rFonts w:ascii="Arial" w:cs="Arial" w:eastAsia="Arial" w:hAnsi="Arial"/>
                <w:sz w:val="12"/>
                <w:szCs w:val="12"/>
                <w:color w:val="auto"/>
              </w:rPr>
              <w:t>Direct revenues</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202,282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97,350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104,932</w:t>
            </w:r>
          </w:p>
        </w:tc>
        <w:tc>
          <w:tcPr>
            <w:tcW w:w="10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107.8 %  $</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355,749</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250,631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105,118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41.9 %</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200" w:firstLine="432"/>
        <w:spacing w:after="0" w:line="276" w:lineRule="auto"/>
        <w:rPr>
          <w:sz w:val="20"/>
          <w:szCs w:val="20"/>
          <w:color w:val="auto"/>
        </w:rPr>
      </w:pPr>
      <w:r>
        <w:rPr>
          <w:rFonts w:ascii="Arial" w:cs="Arial" w:eastAsia="Arial" w:hAnsi="Arial"/>
          <w:sz w:val="12"/>
          <w:szCs w:val="12"/>
          <w:color w:val="auto"/>
        </w:rPr>
        <w:t>Safety-Kleen Sustainability Solutions direct revenues for the three months ended June 30, 2021 increased $104.9 million from the comparable period in 2020. A number of price increases experienced throughout the quarter and increased demand and</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8" w:name="page29"/>
    <w:bookmarkEnd w:id="2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ind w:right="100"/>
        <w:spacing w:after="0" w:line="285" w:lineRule="auto"/>
        <w:rPr>
          <w:sz w:val="20"/>
          <w:szCs w:val="20"/>
          <w:color w:val="auto"/>
        </w:rPr>
      </w:pPr>
      <w:r>
        <w:rPr>
          <w:rFonts w:ascii="Arial" w:cs="Arial" w:eastAsia="Arial" w:hAnsi="Arial"/>
          <w:sz w:val="11"/>
          <w:szCs w:val="11"/>
          <w:color w:val="auto"/>
        </w:rPr>
        <w:t>resulting volumes of product sold drove an $84.7 million increase in revenue from base oil sales and a $17.5 million increase revenue from blended oil sales. Revenues from contract blending and packaging increased $10.0 million in the three months ended June 30, 2021 when compared to the three months ended June 30, 2021 as well. Pricing increases in recycled fuel oil and refinery byproducts increased revenues by $4.4 million. Revenues from used oil collection services decreased $11.6 million in the second quarter of 2021, when compared to the second quarter of 2020 due to pricing decreases. The prices charged for used oil collection services are generally correlated with base oil pricing and therefore this pricing decrease was expected in light of the overall oil market conditions. The volume of the used oil collected increased from the prior year. Collection volumes for used oil have nearly rebounded to pre-pandemic levels. Foreign currency translation positively impacted the Canadian operations of Safety-Kleen Sustainability Solutions by $3.3 million.</w:t>
      </w:r>
    </w:p>
    <w:p>
      <w:pPr>
        <w:spacing w:after="0" w:line="68" w:lineRule="exact"/>
        <w:rPr>
          <w:sz w:val="20"/>
          <w:szCs w:val="20"/>
          <w:color w:val="auto"/>
        </w:rPr>
      </w:pPr>
    </w:p>
    <w:p>
      <w:pPr>
        <w:ind w:right="20" w:firstLine="432"/>
        <w:spacing w:after="0" w:line="256" w:lineRule="auto"/>
        <w:rPr>
          <w:sz w:val="20"/>
          <w:szCs w:val="20"/>
          <w:color w:val="auto"/>
        </w:rPr>
      </w:pPr>
      <w:r>
        <w:rPr>
          <w:rFonts w:ascii="Arial" w:cs="Arial" w:eastAsia="Arial" w:hAnsi="Arial"/>
          <w:sz w:val="12"/>
          <w:szCs w:val="12"/>
          <w:color w:val="auto"/>
        </w:rPr>
        <w:t>Safety-Kleen Sustainability Solutions direct revenues for the six months ended June 30, 2021 increased $105.1 million from the comparable period in 2020. Due to the pricing increases and rebounding demand described above relative to the second quarter of 2021, higher pricing and volumes drove a $91.7 million increase in revenue from base oil sales and a $12.2 million increase in revenues from blended oil sales. Revenues from contract blending and packaging increased $11.5 million from the comparable period. As expected in light of the oil market conditions noted above, revenues from used oil collection services decreased $6.9 million due to pricing decreases. Collection volumes for used oil increased during the six months ended June 30, 2021 when compared to the comparable period in 2020, and have nearly rebounded to pre-pandemic levels. Foreign currency translation positively impacted the Canadian operations of Safety-Kleen Sustainability Solutions by $4.5 million.</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of Revenues</w:t>
      </w:r>
    </w:p>
    <w:p>
      <w:pPr>
        <w:spacing w:after="0" w:line="105" w:lineRule="exact"/>
        <w:rPr>
          <w:sz w:val="20"/>
          <w:szCs w:val="20"/>
          <w:color w:val="auto"/>
        </w:rPr>
      </w:pPr>
    </w:p>
    <w:p>
      <w:pPr>
        <w:ind w:right="180" w:firstLine="432"/>
        <w:spacing w:after="0" w:line="263" w:lineRule="auto"/>
        <w:rPr>
          <w:sz w:val="20"/>
          <w:szCs w:val="20"/>
          <w:color w:val="auto"/>
        </w:rPr>
      </w:pPr>
      <w:r>
        <w:rPr>
          <w:rFonts w:ascii="Arial" w:cs="Arial" w:eastAsia="Arial" w:hAnsi="Arial"/>
          <w:sz w:val="12"/>
          <w:szCs w:val="12"/>
          <w:color w:val="auto"/>
        </w:rPr>
        <w:t>We believe that our ability to manage operating costs is important to our ability to remain price competitive. We continue to upgrade the quality and efficiency of our services through the development of new technology and continued modifications and expansion at our facilities, invest in new business opportunities and aggressively implement strategic sourcing and logistics solutions as well as other cost reduction initiatives, while also continuing to optimize our management and operating structure in an effort to maintain and increase operating margins.</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Environmental Services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80" w:type="dxa"/>
            <w:vAlign w:val="bottom"/>
            <w:gridSpan w:val="6"/>
          </w:tcPr>
          <w:p>
            <w:pPr>
              <w:ind w:left="120"/>
              <w:spacing w:after="0"/>
              <w:rPr>
                <w:sz w:val="20"/>
                <w:szCs w:val="20"/>
                <w:color w:val="auto"/>
              </w:rPr>
            </w:pPr>
            <w:r>
              <w:rPr>
                <w:rFonts w:ascii="Arial" w:cs="Arial" w:eastAsia="Arial" w:hAnsi="Arial"/>
                <w:sz w:val="11"/>
                <w:szCs w:val="11"/>
                <w:b w:val="1"/>
                <w:bCs w:val="1"/>
                <w:color w:val="auto"/>
              </w:rPr>
              <w:t>For the Three Months Ended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20" w:type="dxa"/>
            <w:vAlign w:val="bottom"/>
            <w:gridSpan w:val="6"/>
          </w:tcPr>
          <w:p>
            <w:pPr>
              <w:ind w:left="120"/>
              <w:spacing w:after="0"/>
              <w:rPr>
                <w:sz w:val="20"/>
                <w:szCs w:val="20"/>
                <w:color w:val="auto"/>
              </w:rPr>
            </w:pPr>
            <w:r>
              <w:rPr>
                <w:rFonts w:ascii="Arial" w:cs="Arial" w:eastAsia="Arial" w:hAnsi="Arial"/>
                <w:sz w:val="11"/>
                <w:szCs w:val="11"/>
                <w:b w:val="1"/>
                <w:bCs w:val="1"/>
                <w:color w:val="auto"/>
              </w:rPr>
              <w:t>For the Six Months Ended</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4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1"/>
                <w:szCs w:val="11"/>
                <w:b w:val="1"/>
                <w:bCs w:val="1"/>
                <w:color w:val="auto"/>
                <w:w w:val="81"/>
              </w:rPr>
              <w:t>June 30,</w:t>
            </w:r>
          </w:p>
        </w:tc>
        <w:tc>
          <w:tcPr>
            <w:tcW w:w="8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ind w:left="480"/>
              <w:spacing w:after="0"/>
              <w:rPr>
                <w:sz w:val="20"/>
                <w:szCs w:val="20"/>
                <w:color w:val="auto"/>
              </w:rPr>
            </w:pPr>
            <w:r>
              <w:rPr>
                <w:rFonts w:ascii="Arial" w:cs="Arial" w:eastAsia="Arial" w:hAnsi="Arial"/>
                <w:sz w:val="11"/>
                <w:szCs w:val="11"/>
                <w:b w:val="1"/>
                <w:bCs w:val="1"/>
                <w:color w:val="auto"/>
                <w:w w:val="86"/>
              </w:rPr>
              <w:t>2021 over 2020</w:t>
            </w: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1"/>
                <w:szCs w:val="11"/>
                <w:b w:val="1"/>
                <w:bCs w:val="1"/>
                <w:color w:val="auto"/>
              </w:rPr>
              <w:t>June 30,</w:t>
            </w:r>
          </w:p>
        </w:tc>
        <w:tc>
          <w:tcPr>
            <w:tcW w:w="8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ind w:left="460"/>
              <w:spacing w:after="0"/>
              <w:rPr>
                <w:sz w:val="20"/>
                <w:szCs w:val="20"/>
                <w:color w:val="auto"/>
              </w:rPr>
            </w:pPr>
            <w:r>
              <w:rPr>
                <w:rFonts w:ascii="Arial" w:cs="Arial" w:eastAsia="Arial" w:hAnsi="Arial"/>
                <w:sz w:val="11"/>
                <w:szCs w:val="11"/>
                <w:b w:val="1"/>
                <w:bCs w:val="1"/>
                <w:color w:val="auto"/>
                <w:w w:val="89"/>
              </w:rPr>
              <w:t>2021 over 2020</w:t>
            </w:r>
          </w:p>
        </w:tc>
        <w:tc>
          <w:tcPr>
            <w:tcW w:w="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400" w:type="dxa"/>
            <w:vAlign w:val="bottom"/>
            <w:vMerge w:val="restart"/>
          </w:tcPr>
          <w:p>
            <w:pPr>
              <w:spacing w:after="0"/>
              <w:rPr>
                <w:sz w:val="20"/>
                <w:szCs w:val="20"/>
                <w:color w:val="auto"/>
              </w:rPr>
            </w:pPr>
            <w:r>
              <w:rPr>
                <w:rFonts w:ascii="Arial" w:cs="Arial" w:eastAsia="Arial" w:hAnsi="Arial"/>
                <w:sz w:val="11"/>
                <w:szCs w:val="11"/>
                <w:color w:val="auto"/>
              </w:rPr>
              <w:t>(in thousands, except percentages)</w:t>
            </w:r>
          </w:p>
        </w:tc>
        <w:tc>
          <w:tcPr>
            <w:tcW w:w="240" w:type="dxa"/>
            <w:vAlign w:val="bottom"/>
          </w:tcPr>
          <w:p>
            <w:pPr>
              <w:spacing w:after="0"/>
              <w:rPr>
                <w:sz w:val="8"/>
                <w:szCs w:val="8"/>
                <w:color w:val="auto"/>
              </w:rPr>
            </w:pPr>
          </w:p>
        </w:tc>
        <w:tc>
          <w:tcPr>
            <w:tcW w:w="660" w:type="dxa"/>
            <w:vAlign w:val="bottom"/>
            <w:vMerge w:val="restart"/>
          </w:tcPr>
          <w:p>
            <w:pPr>
              <w:jc w:val="right"/>
              <w:ind w:right="222"/>
              <w:spacing w:after="0"/>
              <w:rPr>
                <w:sz w:val="20"/>
                <w:szCs w:val="20"/>
                <w:color w:val="auto"/>
              </w:rPr>
            </w:pPr>
            <w:r>
              <w:rPr>
                <w:rFonts w:ascii="Arial" w:cs="Arial" w:eastAsia="Arial" w:hAnsi="Arial"/>
                <w:sz w:val="11"/>
                <w:szCs w:val="11"/>
                <w:b w:val="1"/>
                <w:bCs w:val="1"/>
                <w:color w:val="auto"/>
              </w:rPr>
              <w:t>2021</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vMerge w:val="restart"/>
          </w:tcPr>
          <w:p>
            <w:pPr>
              <w:jc w:val="right"/>
              <w:ind w:right="383"/>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jc w:val="right"/>
              <w:ind w:right="424"/>
              <w:spacing w:after="0" w:line="99"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jc w:val="right"/>
              <w:ind w:right="344"/>
              <w:spacing w:after="0" w:line="99"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vMerge w:val="restart"/>
          </w:tcPr>
          <w:p>
            <w:pPr>
              <w:jc w:val="right"/>
              <w:ind w:right="403"/>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vMerge w:val="restart"/>
          </w:tcPr>
          <w:p>
            <w:pPr>
              <w:jc w:val="right"/>
              <w:ind w:right="403"/>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jc w:val="right"/>
              <w:ind w:right="424"/>
              <w:spacing w:after="0" w:line="99"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jc w:val="right"/>
              <w:ind w:right="364"/>
              <w:spacing w:after="0" w:line="99"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2"/>
        </w:trPr>
        <w:tc>
          <w:tcPr>
            <w:tcW w:w="240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84"/>
              <w:spacing w:after="0"/>
              <w:rPr>
                <w:sz w:val="20"/>
                <w:szCs w:val="20"/>
                <w:color w:val="auto"/>
              </w:rPr>
            </w:pPr>
            <w:r>
              <w:rPr>
                <w:rFonts w:ascii="Arial" w:cs="Arial" w:eastAsia="Arial" w:hAnsi="Arial"/>
                <w:sz w:val="11"/>
                <w:szCs w:val="11"/>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184"/>
              <w:spacing w:after="0"/>
              <w:rPr>
                <w:sz w:val="20"/>
                <w:szCs w:val="20"/>
                <w:color w:val="auto"/>
              </w:rPr>
            </w:pPr>
            <w:r>
              <w:rPr>
                <w:rFonts w:ascii="Arial" w:cs="Arial" w:eastAsia="Arial" w:hAnsi="Arial"/>
                <w:sz w:val="11"/>
                <w:szCs w:val="11"/>
                <w:b w:val="1"/>
                <w:bCs w:val="1"/>
                <w:color w:val="auto"/>
                <w:w w:val="84"/>
              </w:rPr>
              <w:t>Change</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84"/>
              <w:spacing w:after="0"/>
              <w:rPr>
                <w:sz w:val="20"/>
                <w:szCs w:val="20"/>
                <w:color w:val="auto"/>
              </w:rPr>
            </w:pPr>
            <w:r>
              <w:rPr>
                <w:rFonts w:ascii="Arial" w:cs="Arial" w:eastAsia="Arial" w:hAnsi="Arial"/>
                <w:sz w:val="11"/>
                <w:szCs w:val="11"/>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204"/>
              <w:spacing w:after="0"/>
              <w:rPr>
                <w:sz w:val="20"/>
                <w:szCs w:val="20"/>
                <w:color w:val="auto"/>
              </w:rPr>
            </w:pPr>
            <w:r>
              <w:rPr>
                <w:rFonts w:ascii="Arial" w:cs="Arial" w:eastAsia="Arial" w:hAnsi="Arial"/>
                <w:sz w:val="11"/>
                <w:szCs w:val="11"/>
                <w:b w:val="1"/>
                <w:bCs w:val="1"/>
                <w:color w:val="auto"/>
                <w:w w:val="89"/>
              </w:rPr>
              <w:t>Change</w:t>
            </w:r>
          </w:p>
        </w:tc>
        <w:tc>
          <w:tcPr>
            <w:tcW w:w="0" w:type="dxa"/>
            <w:vAlign w:val="bottom"/>
          </w:tcPr>
          <w:p>
            <w:pPr>
              <w:spacing w:after="0"/>
              <w:rPr>
                <w:sz w:val="1"/>
                <w:szCs w:val="1"/>
                <w:color w:val="auto"/>
              </w:rPr>
            </w:pPr>
          </w:p>
        </w:tc>
      </w:tr>
      <w:tr>
        <w:trPr>
          <w:trHeight w:val="144"/>
        </w:trPr>
        <w:tc>
          <w:tcPr>
            <w:tcW w:w="2400" w:type="dxa"/>
            <w:vAlign w:val="bottom"/>
            <w:shd w:val="clear" w:color="auto" w:fill="CCEEFF"/>
          </w:tcPr>
          <w:p>
            <w:pPr>
              <w:spacing w:after="0"/>
              <w:rPr>
                <w:sz w:val="20"/>
                <w:szCs w:val="20"/>
                <w:color w:val="auto"/>
              </w:rPr>
            </w:pPr>
            <w:r>
              <w:rPr>
                <w:rFonts w:ascii="Arial" w:cs="Arial" w:eastAsia="Arial" w:hAnsi="Arial"/>
                <w:sz w:val="12"/>
                <w:szCs w:val="12"/>
                <w:color w:val="auto"/>
              </w:rPr>
              <w:t>Cost of revenues</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487,257</w:t>
            </w: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385,113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102,144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26.5 %  $</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938,512</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876,234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62,278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7.1 %</w:t>
            </w:r>
          </w:p>
        </w:tc>
        <w:tc>
          <w:tcPr>
            <w:tcW w:w="0" w:type="dxa"/>
            <w:vAlign w:val="bottom"/>
          </w:tcPr>
          <w:p>
            <w:pPr>
              <w:spacing w:after="0"/>
              <w:rPr>
                <w:sz w:val="1"/>
                <w:szCs w:val="1"/>
                <w:color w:val="auto"/>
              </w:rPr>
            </w:pPr>
          </w:p>
        </w:tc>
      </w:tr>
      <w:tr>
        <w:trPr>
          <w:trHeight w:val="153"/>
        </w:trPr>
        <w:tc>
          <w:tcPr>
            <w:tcW w:w="2400" w:type="dxa"/>
            <w:vAlign w:val="bottom"/>
          </w:tcPr>
          <w:p>
            <w:pPr>
              <w:spacing w:after="0"/>
              <w:rPr>
                <w:sz w:val="20"/>
                <w:szCs w:val="20"/>
                <w:color w:val="auto"/>
              </w:rPr>
            </w:pPr>
            <w:r>
              <w:rPr>
                <w:rFonts w:ascii="Arial" w:cs="Arial" w:eastAsia="Arial" w:hAnsi="Arial"/>
                <w:sz w:val="12"/>
                <w:szCs w:val="12"/>
                <w:color w:val="auto"/>
              </w:rPr>
              <w:t>As a % of Direct revenues</w:t>
            </w:r>
          </w:p>
        </w:tc>
        <w:tc>
          <w:tcPr>
            <w:tcW w:w="24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67.3 %</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62.9 %</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4.4 %</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68.1 %</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66.5 %</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1.6 %</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40" w:firstLine="432"/>
        <w:spacing w:after="0" w:line="326" w:lineRule="auto"/>
        <w:rPr>
          <w:sz w:val="20"/>
          <w:szCs w:val="20"/>
          <w:color w:val="auto"/>
        </w:rPr>
      </w:pPr>
      <w:r>
        <w:rPr>
          <w:rFonts w:ascii="Arial" w:cs="Arial" w:eastAsia="Arial" w:hAnsi="Arial"/>
          <w:sz w:val="10"/>
          <w:szCs w:val="10"/>
          <w:color w:val="auto"/>
        </w:rPr>
        <w:t>Environmental Services cost of revenues for the three months ended June 30, 2021 increased $102.1 million from the comparable period in 2020, primarily due to the increase in direct revenues. Cost of revenues as a percentage of direct revenues increased 4.4% from the comparable period in the prior year, in part due to a $9.6 million reduction in benefits recognized under the Government Programs in the second quarter of 2021 as compared to the same period of the prior year. After adjusting for this difference, cost as a percentage of revenues increased 2.8%, primarily due to the mix of services being performed, including lower COVID-19 decontamination services. Overall, labor and benefits related costs increased $37.5 million, equipment and supply costs increased $35.6 million and transportation, disposal, vehicle and fuel related costs increased $18.6 million from the comparable period in 2020.</w:t>
      </w:r>
    </w:p>
    <w:p>
      <w:pPr>
        <w:spacing w:after="0" w:line="50" w:lineRule="exact"/>
        <w:rPr>
          <w:sz w:val="20"/>
          <w:szCs w:val="20"/>
          <w:color w:val="auto"/>
        </w:rPr>
      </w:pPr>
    </w:p>
    <w:p>
      <w:pPr>
        <w:ind w:right="40" w:firstLine="432"/>
        <w:spacing w:after="0" w:line="340" w:lineRule="auto"/>
        <w:rPr>
          <w:sz w:val="20"/>
          <w:szCs w:val="20"/>
          <w:color w:val="auto"/>
        </w:rPr>
      </w:pPr>
      <w:r>
        <w:rPr>
          <w:rFonts w:ascii="Arial" w:cs="Arial" w:eastAsia="Arial" w:hAnsi="Arial"/>
          <w:sz w:val="10"/>
          <w:szCs w:val="10"/>
          <w:color w:val="auto"/>
        </w:rPr>
        <w:t>Environmental Services cost of revenues for the six months ended June 30, 2021 increased $62.3 million from the comparable period in 2020, primarily due to an increase in direct revenues. Cost of revenues as a percentage of direct revenues increased 1.6% from the comparable period in the prior year. Excluding the $5.8 million year over year reduction in benefits recognized under the Government Programs, cost of revenues as a percentage of direct revenues increased 1.1%. Overall, equipment and supply costs increased $19.0 million, labor and benefits related costs increased $17.3 million and transportation, disposal, vehicle and fuel related costs increased $15.4 million.</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9" w:name="page30"/>
    <w:bookmarkEnd w:id="2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Safety-Kleen Sustainability Solutions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20" w:type="dxa"/>
            <w:vAlign w:val="bottom"/>
            <w:gridSpan w:val="6"/>
          </w:tcPr>
          <w:p>
            <w:pPr>
              <w:ind w:left="60"/>
              <w:spacing w:after="0"/>
              <w:rPr>
                <w:sz w:val="20"/>
                <w:szCs w:val="20"/>
                <w:color w:val="auto"/>
              </w:rPr>
            </w:pPr>
            <w:r>
              <w:rPr>
                <w:rFonts w:ascii="Arial" w:cs="Arial" w:eastAsia="Arial" w:hAnsi="Arial"/>
                <w:sz w:val="11"/>
                <w:szCs w:val="11"/>
                <w:b w:val="1"/>
                <w:bCs w:val="1"/>
                <w:color w:val="auto"/>
              </w:rPr>
              <w:t>For the Three Months Ended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3"/>
          </w:tcPr>
          <w:p>
            <w:pPr>
              <w:jc w:val="center"/>
              <w:ind w:left="43"/>
              <w:spacing w:after="0"/>
              <w:rPr>
                <w:sz w:val="20"/>
                <w:szCs w:val="20"/>
                <w:color w:val="auto"/>
              </w:rPr>
            </w:pPr>
            <w:r>
              <w:rPr>
                <w:rFonts w:ascii="Arial" w:cs="Arial" w:eastAsia="Arial" w:hAnsi="Arial"/>
                <w:sz w:val="11"/>
                <w:szCs w:val="11"/>
                <w:b w:val="1"/>
                <w:bCs w:val="1"/>
                <w:color w:val="auto"/>
                <w:w w:val="89"/>
              </w:rPr>
              <w:t>For the Six Months Ended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4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June 30,</w:t>
            </w:r>
          </w:p>
        </w:tc>
        <w:tc>
          <w:tcPr>
            <w:tcW w:w="9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ind w:left="400"/>
              <w:spacing w:after="0"/>
              <w:rPr>
                <w:sz w:val="20"/>
                <w:szCs w:val="20"/>
                <w:color w:val="auto"/>
              </w:rPr>
            </w:pPr>
            <w:r>
              <w:rPr>
                <w:rFonts w:ascii="Arial" w:cs="Arial" w:eastAsia="Arial" w:hAnsi="Arial"/>
                <w:sz w:val="11"/>
                <w:szCs w:val="11"/>
                <w:b w:val="1"/>
                <w:bCs w:val="1"/>
                <w:color w:val="auto"/>
                <w:w w:val="86"/>
              </w:rPr>
              <w:t>2021 over 2020</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1"/>
                <w:szCs w:val="11"/>
                <w:b w:val="1"/>
                <w:bCs w:val="1"/>
                <w:color w:val="auto"/>
              </w:rPr>
              <w:t>June 30,</w:t>
            </w:r>
          </w:p>
        </w:tc>
        <w:tc>
          <w:tcPr>
            <w:tcW w:w="9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ind w:left="300"/>
              <w:spacing w:after="0"/>
              <w:rPr>
                <w:sz w:val="20"/>
                <w:szCs w:val="20"/>
                <w:color w:val="auto"/>
              </w:rPr>
            </w:pPr>
            <w:r>
              <w:rPr>
                <w:rFonts w:ascii="Arial" w:cs="Arial" w:eastAsia="Arial" w:hAnsi="Arial"/>
                <w:sz w:val="11"/>
                <w:szCs w:val="11"/>
                <w:b w:val="1"/>
                <w:bCs w:val="1"/>
                <w:color w:val="auto"/>
                <w:w w:val="86"/>
              </w:rPr>
              <w:t>2021 over 2020</w:t>
            </w: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420" w:type="dxa"/>
            <w:vAlign w:val="bottom"/>
            <w:vMerge w:val="restart"/>
          </w:tcPr>
          <w:p>
            <w:pPr>
              <w:spacing w:after="0"/>
              <w:rPr>
                <w:sz w:val="20"/>
                <w:szCs w:val="20"/>
                <w:color w:val="auto"/>
              </w:rPr>
            </w:pPr>
            <w:r>
              <w:rPr>
                <w:rFonts w:ascii="Arial" w:cs="Arial" w:eastAsia="Arial" w:hAnsi="Arial"/>
                <w:sz w:val="11"/>
                <w:szCs w:val="11"/>
                <w:color w:val="auto"/>
              </w:rPr>
              <w:t>(in thousands, except percentages)</w:t>
            </w:r>
          </w:p>
        </w:tc>
        <w:tc>
          <w:tcPr>
            <w:tcW w:w="260" w:type="dxa"/>
            <w:vAlign w:val="bottom"/>
          </w:tcPr>
          <w:p>
            <w:pPr>
              <w:spacing w:after="0"/>
              <w:rPr>
                <w:sz w:val="8"/>
                <w:szCs w:val="8"/>
                <w:color w:val="auto"/>
              </w:rPr>
            </w:pPr>
          </w:p>
        </w:tc>
        <w:tc>
          <w:tcPr>
            <w:tcW w:w="880" w:type="dxa"/>
            <w:vAlign w:val="bottom"/>
            <w:vMerge w:val="restart"/>
          </w:tcPr>
          <w:p>
            <w:pPr>
              <w:jc w:val="right"/>
              <w:ind w:right="403"/>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vMerge w:val="restart"/>
          </w:tcPr>
          <w:p>
            <w:pPr>
              <w:jc w:val="right"/>
              <w:ind w:right="403"/>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jc w:val="right"/>
              <w:ind w:right="404"/>
              <w:spacing w:after="0" w:line="99"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jc w:val="right"/>
              <w:ind w:right="304"/>
              <w:spacing w:after="0" w:line="99"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vMerge w:val="restart"/>
          </w:tcPr>
          <w:p>
            <w:pPr>
              <w:jc w:val="right"/>
              <w:ind w:right="403"/>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vMerge w:val="restart"/>
          </w:tcPr>
          <w:p>
            <w:pPr>
              <w:jc w:val="right"/>
              <w:ind w:right="423"/>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jc w:val="right"/>
              <w:ind w:right="424"/>
              <w:spacing w:after="0" w:line="99"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jc w:val="right"/>
              <w:ind w:right="324"/>
              <w:spacing w:after="0" w:line="99"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2"/>
        </w:trPr>
        <w:tc>
          <w:tcPr>
            <w:tcW w:w="24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44"/>
              <w:spacing w:after="0"/>
              <w:rPr>
                <w:sz w:val="20"/>
                <w:szCs w:val="20"/>
                <w:color w:val="auto"/>
              </w:rPr>
            </w:pPr>
            <w:r>
              <w:rPr>
                <w:rFonts w:ascii="Arial" w:cs="Arial" w:eastAsia="Arial" w:hAnsi="Arial"/>
                <w:sz w:val="11"/>
                <w:szCs w:val="11"/>
                <w:b w:val="1"/>
                <w:bCs w:val="1"/>
                <w:color w:val="auto"/>
                <w:w w:val="84"/>
              </w:rPr>
              <w:t>Change</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84"/>
              <w:spacing w:after="0"/>
              <w:rPr>
                <w:sz w:val="20"/>
                <w:szCs w:val="20"/>
                <w:color w:val="auto"/>
              </w:rPr>
            </w:pPr>
            <w:r>
              <w:rPr>
                <w:rFonts w:ascii="Arial" w:cs="Arial" w:eastAsia="Arial" w:hAnsi="Arial"/>
                <w:sz w:val="11"/>
                <w:szCs w:val="11"/>
                <w:b w:val="1"/>
                <w:bCs w:val="1"/>
                <w:color w:val="auto"/>
                <w:w w:val="79"/>
              </w:rPr>
              <w:t>Change</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264"/>
              <w:spacing w:after="0"/>
              <w:rPr>
                <w:sz w:val="20"/>
                <w:szCs w:val="20"/>
                <w:color w:val="auto"/>
              </w:rPr>
            </w:pPr>
            <w:r>
              <w:rPr>
                <w:rFonts w:ascii="Arial" w:cs="Arial" w:eastAsia="Arial" w:hAnsi="Arial"/>
                <w:sz w:val="11"/>
                <w:szCs w:val="11"/>
                <w:b w:val="1"/>
                <w:bCs w:val="1"/>
                <w:color w:val="auto"/>
                <w:w w:val="84"/>
              </w:rPr>
              <w:t>Change</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144"/>
              <w:spacing w:after="0"/>
              <w:rPr>
                <w:sz w:val="20"/>
                <w:szCs w:val="20"/>
                <w:color w:val="auto"/>
              </w:rPr>
            </w:pPr>
            <w:r>
              <w:rPr>
                <w:rFonts w:ascii="Arial" w:cs="Arial" w:eastAsia="Arial" w:hAnsi="Arial"/>
                <w:sz w:val="11"/>
                <w:szCs w:val="11"/>
                <w:b w:val="1"/>
                <w:bCs w:val="1"/>
                <w:color w:val="auto"/>
                <w:w w:val="84"/>
              </w:rPr>
              <w:t>Change</w:t>
            </w:r>
          </w:p>
        </w:tc>
        <w:tc>
          <w:tcPr>
            <w:tcW w:w="0" w:type="dxa"/>
            <w:vAlign w:val="bottom"/>
          </w:tcPr>
          <w:p>
            <w:pPr>
              <w:spacing w:after="0"/>
              <w:rPr>
                <w:sz w:val="1"/>
                <w:szCs w:val="1"/>
                <w:color w:val="auto"/>
              </w:rPr>
            </w:pPr>
          </w:p>
        </w:tc>
      </w:tr>
      <w:tr>
        <w:trPr>
          <w:trHeight w:val="144"/>
        </w:trPr>
        <w:tc>
          <w:tcPr>
            <w:tcW w:w="2420" w:type="dxa"/>
            <w:vAlign w:val="bottom"/>
            <w:shd w:val="clear" w:color="auto" w:fill="CCEEFF"/>
          </w:tcPr>
          <w:p>
            <w:pPr>
              <w:spacing w:after="0"/>
              <w:rPr>
                <w:sz w:val="20"/>
                <w:szCs w:val="20"/>
                <w:color w:val="auto"/>
              </w:rPr>
            </w:pPr>
            <w:r>
              <w:rPr>
                <w:rFonts w:ascii="Arial" w:cs="Arial" w:eastAsia="Arial" w:hAnsi="Arial"/>
                <w:sz w:val="12"/>
                <w:szCs w:val="12"/>
                <w:color w:val="auto"/>
              </w:rPr>
              <w:t>Cost of revenues</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123,025</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76,318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ind w:right="104"/>
              <w:spacing w:after="0"/>
              <w:rPr>
                <w:sz w:val="20"/>
                <w:szCs w:val="20"/>
                <w:color w:val="auto"/>
              </w:rPr>
            </w:pPr>
            <w:r>
              <w:rPr>
                <w:rFonts w:ascii="Arial" w:cs="Arial" w:eastAsia="Arial" w:hAnsi="Arial"/>
                <w:sz w:val="12"/>
                <w:szCs w:val="12"/>
                <w:color w:val="auto"/>
              </w:rPr>
              <w:t>46,707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61.2 %  $</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231,401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190,146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41,255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21.7 %</w:t>
            </w:r>
          </w:p>
        </w:tc>
        <w:tc>
          <w:tcPr>
            <w:tcW w:w="0" w:type="dxa"/>
            <w:vAlign w:val="bottom"/>
          </w:tcPr>
          <w:p>
            <w:pPr>
              <w:spacing w:after="0"/>
              <w:rPr>
                <w:sz w:val="1"/>
                <w:szCs w:val="1"/>
                <w:color w:val="auto"/>
              </w:rPr>
            </w:pPr>
          </w:p>
        </w:tc>
      </w:tr>
      <w:tr>
        <w:trPr>
          <w:trHeight w:val="153"/>
        </w:trPr>
        <w:tc>
          <w:tcPr>
            <w:tcW w:w="2420" w:type="dxa"/>
            <w:vAlign w:val="bottom"/>
          </w:tcPr>
          <w:p>
            <w:pPr>
              <w:spacing w:after="0"/>
              <w:rPr>
                <w:sz w:val="20"/>
                <w:szCs w:val="20"/>
                <w:color w:val="auto"/>
              </w:rPr>
            </w:pPr>
            <w:r>
              <w:rPr>
                <w:rFonts w:ascii="Arial" w:cs="Arial" w:eastAsia="Arial" w:hAnsi="Arial"/>
                <w:sz w:val="12"/>
                <w:szCs w:val="12"/>
                <w:color w:val="auto"/>
              </w:rPr>
              <w:t>As a % of Direct revenues</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60.8 %</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78.4 %</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(17.6)%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65.0 %</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75.9 %</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w w:val="90"/>
              </w:rPr>
              <w:t>(10.9)%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Safety-Kleen Sustainability Solutions cost of revenues for the three months ended June 30, 2021 increased $46.7 million from the comparable period in 2020 due to the increase in direct revenues. Cost of revenue as a percentage of direct revenues improved by 17.6% due to production volume efficiencies generated by our re-refineries, some of which were temporarily closed in the prior year due to impacts from COVID-19, lower relative spend on oil additives due to the overall oil product mix and the continuation of the cost management initiatives implemented in the latter half of 2020. In total, costs of oil additives and other raw materials increased $25.4 million, transportation, vehicle and fuel costs increased $11.2 million and labor and benefits related costs increased $7.7 million.</w:t>
      </w:r>
    </w:p>
    <w:p>
      <w:pPr>
        <w:spacing w:after="0" w:line="79"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Safety-Kleen Sustainability Solutions cost of revenues for the six months ended June 30, 2021 increased $41.3 million from the comparable period in 2020 due to the increase in direct revenues. Cost of revenue as a percentage of direct revenues improved by 10.9% for reasons consistent with those noted in the preceding paragraph. In total, costs of oil additives and other raw materials increased $23.9 million, transportation, vehicle and fuel costs increased $12.1 million and labor and benefits related costs increased $5.3 million.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Selling, General and Administrative Expenses</w:t>
      </w:r>
    </w:p>
    <w:p>
      <w:pPr>
        <w:spacing w:after="0" w:line="105" w:lineRule="exact"/>
        <w:rPr>
          <w:sz w:val="20"/>
          <w:szCs w:val="20"/>
          <w:color w:val="auto"/>
        </w:rPr>
      </w:pPr>
    </w:p>
    <w:p>
      <w:pPr>
        <w:ind w:right="280" w:firstLine="432"/>
        <w:spacing w:after="0" w:line="276" w:lineRule="auto"/>
        <w:rPr>
          <w:sz w:val="20"/>
          <w:szCs w:val="20"/>
          <w:color w:val="auto"/>
        </w:rPr>
      </w:pPr>
      <w:r>
        <w:rPr>
          <w:rFonts w:ascii="Arial" w:cs="Arial" w:eastAsia="Arial" w:hAnsi="Arial"/>
          <w:sz w:val="12"/>
          <w:szCs w:val="12"/>
          <w:color w:val="auto"/>
        </w:rPr>
        <w:t>We strive to manage our selling, general and administrative ("SG&amp;A") expenses commensurate with the overall performance of our segments and corresponding revenue levels. We believe that our ability to properly align these costs with business performance is reflective of our strong management of the businesses and further promotes our ability to remain competitive in the marketplace.</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Environmental Services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00" w:type="dxa"/>
            <w:vAlign w:val="bottom"/>
            <w:gridSpan w:val="6"/>
          </w:tcPr>
          <w:p>
            <w:pPr>
              <w:ind w:left="80"/>
              <w:spacing w:after="0"/>
              <w:rPr>
                <w:sz w:val="20"/>
                <w:szCs w:val="20"/>
                <w:color w:val="auto"/>
              </w:rPr>
            </w:pPr>
            <w:r>
              <w:rPr>
                <w:rFonts w:ascii="Arial" w:cs="Arial" w:eastAsia="Arial" w:hAnsi="Arial"/>
                <w:sz w:val="11"/>
                <w:szCs w:val="11"/>
                <w:b w:val="1"/>
                <w:bCs w:val="1"/>
                <w:color w:val="auto"/>
              </w:rPr>
              <w:t>For the Three Months Ended</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00" w:type="dxa"/>
            <w:vAlign w:val="bottom"/>
            <w:gridSpan w:val="6"/>
          </w:tcPr>
          <w:p>
            <w:pPr>
              <w:ind w:left="120"/>
              <w:spacing w:after="0"/>
              <w:rPr>
                <w:sz w:val="20"/>
                <w:szCs w:val="20"/>
                <w:color w:val="auto"/>
              </w:rPr>
            </w:pPr>
            <w:r>
              <w:rPr>
                <w:rFonts w:ascii="Arial" w:cs="Arial" w:eastAsia="Arial" w:hAnsi="Arial"/>
                <w:sz w:val="11"/>
                <w:szCs w:val="11"/>
                <w:b w:val="1"/>
                <w:bCs w:val="1"/>
                <w:color w:val="auto"/>
              </w:rPr>
              <w:t>For the Six Months Ended</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4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1"/>
                <w:szCs w:val="11"/>
                <w:b w:val="1"/>
                <w:bCs w:val="1"/>
                <w:color w:val="auto"/>
                <w:w w:val="86"/>
              </w:rPr>
              <w:t>June 30,</w:t>
            </w: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ind w:left="460"/>
              <w:spacing w:after="0"/>
              <w:rPr>
                <w:sz w:val="20"/>
                <w:szCs w:val="20"/>
                <w:color w:val="auto"/>
              </w:rPr>
            </w:pPr>
            <w:r>
              <w:rPr>
                <w:rFonts w:ascii="Arial" w:cs="Arial" w:eastAsia="Arial" w:hAnsi="Arial"/>
                <w:sz w:val="11"/>
                <w:szCs w:val="11"/>
                <w:b w:val="1"/>
                <w:bCs w:val="1"/>
                <w:color w:val="auto"/>
                <w:w w:val="84"/>
              </w:rPr>
              <w:t>2021 over 2020</w:t>
            </w:r>
          </w:p>
        </w:tc>
        <w:tc>
          <w:tcPr>
            <w:tcW w:w="6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1"/>
                <w:szCs w:val="11"/>
                <w:b w:val="1"/>
                <w:bCs w:val="1"/>
                <w:color w:val="auto"/>
              </w:rPr>
              <w:t>June 30,</w:t>
            </w:r>
          </w:p>
        </w:tc>
        <w:tc>
          <w:tcPr>
            <w:tcW w:w="8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ind w:left="460"/>
              <w:spacing w:after="0"/>
              <w:rPr>
                <w:sz w:val="20"/>
                <w:szCs w:val="20"/>
                <w:color w:val="auto"/>
              </w:rPr>
            </w:pPr>
            <w:r>
              <w:rPr>
                <w:rFonts w:ascii="Arial" w:cs="Arial" w:eastAsia="Arial" w:hAnsi="Arial"/>
                <w:sz w:val="11"/>
                <w:szCs w:val="11"/>
                <w:b w:val="1"/>
                <w:bCs w:val="1"/>
                <w:color w:val="auto"/>
                <w:w w:val="89"/>
              </w:rPr>
              <w:t>2021 over 2020</w:t>
            </w: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440" w:type="dxa"/>
            <w:vAlign w:val="bottom"/>
            <w:vMerge w:val="restart"/>
          </w:tcPr>
          <w:p>
            <w:pPr>
              <w:spacing w:after="0"/>
              <w:rPr>
                <w:sz w:val="20"/>
                <w:szCs w:val="20"/>
                <w:color w:val="auto"/>
              </w:rPr>
            </w:pPr>
            <w:r>
              <w:rPr>
                <w:rFonts w:ascii="Arial" w:cs="Arial" w:eastAsia="Arial" w:hAnsi="Arial"/>
                <w:sz w:val="11"/>
                <w:szCs w:val="11"/>
                <w:color w:val="auto"/>
              </w:rPr>
              <w:t>(in thousands, except percentages)</w:t>
            </w:r>
          </w:p>
        </w:tc>
        <w:tc>
          <w:tcPr>
            <w:tcW w:w="240" w:type="dxa"/>
            <w:vAlign w:val="bottom"/>
          </w:tcPr>
          <w:p>
            <w:pPr>
              <w:spacing w:after="0"/>
              <w:rPr>
                <w:sz w:val="8"/>
                <w:szCs w:val="8"/>
                <w:color w:val="auto"/>
              </w:rPr>
            </w:pPr>
          </w:p>
        </w:tc>
        <w:tc>
          <w:tcPr>
            <w:tcW w:w="700" w:type="dxa"/>
            <w:vAlign w:val="bottom"/>
            <w:vMerge w:val="restart"/>
          </w:tcPr>
          <w:p>
            <w:pPr>
              <w:jc w:val="right"/>
              <w:ind w:right="242"/>
              <w:spacing w:after="0"/>
              <w:rPr>
                <w:sz w:val="20"/>
                <w:szCs w:val="20"/>
                <w:color w:val="auto"/>
              </w:rPr>
            </w:pPr>
            <w:r>
              <w:rPr>
                <w:rFonts w:ascii="Arial" w:cs="Arial" w:eastAsia="Arial" w:hAnsi="Arial"/>
                <w:sz w:val="11"/>
                <w:szCs w:val="11"/>
                <w:b w:val="1"/>
                <w:bCs w:val="1"/>
                <w:color w:val="auto"/>
              </w:rPr>
              <w:t>2021</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vMerge w:val="restart"/>
          </w:tcPr>
          <w:p>
            <w:pPr>
              <w:jc w:val="right"/>
              <w:ind w:right="403"/>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right"/>
              <w:ind w:right="404"/>
              <w:spacing w:after="0" w:line="99"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jc w:val="right"/>
              <w:ind w:right="344"/>
              <w:spacing w:after="0" w:line="99"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vMerge w:val="restart"/>
          </w:tcPr>
          <w:p>
            <w:pPr>
              <w:jc w:val="right"/>
              <w:ind w:right="403"/>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vMerge w:val="restart"/>
          </w:tcPr>
          <w:p>
            <w:pPr>
              <w:jc w:val="right"/>
              <w:ind w:right="383"/>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jc w:val="right"/>
              <w:ind w:right="444"/>
              <w:spacing w:after="0" w:line="99"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jc w:val="right"/>
              <w:ind w:right="344"/>
              <w:spacing w:after="0" w:line="99"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2"/>
        </w:trPr>
        <w:tc>
          <w:tcPr>
            <w:tcW w:w="244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24"/>
              <w:spacing w:after="0"/>
              <w:rPr>
                <w:sz w:val="20"/>
                <w:szCs w:val="20"/>
                <w:color w:val="auto"/>
              </w:rPr>
            </w:pPr>
            <w:r>
              <w:rPr>
                <w:rFonts w:ascii="Arial" w:cs="Arial" w:eastAsia="Arial" w:hAnsi="Arial"/>
                <w:sz w:val="11"/>
                <w:szCs w:val="11"/>
                <w:b w:val="1"/>
                <w:bCs w:val="1"/>
                <w:color w:val="auto"/>
                <w:w w:val="84"/>
              </w:rPr>
              <w:t>Change</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184"/>
              <w:spacing w:after="0"/>
              <w:rPr>
                <w:sz w:val="20"/>
                <w:szCs w:val="20"/>
                <w:color w:val="auto"/>
              </w:rPr>
            </w:pPr>
            <w:r>
              <w:rPr>
                <w:rFonts w:ascii="Arial" w:cs="Arial" w:eastAsia="Arial" w:hAnsi="Arial"/>
                <w:sz w:val="11"/>
                <w:szCs w:val="11"/>
                <w:b w:val="1"/>
                <w:bCs w:val="1"/>
                <w:color w:val="auto"/>
                <w:w w:val="89"/>
              </w:rPr>
              <w:t>Change</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44"/>
              <w:spacing w:after="0"/>
              <w:rPr>
                <w:sz w:val="20"/>
                <w:szCs w:val="20"/>
                <w:color w:val="auto"/>
              </w:rPr>
            </w:pPr>
            <w:r>
              <w:rPr>
                <w:rFonts w:ascii="Arial" w:cs="Arial" w:eastAsia="Arial" w:hAnsi="Arial"/>
                <w:sz w:val="11"/>
                <w:szCs w:val="11"/>
                <w:b w:val="1"/>
                <w:bCs w:val="1"/>
                <w:color w:val="auto"/>
                <w:w w:val="89"/>
              </w:rPr>
              <w:t>Change</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204"/>
              <w:spacing w:after="0"/>
              <w:rPr>
                <w:sz w:val="20"/>
                <w:szCs w:val="20"/>
                <w:color w:val="auto"/>
              </w:rPr>
            </w:pPr>
            <w:r>
              <w:rPr>
                <w:rFonts w:ascii="Arial" w:cs="Arial" w:eastAsia="Arial" w:hAnsi="Arial"/>
                <w:sz w:val="11"/>
                <w:szCs w:val="11"/>
                <w:b w:val="1"/>
                <w:bCs w:val="1"/>
                <w:color w:val="auto"/>
                <w:w w:val="84"/>
              </w:rPr>
              <w:t>Change</w:t>
            </w:r>
          </w:p>
        </w:tc>
        <w:tc>
          <w:tcPr>
            <w:tcW w:w="0" w:type="dxa"/>
            <w:vAlign w:val="bottom"/>
          </w:tcPr>
          <w:p>
            <w:pPr>
              <w:spacing w:after="0"/>
              <w:rPr>
                <w:sz w:val="1"/>
                <w:szCs w:val="1"/>
                <w:color w:val="auto"/>
              </w:rPr>
            </w:pPr>
          </w:p>
        </w:tc>
      </w:tr>
      <w:tr>
        <w:trPr>
          <w:trHeight w:val="144"/>
        </w:trPr>
        <w:tc>
          <w:tcPr>
            <w:tcW w:w="2440" w:type="dxa"/>
            <w:vAlign w:val="bottom"/>
            <w:shd w:val="clear" w:color="auto" w:fill="CCEEFF"/>
          </w:tcPr>
          <w:p>
            <w:pPr>
              <w:spacing w:after="0"/>
              <w:rPr>
                <w:sz w:val="20"/>
                <w:szCs w:val="20"/>
                <w:color w:val="auto"/>
              </w:rPr>
            </w:pPr>
            <w:r>
              <w:rPr>
                <w:rFonts w:ascii="Arial" w:cs="Arial" w:eastAsia="Arial" w:hAnsi="Arial"/>
                <w:sz w:val="12"/>
                <w:szCs w:val="12"/>
                <w:color w:val="auto"/>
              </w:rPr>
              <w:t>SG&amp;A expenses</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60,799</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51,240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9,559</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18.7 %  $</w:t>
            </w: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123,892</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119,453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104"/>
              <w:spacing w:after="0"/>
              <w:rPr>
                <w:sz w:val="20"/>
                <w:szCs w:val="20"/>
                <w:color w:val="auto"/>
              </w:rPr>
            </w:pPr>
            <w:r>
              <w:rPr>
                <w:rFonts w:ascii="Arial" w:cs="Arial" w:eastAsia="Arial" w:hAnsi="Arial"/>
                <w:sz w:val="12"/>
                <w:szCs w:val="12"/>
                <w:color w:val="auto"/>
              </w:rPr>
              <w:t>4,439</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3.7 %</w:t>
            </w:r>
          </w:p>
        </w:tc>
        <w:tc>
          <w:tcPr>
            <w:tcW w:w="0" w:type="dxa"/>
            <w:vAlign w:val="bottom"/>
          </w:tcPr>
          <w:p>
            <w:pPr>
              <w:spacing w:after="0"/>
              <w:rPr>
                <w:sz w:val="1"/>
                <w:szCs w:val="1"/>
                <w:color w:val="auto"/>
              </w:rPr>
            </w:pPr>
          </w:p>
        </w:tc>
      </w:tr>
      <w:tr>
        <w:trPr>
          <w:trHeight w:val="153"/>
        </w:trPr>
        <w:tc>
          <w:tcPr>
            <w:tcW w:w="2440" w:type="dxa"/>
            <w:vAlign w:val="bottom"/>
          </w:tcPr>
          <w:p>
            <w:pPr>
              <w:spacing w:after="0"/>
              <w:rPr>
                <w:sz w:val="20"/>
                <w:szCs w:val="20"/>
                <w:color w:val="auto"/>
              </w:rPr>
            </w:pPr>
            <w:r>
              <w:rPr>
                <w:rFonts w:ascii="Arial" w:cs="Arial" w:eastAsia="Arial" w:hAnsi="Arial"/>
                <w:sz w:val="12"/>
                <w:szCs w:val="12"/>
                <w:color w:val="auto"/>
              </w:rPr>
              <w:t>As a % of Direct revenues</w:t>
            </w:r>
          </w:p>
        </w:tc>
        <w:tc>
          <w:tcPr>
            <w:tcW w:w="24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8.4 %</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8.4 %</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3"/>
          </w:tcPr>
          <w:p>
            <w:pPr>
              <w:ind w:left="540"/>
              <w:spacing w:after="0"/>
              <w:rPr>
                <w:sz w:val="20"/>
                <w:szCs w:val="20"/>
                <w:color w:val="auto"/>
              </w:rPr>
            </w:pPr>
            <w:r>
              <w:rPr>
                <w:rFonts w:ascii="Arial" w:cs="Arial" w:eastAsia="Arial" w:hAnsi="Arial"/>
                <w:sz w:val="12"/>
                <w:szCs w:val="12"/>
                <w:color w:val="auto"/>
              </w:rPr>
              <w:t>— %</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9.0 %</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9.1 %</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120" w:firstLine="432"/>
        <w:spacing w:after="0" w:line="298" w:lineRule="auto"/>
        <w:rPr>
          <w:sz w:val="20"/>
          <w:szCs w:val="20"/>
          <w:color w:val="auto"/>
        </w:rPr>
      </w:pPr>
      <w:r>
        <w:rPr>
          <w:rFonts w:ascii="Arial" w:cs="Arial" w:eastAsia="Arial" w:hAnsi="Arial"/>
          <w:sz w:val="11"/>
          <w:szCs w:val="11"/>
          <w:color w:val="auto"/>
        </w:rPr>
        <w:t>Environmental Services SG&amp;A expenses for the three and six months ended June 30, 2021 increased $9.6 million and $4.4 million from the comparable periods in 2020 while remaining consistent as a percentage of direct revenues. For the three and six months ended June 30, 2020, reduced benefits recognized under the Government Programs of $5.7 million and $5.0 million drove the increases in SG&amp;A expenses, as compared to the relevant period in the prior year. Absent these benefits recognized under Government Programs, Environmental Services SG&amp;A expenses as a percentage of revenue remained relatively consistent with the prior year.</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0" w:name="page31"/>
    <w:bookmarkEnd w:id="3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Safety-Kleen Sustainability Solutions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80" w:type="dxa"/>
            <w:vAlign w:val="bottom"/>
            <w:gridSpan w:val="6"/>
          </w:tcPr>
          <w:p>
            <w:pPr>
              <w:ind w:left="80"/>
              <w:spacing w:after="0"/>
              <w:rPr>
                <w:sz w:val="20"/>
                <w:szCs w:val="20"/>
                <w:color w:val="auto"/>
              </w:rPr>
            </w:pPr>
            <w:r>
              <w:rPr>
                <w:rFonts w:ascii="Arial" w:cs="Arial" w:eastAsia="Arial" w:hAnsi="Arial"/>
                <w:sz w:val="11"/>
                <w:szCs w:val="11"/>
                <w:b w:val="1"/>
                <w:bCs w:val="1"/>
                <w:color w:val="auto"/>
              </w:rPr>
              <w:t>For the Three Months Ended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4"/>
          </w:tcPr>
          <w:p>
            <w:pPr>
              <w:ind w:left="440"/>
              <w:spacing w:after="0"/>
              <w:rPr>
                <w:sz w:val="20"/>
                <w:szCs w:val="20"/>
                <w:color w:val="auto"/>
              </w:rPr>
            </w:pPr>
            <w:r>
              <w:rPr>
                <w:rFonts w:ascii="Arial" w:cs="Arial" w:eastAsia="Arial" w:hAnsi="Arial"/>
                <w:sz w:val="11"/>
                <w:szCs w:val="11"/>
                <w:b w:val="1"/>
                <w:bCs w:val="1"/>
                <w:color w:val="auto"/>
                <w:w w:val="95"/>
              </w:rPr>
              <w:t>For the Six Months Ended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4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1"/>
                <w:szCs w:val="11"/>
                <w:b w:val="1"/>
                <w:bCs w:val="1"/>
                <w:color w:val="auto"/>
                <w:w w:val="86"/>
              </w:rPr>
              <w:t>June 30,</w:t>
            </w:r>
          </w:p>
        </w:tc>
        <w:tc>
          <w:tcPr>
            <w:tcW w:w="8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ind w:left="480"/>
              <w:spacing w:after="0"/>
              <w:rPr>
                <w:sz w:val="20"/>
                <w:szCs w:val="20"/>
                <w:color w:val="auto"/>
              </w:rPr>
            </w:pPr>
            <w:r>
              <w:rPr>
                <w:rFonts w:ascii="Arial" w:cs="Arial" w:eastAsia="Arial" w:hAnsi="Arial"/>
                <w:sz w:val="11"/>
                <w:szCs w:val="11"/>
                <w:b w:val="1"/>
                <w:bCs w:val="1"/>
                <w:color w:val="auto"/>
                <w:w w:val="86"/>
              </w:rPr>
              <w:t>2021 over 2020</w:t>
            </w: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ind w:right="444"/>
              <w:spacing w:after="0"/>
              <w:rPr>
                <w:sz w:val="20"/>
                <w:szCs w:val="20"/>
                <w:color w:val="auto"/>
              </w:rPr>
            </w:pPr>
            <w:r>
              <w:rPr>
                <w:rFonts w:ascii="Arial" w:cs="Arial" w:eastAsia="Arial" w:hAnsi="Arial"/>
                <w:sz w:val="11"/>
                <w:szCs w:val="11"/>
                <w:b w:val="1"/>
                <w:bCs w:val="1"/>
                <w:color w:val="auto"/>
              </w:rPr>
              <w:t>June 30,</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ind w:left="120"/>
              <w:spacing w:after="0"/>
              <w:rPr>
                <w:sz w:val="20"/>
                <w:szCs w:val="20"/>
                <w:color w:val="auto"/>
              </w:rPr>
            </w:pPr>
            <w:r>
              <w:rPr>
                <w:rFonts w:ascii="Arial" w:cs="Arial" w:eastAsia="Arial" w:hAnsi="Arial"/>
                <w:sz w:val="11"/>
                <w:szCs w:val="11"/>
                <w:b w:val="1"/>
                <w:bCs w:val="1"/>
                <w:color w:val="auto"/>
                <w:w w:val="86"/>
              </w:rPr>
              <w:t>2021 over 2020</w:t>
            </w:r>
          </w:p>
        </w:tc>
        <w:tc>
          <w:tcPr>
            <w:tcW w:w="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440" w:type="dxa"/>
            <w:vAlign w:val="bottom"/>
            <w:vMerge w:val="restart"/>
          </w:tcPr>
          <w:p>
            <w:pPr>
              <w:spacing w:after="0"/>
              <w:rPr>
                <w:sz w:val="20"/>
                <w:szCs w:val="20"/>
                <w:color w:val="auto"/>
              </w:rPr>
            </w:pPr>
            <w:r>
              <w:rPr>
                <w:rFonts w:ascii="Arial" w:cs="Arial" w:eastAsia="Arial" w:hAnsi="Arial"/>
                <w:sz w:val="11"/>
                <w:szCs w:val="11"/>
                <w:color w:val="auto"/>
              </w:rPr>
              <w:t>(in thousands, except percentages)</w:t>
            </w:r>
          </w:p>
        </w:tc>
        <w:tc>
          <w:tcPr>
            <w:tcW w:w="240" w:type="dxa"/>
            <w:vAlign w:val="bottom"/>
          </w:tcPr>
          <w:p>
            <w:pPr>
              <w:spacing w:after="0"/>
              <w:rPr>
                <w:sz w:val="8"/>
                <w:szCs w:val="8"/>
                <w:color w:val="auto"/>
              </w:rPr>
            </w:pPr>
          </w:p>
        </w:tc>
        <w:tc>
          <w:tcPr>
            <w:tcW w:w="660" w:type="dxa"/>
            <w:vAlign w:val="bottom"/>
            <w:vMerge w:val="restart"/>
          </w:tcPr>
          <w:p>
            <w:pPr>
              <w:jc w:val="right"/>
              <w:ind w:right="202"/>
              <w:spacing w:after="0"/>
              <w:rPr>
                <w:sz w:val="20"/>
                <w:szCs w:val="20"/>
                <w:color w:val="auto"/>
              </w:rPr>
            </w:pPr>
            <w:r>
              <w:rPr>
                <w:rFonts w:ascii="Arial" w:cs="Arial" w:eastAsia="Arial" w:hAnsi="Arial"/>
                <w:sz w:val="11"/>
                <w:szCs w:val="11"/>
                <w:b w:val="1"/>
                <w:bCs w:val="1"/>
                <w:color w:val="auto"/>
              </w:rPr>
              <w:t>2021</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vMerge w:val="restart"/>
          </w:tcPr>
          <w:p>
            <w:pPr>
              <w:jc w:val="right"/>
              <w:ind w:right="383"/>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jc w:val="right"/>
              <w:ind w:right="424"/>
              <w:spacing w:after="0" w:line="99"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jc w:val="right"/>
              <w:ind w:right="364"/>
              <w:spacing w:after="0" w:line="99"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2021</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restart"/>
          </w:tcPr>
          <w:p>
            <w:pPr>
              <w:ind w:left="440"/>
              <w:spacing w:after="0"/>
              <w:rPr>
                <w:sz w:val="20"/>
                <w:szCs w:val="20"/>
                <w:color w:val="auto"/>
              </w:rPr>
            </w:pPr>
            <w:r>
              <w:rPr>
                <w:rFonts w:ascii="Arial" w:cs="Arial" w:eastAsia="Arial" w:hAnsi="Arial"/>
                <w:sz w:val="11"/>
                <w:szCs w:val="11"/>
                <w:b w:val="1"/>
                <w:bCs w:val="1"/>
                <w:color w:val="auto"/>
                <w:w w:val="81"/>
              </w:rPr>
              <w:t>2020</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jc w:val="right"/>
              <w:spacing w:after="0" w:line="99" w:lineRule="exact"/>
              <w:rPr>
                <w:sz w:val="20"/>
                <w:szCs w:val="20"/>
                <w:color w:val="auto"/>
              </w:rPr>
            </w:pPr>
            <w:r>
              <w:rPr>
                <w:rFonts w:ascii="Arial" w:cs="Arial" w:eastAsia="Arial" w:hAnsi="Arial"/>
                <w:sz w:val="11"/>
                <w:szCs w:val="11"/>
                <w:b w:val="1"/>
                <w:bCs w:val="1"/>
                <w:color w:val="auto"/>
              </w:rPr>
              <w:t>$</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jc w:val="right"/>
              <w:ind w:right="384"/>
              <w:spacing w:after="0" w:line="99"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2"/>
        </w:trPr>
        <w:tc>
          <w:tcPr>
            <w:tcW w:w="244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44"/>
              <w:spacing w:after="0"/>
              <w:rPr>
                <w:sz w:val="20"/>
                <w:szCs w:val="20"/>
                <w:color w:val="auto"/>
              </w:rPr>
            </w:pPr>
            <w:r>
              <w:rPr>
                <w:rFonts w:ascii="Arial" w:cs="Arial" w:eastAsia="Arial" w:hAnsi="Arial"/>
                <w:sz w:val="11"/>
                <w:szCs w:val="11"/>
                <w:b w:val="1"/>
                <w:bCs w:val="1"/>
                <w:color w:val="auto"/>
                <w:w w:val="89"/>
              </w:rPr>
              <w:t>Change</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224"/>
              <w:spacing w:after="0"/>
              <w:rPr>
                <w:sz w:val="20"/>
                <w:szCs w:val="20"/>
                <w:color w:val="auto"/>
              </w:rPr>
            </w:pPr>
            <w:r>
              <w:rPr>
                <w:rFonts w:ascii="Arial" w:cs="Arial" w:eastAsia="Arial" w:hAnsi="Arial"/>
                <w:sz w:val="11"/>
                <w:szCs w:val="11"/>
                <w:b w:val="1"/>
                <w:bCs w:val="1"/>
                <w:color w:val="auto"/>
                <w:w w:val="89"/>
              </w:rPr>
              <w:t>Change</w:t>
            </w: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9"/>
              </w:rPr>
              <w:t>Change</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224"/>
              <w:spacing w:after="0"/>
              <w:rPr>
                <w:sz w:val="20"/>
                <w:szCs w:val="20"/>
                <w:color w:val="auto"/>
              </w:rPr>
            </w:pPr>
            <w:r>
              <w:rPr>
                <w:rFonts w:ascii="Arial" w:cs="Arial" w:eastAsia="Arial" w:hAnsi="Arial"/>
                <w:sz w:val="11"/>
                <w:szCs w:val="11"/>
                <w:b w:val="1"/>
                <w:bCs w:val="1"/>
                <w:color w:val="auto"/>
                <w:w w:val="89"/>
              </w:rPr>
              <w:t>Change</w:t>
            </w:r>
          </w:p>
        </w:tc>
        <w:tc>
          <w:tcPr>
            <w:tcW w:w="0" w:type="dxa"/>
            <w:vAlign w:val="bottom"/>
          </w:tcPr>
          <w:p>
            <w:pPr>
              <w:spacing w:after="0"/>
              <w:rPr>
                <w:sz w:val="1"/>
                <w:szCs w:val="1"/>
                <w:color w:val="auto"/>
              </w:rPr>
            </w:pPr>
          </w:p>
        </w:tc>
      </w:tr>
      <w:tr>
        <w:trPr>
          <w:trHeight w:val="144"/>
        </w:trPr>
        <w:tc>
          <w:tcPr>
            <w:tcW w:w="2440" w:type="dxa"/>
            <w:vAlign w:val="bottom"/>
            <w:shd w:val="clear" w:color="auto" w:fill="CCEEFF"/>
          </w:tcPr>
          <w:p>
            <w:pPr>
              <w:spacing w:after="0"/>
              <w:rPr>
                <w:sz w:val="20"/>
                <w:szCs w:val="20"/>
                <w:color w:val="auto"/>
              </w:rPr>
            </w:pPr>
            <w:r>
              <w:rPr>
                <w:rFonts w:ascii="Arial" w:cs="Arial" w:eastAsia="Arial" w:hAnsi="Arial"/>
                <w:sz w:val="12"/>
                <w:szCs w:val="12"/>
                <w:color w:val="auto"/>
              </w:rPr>
              <w:t>SG&amp;A expenses</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15,943</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12,601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104"/>
              <w:spacing w:after="0"/>
              <w:rPr>
                <w:sz w:val="20"/>
                <w:szCs w:val="20"/>
                <w:color w:val="auto"/>
              </w:rPr>
            </w:pPr>
            <w:r>
              <w:rPr>
                <w:rFonts w:ascii="Arial" w:cs="Arial" w:eastAsia="Arial" w:hAnsi="Arial"/>
                <w:sz w:val="12"/>
                <w:szCs w:val="12"/>
                <w:color w:val="auto"/>
              </w:rPr>
              <w:t>3,342</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26.5 %</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23"/>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w w:val="87"/>
              </w:rPr>
              <w:t>29,402</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24"/>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7"/>
              </w:rPr>
              <w:t>27,850</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44"/>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w w:val="99"/>
              </w:rPr>
              <w:t>1,552</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5.6 %</w:t>
            </w:r>
          </w:p>
        </w:tc>
        <w:tc>
          <w:tcPr>
            <w:tcW w:w="0" w:type="dxa"/>
            <w:vAlign w:val="bottom"/>
          </w:tcPr>
          <w:p>
            <w:pPr>
              <w:spacing w:after="0"/>
              <w:rPr>
                <w:sz w:val="1"/>
                <w:szCs w:val="1"/>
                <w:color w:val="auto"/>
              </w:rPr>
            </w:pPr>
          </w:p>
        </w:tc>
      </w:tr>
      <w:tr>
        <w:trPr>
          <w:trHeight w:val="153"/>
        </w:trPr>
        <w:tc>
          <w:tcPr>
            <w:tcW w:w="2440" w:type="dxa"/>
            <w:vAlign w:val="bottom"/>
          </w:tcPr>
          <w:p>
            <w:pPr>
              <w:spacing w:after="0"/>
              <w:rPr>
                <w:sz w:val="20"/>
                <w:szCs w:val="20"/>
                <w:color w:val="auto"/>
              </w:rPr>
            </w:pPr>
            <w:r>
              <w:rPr>
                <w:rFonts w:ascii="Arial" w:cs="Arial" w:eastAsia="Arial" w:hAnsi="Arial"/>
                <w:sz w:val="12"/>
                <w:szCs w:val="12"/>
                <w:color w:val="auto"/>
              </w:rPr>
              <w:t>As a % of Direct revenues</w:t>
            </w:r>
          </w:p>
        </w:tc>
        <w:tc>
          <w:tcPr>
            <w:tcW w:w="24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7.9 %</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12.9 %</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8.3 %</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11.1 %</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2"/>
                <w:szCs w:val="12"/>
                <w:color w:val="auto"/>
                <w:w w:val="90"/>
              </w:rPr>
              <w:t>(2.8)%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200" w:firstLine="432"/>
        <w:spacing w:after="0" w:line="259" w:lineRule="auto"/>
        <w:rPr>
          <w:sz w:val="20"/>
          <w:szCs w:val="20"/>
          <w:color w:val="auto"/>
        </w:rPr>
      </w:pPr>
      <w:r>
        <w:rPr>
          <w:rFonts w:ascii="Arial" w:cs="Arial" w:eastAsia="Arial" w:hAnsi="Arial"/>
          <w:sz w:val="12"/>
          <w:szCs w:val="12"/>
          <w:color w:val="auto"/>
        </w:rPr>
        <w:t>Safety-Kleen Sustainability Solutions SG&amp;A expenses for the three and six months ended June 30, 2021 increased $3.3 million and $1.6 million from the comparable periods in 2020 primarily attributable to the increases in direct revenues. Safety-Kleen Sustainability Solutions SG&amp;A expenses as percentage of revenues improved 5.0% and 2.8%, respectively, due in part, to a $1.8 million change in an environmental liability estimate for a Superfund site recorded in the second quarter of 2020 which did not recur in 2021. Absent this nonrecurring item, SG&amp;A expenses as a percentage of revenues improved 3.2% and 2.1%, respectively, primarily due to the continuation of cost management initiatives implemented in the latter half of 2020.</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Corporate Items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4"/>
          </w:tcPr>
          <w:p>
            <w:pPr>
              <w:ind w:left="140"/>
              <w:spacing w:after="0"/>
              <w:rPr>
                <w:sz w:val="20"/>
                <w:szCs w:val="20"/>
                <w:color w:val="auto"/>
              </w:rPr>
            </w:pPr>
            <w:r>
              <w:rPr>
                <w:rFonts w:ascii="Arial" w:cs="Arial" w:eastAsia="Arial" w:hAnsi="Arial"/>
                <w:sz w:val="11"/>
                <w:szCs w:val="11"/>
                <w:b w:val="1"/>
                <w:bCs w:val="1"/>
                <w:color w:val="auto"/>
                <w:w w:val="89"/>
              </w:rPr>
              <w:t>For the Three Months Ended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3"/>
          </w:tcPr>
          <w:p>
            <w:pPr>
              <w:jc w:val="center"/>
              <w:ind w:left="144"/>
              <w:spacing w:after="0"/>
              <w:rPr>
                <w:sz w:val="20"/>
                <w:szCs w:val="20"/>
                <w:color w:val="auto"/>
              </w:rPr>
            </w:pPr>
            <w:r>
              <w:rPr>
                <w:rFonts w:ascii="Arial" w:cs="Arial" w:eastAsia="Arial" w:hAnsi="Arial"/>
                <w:sz w:val="11"/>
                <w:szCs w:val="11"/>
                <w:b w:val="1"/>
                <w:bCs w:val="1"/>
                <w:color w:val="auto"/>
                <w:w w:val="89"/>
              </w:rPr>
              <w:t>For the Six Months Ended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1"/>
                <w:szCs w:val="11"/>
                <w:b w:val="1"/>
                <w:bCs w:val="1"/>
                <w:color w:val="auto"/>
              </w:rPr>
              <w:t>June 30,</w:t>
            </w: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2021 over 2020</w:t>
            </w:r>
          </w:p>
        </w:tc>
        <w:tc>
          <w:tcPr>
            <w:tcW w:w="3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1"/>
                <w:szCs w:val="11"/>
                <w:b w:val="1"/>
                <w:bCs w:val="1"/>
                <w:color w:val="auto"/>
              </w:rPr>
              <w:t>June 30,</w:t>
            </w: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b w:val="1"/>
                <w:bCs w:val="1"/>
                <w:color w:val="auto"/>
                <w:w w:val="86"/>
              </w:rPr>
              <w:t>2021 over 2020</w:t>
            </w: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640" w:type="dxa"/>
            <w:vAlign w:val="bottom"/>
            <w:vMerge w:val="restart"/>
          </w:tcPr>
          <w:p>
            <w:pPr>
              <w:spacing w:after="0"/>
              <w:rPr>
                <w:sz w:val="20"/>
                <w:szCs w:val="20"/>
                <w:color w:val="auto"/>
              </w:rPr>
            </w:pPr>
            <w:r>
              <w:rPr>
                <w:rFonts w:ascii="Arial" w:cs="Arial" w:eastAsia="Arial" w:hAnsi="Arial"/>
                <w:sz w:val="11"/>
                <w:szCs w:val="11"/>
                <w:color w:val="auto"/>
              </w:rPr>
              <w:t>(in thousands, except percentages)</w:t>
            </w:r>
          </w:p>
        </w:tc>
        <w:tc>
          <w:tcPr>
            <w:tcW w:w="220" w:type="dxa"/>
            <w:vAlign w:val="bottom"/>
          </w:tcPr>
          <w:p>
            <w:pPr>
              <w:spacing w:after="0"/>
              <w:rPr>
                <w:sz w:val="8"/>
                <w:szCs w:val="8"/>
                <w:color w:val="auto"/>
              </w:rPr>
            </w:pPr>
          </w:p>
        </w:tc>
        <w:tc>
          <w:tcPr>
            <w:tcW w:w="740" w:type="dxa"/>
            <w:vAlign w:val="bottom"/>
            <w:vMerge w:val="restart"/>
          </w:tcPr>
          <w:p>
            <w:pPr>
              <w:jc w:val="right"/>
              <w:ind w:right="304"/>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vMerge w:val="restart"/>
          </w:tcPr>
          <w:p>
            <w:pPr>
              <w:jc w:val="right"/>
              <w:ind w:right="324"/>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jc w:val="right"/>
              <w:ind w:right="144"/>
              <w:spacing w:after="0" w:line="99" w:lineRule="exact"/>
              <w:rPr>
                <w:sz w:val="20"/>
                <w:szCs w:val="20"/>
                <w:color w:val="auto"/>
              </w:rPr>
            </w:pPr>
            <w:r>
              <w:rPr>
                <w:rFonts w:ascii="Arial" w:cs="Arial" w:eastAsia="Arial" w:hAnsi="Arial"/>
                <w:sz w:val="11"/>
                <w:szCs w:val="11"/>
                <w:b w:val="1"/>
                <w:bCs w:val="1"/>
                <w:color w:val="auto"/>
              </w:rPr>
              <w:t>$</w:t>
            </w:r>
          </w:p>
        </w:tc>
        <w:tc>
          <w:tcPr>
            <w:tcW w:w="1060" w:type="dxa"/>
            <w:vAlign w:val="bottom"/>
            <w:gridSpan w:val="3"/>
          </w:tcPr>
          <w:p>
            <w:pPr>
              <w:jc w:val="right"/>
              <w:ind w:right="86"/>
              <w:spacing w:after="0" w:line="99" w:lineRule="exact"/>
              <w:rPr>
                <w:sz w:val="20"/>
                <w:szCs w:val="20"/>
                <w:color w:val="auto"/>
              </w:rPr>
            </w:pPr>
            <w:r>
              <w:rPr>
                <w:rFonts w:ascii="Arial" w:cs="Arial" w:eastAsia="Arial" w:hAnsi="Arial"/>
                <w:sz w:val="11"/>
                <w:szCs w:val="11"/>
                <w:b w:val="1"/>
                <w:bCs w:val="1"/>
                <w:color w:val="auto"/>
              </w:rPr>
              <w:t>%</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vMerge w:val="restart"/>
          </w:tcPr>
          <w:p>
            <w:pPr>
              <w:jc w:val="right"/>
              <w:ind w:right="304"/>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vMerge w:val="restart"/>
          </w:tcPr>
          <w:p>
            <w:pPr>
              <w:jc w:val="right"/>
              <w:ind w:right="324"/>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8"/>
                <w:szCs w:val="8"/>
                <w:color w:val="auto"/>
              </w:rPr>
            </w:pPr>
          </w:p>
        </w:tc>
        <w:tc>
          <w:tcPr>
            <w:tcW w:w="660" w:type="dxa"/>
            <w:vAlign w:val="bottom"/>
          </w:tcPr>
          <w:p>
            <w:pPr>
              <w:jc w:val="right"/>
              <w:ind w:right="88"/>
              <w:spacing w:after="0" w:line="99" w:lineRule="exact"/>
              <w:rPr>
                <w:sz w:val="20"/>
                <w:szCs w:val="20"/>
                <w:color w:val="auto"/>
              </w:rPr>
            </w:pPr>
            <w:r>
              <w:rPr>
                <w:rFonts w:ascii="Arial" w:cs="Arial" w:eastAsia="Arial" w:hAnsi="Arial"/>
                <w:sz w:val="11"/>
                <w:szCs w:val="11"/>
                <w:b w:val="1"/>
                <w:bCs w:val="1"/>
                <w:color w:val="auto"/>
              </w:rPr>
              <w:t>$</w:t>
            </w: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jc w:val="right"/>
              <w:ind w:right="464"/>
              <w:spacing w:after="0" w:line="99"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2"/>
        </w:trPr>
        <w:tc>
          <w:tcPr>
            <w:tcW w:w="26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Change</w:t>
            </w: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center"/>
              <w:ind w:left="326"/>
              <w:spacing w:after="0"/>
              <w:rPr>
                <w:sz w:val="20"/>
                <w:szCs w:val="20"/>
                <w:color w:val="auto"/>
              </w:rPr>
            </w:pPr>
            <w:r>
              <w:rPr>
                <w:rFonts w:ascii="Arial" w:cs="Arial" w:eastAsia="Arial" w:hAnsi="Arial"/>
                <w:sz w:val="11"/>
                <w:szCs w:val="11"/>
                <w:b w:val="1"/>
                <w:bCs w:val="1"/>
                <w:color w:val="auto"/>
                <w:w w:val="89"/>
              </w:rPr>
              <w:t>Change</w:t>
            </w: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ind w:left="248"/>
              <w:spacing w:after="0"/>
              <w:rPr>
                <w:sz w:val="20"/>
                <w:szCs w:val="20"/>
                <w:color w:val="auto"/>
              </w:rPr>
            </w:pPr>
            <w:r>
              <w:rPr>
                <w:rFonts w:ascii="Arial" w:cs="Arial" w:eastAsia="Arial" w:hAnsi="Arial"/>
                <w:sz w:val="11"/>
                <w:szCs w:val="11"/>
                <w:b w:val="1"/>
                <w:bCs w:val="1"/>
                <w:color w:val="auto"/>
                <w:w w:val="89"/>
              </w:rPr>
              <w:t>Change</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324"/>
              <w:spacing w:after="0"/>
              <w:rPr>
                <w:sz w:val="20"/>
                <w:szCs w:val="20"/>
                <w:color w:val="auto"/>
              </w:rPr>
            </w:pPr>
            <w:r>
              <w:rPr>
                <w:rFonts w:ascii="Arial" w:cs="Arial" w:eastAsia="Arial" w:hAnsi="Arial"/>
                <w:sz w:val="11"/>
                <w:szCs w:val="11"/>
                <w:b w:val="1"/>
                <w:bCs w:val="1"/>
                <w:color w:val="auto"/>
                <w:w w:val="89"/>
              </w:rPr>
              <w:t>Change</w:t>
            </w:r>
          </w:p>
        </w:tc>
        <w:tc>
          <w:tcPr>
            <w:tcW w:w="0" w:type="dxa"/>
            <w:vAlign w:val="bottom"/>
          </w:tcPr>
          <w:p>
            <w:pPr>
              <w:spacing w:after="0"/>
              <w:rPr>
                <w:sz w:val="1"/>
                <w:szCs w:val="1"/>
                <w:color w:val="auto"/>
              </w:rPr>
            </w:pPr>
          </w:p>
        </w:tc>
      </w:tr>
      <w:tr>
        <w:trPr>
          <w:trHeight w:val="144"/>
        </w:trPr>
        <w:tc>
          <w:tcPr>
            <w:tcW w:w="2640" w:type="dxa"/>
            <w:vAlign w:val="bottom"/>
            <w:shd w:val="clear" w:color="auto" w:fill="CCEEFF"/>
          </w:tcPr>
          <w:p>
            <w:pPr>
              <w:spacing w:after="0"/>
              <w:rPr>
                <w:sz w:val="20"/>
                <w:szCs w:val="20"/>
                <w:color w:val="auto"/>
              </w:rPr>
            </w:pPr>
            <w:r>
              <w:rPr>
                <w:rFonts w:ascii="Arial" w:cs="Arial" w:eastAsia="Arial" w:hAnsi="Arial"/>
                <w:sz w:val="12"/>
                <w:szCs w:val="12"/>
                <w:color w:val="auto"/>
              </w:rPr>
              <w:t>SG&amp;A expenses</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47,364</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39,998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7,366</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18.4 %  $</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92,453</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85,843</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48"/>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6,610</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7.7 %</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80" w:firstLine="432"/>
        <w:spacing w:after="0" w:line="259" w:lineRule="auto"/>
        <w:rPr>
          <w:sz w:val="20"/>
          <w:szCs w:val="20"/>
          <w:color w:val="auto"/>
        </w:rPr>
      </w:pPr>
      <w:r>
        <w:rPr>
          <w:rFonts w:ascii="Arial" w:cs="Arial" w:eastAsia="Arial" w:hAnsi="Arial"/>
          <w:sz w:val="12"/>
          <w:szCs w:val="12"/>
          <w:color w:val="auto"/>
        </w:rPr>
        <w:t>Corporate Items SG&amp;A expenses for the three months ended June 30, 2021 increased $7.4 million from the comparable period in 2020. The most significant driver of this increase was $5.2 million of increased labor related costs due to increased variable compensation and $1.2 million of lower benefits recognized from the Government Programs in the three months ended June 30, 2021 when compared to the three months ended June 30, 2020. In addition, information technology costs increased by $2.4 million and fees for mergers and acquisitions, integration and strategic initiatives increased by $2.3 million. Partially offsetting these increases were decreases in bad debt expense of $2.7 million and lower severance costs of $3.0 million.</w:t>
      </w:r>
    </w:p>
    <w:p>
      <w:pPr>
        <w:spacing w:after="0" w:line="7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auto"/>
        </w:rPr>
        <w:t>Corporate Items SG&amp;A expenses for the six months ended June 30, 2021 increased $6.6 million from the comparable period in 2021. The most significant driver of this increase was $8.4 million of increased labor related costs both due to increased variable compensation and lower benefits recognized from the Government Programs in the six months ended June 30, 2021 when compared to the six months ended June 30, 2020. In addition, fees for mergers and acquisitions, integration and strategic initiatives increased by $3.0 million and information technology costs increased $1.8 million. Partially offsetting these increases were decreases in bad debt expense of $4.9 million and marketing expenses of $4.0 million.</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Adjusted EBITDA</w:t>
      </w:r>
    </w:p>
    <w:p>
      <w:pPr>
        <w:spacing w:after="0" w:line="105" w:lineRule="exact"/>
        <w:rPr>
          <w:sz w:val="20"/>
          <w:szCs w:val="20"/>
          <w:color w:val="auto"/>
        </w:rPr>
      </w:pPr>
    </w:p>
    <w:p>
      <w:pPr>
        <w:ind w:right="60" w:firstLine="432"/>
        <w:spacing w:after="0" w:line="263" w:lineRule="auto"/>
        <w:rPr>
          <w:sz w:val="20"/>
          <w:szCs w:val="20"/>
          <w:color w:val="auto"/>
        </w:rPr>
      </w:pPr>
      <w:r>
        <w:rPr>
          <w:rFonts w:ascii="Arial" w:cs="Arial" w:eastAsia="Arial" w:hAnsi="Arial"/>
          <w:sz w:val="12"/>
          <w:szCs w:val="12"/>
          <w:color w:val="auto"/>
        </w:rPr>
        <w:t>Management considers Adjusted EBITDA to be a measurement of performance which provides useful information to both management and investors. Adjusted EBITDA should not be considered an alternative to net income or other measurements under GAAP. Adjusted EBITDA is not calculated identically by all companies and therefore our measurements of Adjusted EBITDA, while defined consistently and in accordance with our historical credit agreement, may not be comparable to similarly titled measures reported by other companies.</w:t>
      </w:r>
    </w:p>
    <w:p>
      <w:pPr>
        <w:spacing w:after="0" w:line="77" w:lineRule="exact"/>
        <w:rPr>
          <w:sz w:val="20"/>
          <w:szCs w:val="20"/>
          <w:color w:val="auto"/>
        </w:rPr>
      </w:pPr>
    </w:p>
    <w:tbl>
      <w:tblPr>
        <w:tblLayout w:type="fixed"/>
        <w:tblInd w:w="420" w:type="dxa"/>
        <w:tblCellMar>
          <w:top w:w="0" w:type="dxa"/>
          <w:left w:w="0" w:type="dxa"/>
          <w:bottom w:w="0" w:type="dxa"/>
          <w:right w:w="0" w:type="dxa"/>
        </w:tblCellMar>
      </w:tblPr>
      <w:tr>
        <w:trPr>
          <w:trHeight w:val="140"/>
        </w:trPr>
        <w:tc>
          <w:tcPr>
            <w:tcW w:w="1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3"/>
          </w:tcPr>
          <w:p>
            <w:pPr>
              <w:jc w:val="right"/>
              <w:ind w:right="63"/>
              <w:spacing w:after="0"/>
              <w:rPr>
                <w:sz w:val="20"/>
                <w:szCs w:val="20"/>
                <w:color w:val="auto"/>
              </w:rPr>
            </w:pPr>
            <w:r>
              <w:rPr>
                <w:rFonts w:ascii="Arial" w:cs="Arial" w:eastAsia="Arial" w:hAnsi="Arial"/>
                <w:sz w:val="11"/>
                <w:szCs w:val="11"/>
                <w:b w:val="1"/>
                <w:bCs w:val="1"/>
                <w:color w:val="auto"/>
              </w:rPr>
              <w:t>For the Three Months Ended</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20" w:type="dxa"/>
            <w:vAlign w:val="bottom"/>
            <w:gridSpan w:val="3"/>
          </w:tcPr>
          <w:p>
            <w:pPr>
              <w:jc w:val="right"/>
              <w:ind w:right="62"/>
              <w:spacing w:after="0"/>
              <w:rPr>
                <w:sz w:val="20"/>
                <w:szCs w:val="20"/>
                <w:color w:val="auto"/>
              </w:rPr>
            </w:pPr>
            <w:r>
              <w:rPr>
                <w:rFonts w:ascii="Arial" w:cs="Arial" w:eastAsia="Arial" w:hAnsi="Arial"/>
                <w:sz w:val="11"/>
                <w:szCs w:val="11"/>
                <w:b w:val="1"/>
                <w:bCs w:val="1"/>
                <w:color w:val="auto"/>
              </w:rPr>
              <w:t>For the Six Months Ended</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w w:val="95"/>
              </w:rPr>
              <w:t>June 30,</w:t>
            </w:r>
          </w:p>
        </w:tc>
        <w:tc>
          <w:tcPr>
            <w:tcW w:w="7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3"/>
          </w:tcPr>
          <w:p>
            <w:pPr>
              <w:jc w:val="right"/>
              <w:ind w:right="466"/>
              <w:spacing w:after="0"/>
              <w:rPr>
                <w:sz w:val="20"/>
                <w:szCs w:val="20"/>
                <w:color w:val="auto"/>
              </w:rPr>
            </w:pPr>
            <w:r>
              <w:rPr>
                <w:rFonts w:ascii="Arial" w:cs="Arial" w:eastAsia="Arial" w:hAnsi="Arial"/>
                <w:sz w:val="11"/>
                <w:szCs w:val="11"/>
                <w:b w:val="1"/>
                <w:bCs w:val="1"/>
                <w:color w:val="auto"/>
              </w:rPr>
              <w:t>2021 over 2020</w:t>
            </w:r>
          </w:p>
        </w:tc>
        <w:tc>
          <w:tcPr>
            <w:tcW w:w="2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1"/>
                <w:szCs w:val="11"/>
                <w:b w:val="1"/>
                <w:bCs w:val="1"/>
                <w:color w:val="auto"/>
                <w:w w:val="90"/>
              </w:rPr>
              <w:t>June 30,</w:t>
            </w:r>
          </w:p>
        </w:tc>
        <w:tc>
          <w:tcPr>
            <w:tcW w:w="7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w:t>
            </w:r>
          </w:p>
        </w:tc>
        <w:tc>
          <w:tcPr>
            <w:tcW w:w="0" w:type="dxa"/>
            <w:vAlign w:val="bottom"/>
          </w:tcPr>
          <w:p>
            <w:pPr>
              <w:spacing w:after="0"/>
              <w:rPr>
                <w:sz w:val="1"/>
                <w:szCs w:val="1"/>
                <w:color w:val="auto"/>
              </w:rPr>
            </w:pPr>
          </w:p>
        </w:tc>
      </w:tr>
      <w:tr>
        <w:trPr>
          <w:trHeight w:val="101"/>
        </w:trPr>
        <w:tc>
          <w:tcPr>
            <w:tcW w:w="1260" w:type="dxa"/>
            <w:vAlign w:val="bottom"/>
          </w:tcPr>
          <w:p>
            <w:pPr>
              <w:ind w:left="440"/>
              <w:spacing w:after="0" w:line="101" w:lineRule="exact"/>
              <w:rPr>
                <w:sz w:val="20"/>
                <w:szCs w:val="20"/>
                <w:color w:val="auto"/>
              </w:rPr>
            </w:pPr>
            <w:r>
              <w:rPr>
                <w:rFonts w:ascii="Arial" w:cs="Arial" w:eastAsia="Arial" w:hAnsi="Arial"/>
                <w:sz w:val="11"/>
                <w:szCs w:val="11"/>
                <w:color w:val="auto"/>
              </w:rPr>
              <w:t>(in thousands,</w:t>
            </w:r>
          </w:p>
        </w:tc>
        <w:tc>
          <w:tcPr>
            <w:tcW w:w="660" w:type="dxa"/>
            <w:vAlign w:val="bottom"/>
          </w:tcPr>
          <w:p>
            <w:pPr>
              <w:spacing w:after="0"/>
              <w:rPr>
                <w:sz w:val="8"/>
                <w:szCs w:val="8"/>
                <w:color w:val="auto"/>
              </w:rPr>
            </w:pPr>
          </w:p>
        </w:tc>
        <w:tc>
          <w:tcPr>
            <w:tcW w:w="720" w:type="dxa"/>
            <w:vAlign w:val="bottom"/>
            <w:vMerge w:val="restart"/>
          </w:tcPr>
          <w:p>
            <w:pPr>
              <w:jc w:val="right"/>
              <w:ind w:right="301"/>
              <w:spacing w:after="0"/>
              <w:rPr>
                <w:sz w:val="20"/>
                <w:szCs w:val="20"/>
                <w:color w:val="auto"/>
              </w:rPr>
            </w:pPr>
            <w:r>
              <w:rPr>
                <w:rFonts w:ascii="Arial" w:cs="Arial" w:eastAsia="Arial" w:hAnsi="Arial"/>
                <w:sz w:val="11"/>
                <w:szCs w:val="11"/>
                <w:b w:val="1"/>
                <w:bCs w:val="1"/>
                <w:color w:val="auto"/>
              </w:rPr>
              <w:t>2021</w:t>
            </w: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vMerge w:val="restart"/>
          </w:tcPr>
          <w:p>
            <w:pPr>
              <w:jc w:val="right"/>
              <w:ind w:right="322"/>
              <w:spacing w:after="0"/>
              <w:rPr>
                <w:sz w:val="20"/>
                <w:szCs w:val="20"/>
                <w:color w:val="auto"/>
              </w:rPr>
            </w:pPr>
            <w:r>
              <w:rPr>
                <w:rFonts w:ascii="Arial" w:cs="Arial" w:eastAsia="Arial" w:hAnsi="Arial"/>
                <w:sz w:val="11"/>
                <w:szCs w:val="11"/>
                <w:b w:val="1"/>
                <w:bCs w:val="1"/>
                <w:color w:val="auto"/>
              </w:rPr>
              <w:t>2020</w:t>
            </w:r>
          </w:p>
        </w:tc>
        <w:tc>
          <w:tcPr>
            <w:tcW w:w="40" w:type="dxa"/>
            <w:vAlign w:val="bottom"/>
          </w:tcPr>
          <w:p>
            <w:pPr>
              <w:spacing w:after="0"/>
              <w:rPr>
                <w:sz w:val="8"/>
                <w:szCs w:val="8"/>
                <w:color w:val="auto"/>
              </w:rPr>
            </w:pPr>
          </w:p>
        </w:tc>
        <w:tc>
          <w:tcPr>
            <w:tcW w:w="920" w:type="dxa"/>
            <w:vAlign w:val="bottom"/>
          </w:tcPr>
          <w:p>
            <w:pPr>
              <w:jc w:val="right"/>
              <w:spacing w:after="0" w:line="101" w:lineRule="exact"/>
              <w:rPr>
                <w:sz w:val="20"/>
                <w:szCs w:val="20"/>
                <w:color w:val="auto"/>
              </w:rPr>
            </w:pPr>
            <w:r>
              <w:rPr>
                <w:rFonts w:ascii="Arial" w:cs="Arial" w:eastAsia="Arial" w:hAnsi="Arial"/>
                <w:sz w:val="11"/>
                <w:szCs w:val="11"/>
                <w:b w:val="1"/>
                <w:bCs w:val="1"/>
                <w:color w:val="auto"/>
              </w:rPr>
              <w:t>$</w:t>
            </w:r>
          </w:p>
        </w:tc>
        <w:tc>
          <w:tcPr>
            <w:tcW w:w="400" w:type="dxa"/>
            <w:vAlign w:val="bottom"/>
          </w:tcPr>
          <w:p>
            <w:pPr>
              <w:spacing w:after="0"/>
              <w:rPr>
                <w:sz w:val="8"/>
                <w:szCs w:val="8"/>
                <w:color w:val="auto"/>
              </w:rPr>
            </w:pPr>
          </w:p>
        </w:tc>
        <w:tc>
          <w:tcPr>
            <w:tcW w:w="1100" w:type="dxa"/>
            <w:vAlign w:val="bottom"/>
            <w:gridSpan w:val="2"/>
          </w:tcPr>
          <w:p>
            <w:pPr>
              <w:jc w:val="right"/>
              <w:ind w:right="86"/>
              <w:spacing w:after="0" w:line="101" w:lineRule="exact"/>
              <w:rPr>
                <w:sz w:val="20"/>
                <w:szCs w:val="20"/>
                <w:color w:val="auto"/>
              </w:rPr>
            </w:pPr>
            <w:r>
              <w:rPr>
                <w:rFonts w:ascii="Arial" w:cs="Arial" w:eastAsia="Arial" w:hAnsi="Arial"/>
                <w:sz w:val="11"/>
                <w:szCs w:val="11"/>
                <w:b w:val="1"/>
                <w:bCs w:val="1"/>
                <w:color w:val="auto"/>
              </w:rPr>
              <w:t>%</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vMerge w:val="restart"/>
          </w:tcPr>
          <w:p>
            <w:pPr>
              <w:jc w:val="right"/>
              <w:ind w:right="321"/>
              <w:spacing w:after="0"/>
              <w:rPr>
                <w:sz w:val="20"/>
                <w:szCs w:val="20"/>
                <w:color w:val="auto"/>
              </w:rPr>
            </w:pPr>
            <w:r>
              <w:rPr>
                <w:rFonts w:ascii="Arial" w:cs="Arial" w:eastAsia="Arial" w:hAnsi="Arial"/>
                <w:sz w:val="11"/>
                <w:szCs w:val="11"/>
                <w:b w:val="1"/>
                <w:bCs w:val="1"/>
                <w:color w:val="auto"/>
              </w:rPr>
              <w:t>2021</w:t>
            </w: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vMerge w:val="restart"/>
          </w:tcPr>
          <w:p>
            <w:pPr>
              <w:jc w:val="right"/>
              <w:ind w:right="302"/>
              <w:spacing w:after="0"/>
              <w:rPr>
                <w:sz w:val="20"/>
                <w:szCs w:val="20"/>
                <w:color w:val="auto"/>
              </w:rPr>
            </w:pPr>
            <w:r>
              <w:rPr>
                <w:rFonts w:ascii="Arial" w:cs="Arial" w:eastAsia="Arial" w:hAnsi="Arial"/>
                <w:sz w:val="11"/>
                <w:szCs w:val="11"/>
                <w:b w:val="1"/>
                <w:bCs w:val="1"/>
                <w:color w:val="auto"/>
              </w:rPr>
              <w:t>2020</w:t>
            </w:r>
          </w:p>
        </w:tc>
        <w:tc>
          <w:tcPr>
            <w:tcW w:w="60" w:type="dxa"/>
            <w:vAlign w:val="bottom"/>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Change</w:t>
            </w:r>
          </w:p>
        </w:tc>
        <w:tc>
          <w:tcPr>
            <w:tcW w:w="400" w:type="dxa"/>
            <w:vAlign w:val="bottom"/>
          </w:tcPr>
          <w:p>
            <w:pPr>
              <w:jc w:val="right"/>
              <w:ind w:right="283"/>
              <w:spacing w:after="0" w:line="101" w:lineRule="exact"/>
              <w:rPr>
                <w:sz w:val="20"/>
                <w:szCs w:val="20"/>
                <w:color w:val="auto"/>
              </w:rPr>
            </w:pPr>
            <w:r>
              <w:rPr>
                <w:rFonts w:ascii="Arial" w:cs="Arial" w:eastAsia="Arial" w:hAnsi="Arial"/>
                <w:sz w:val="10"/>
                <w:szCs w:val="10"/>
                <w:b w:val="1"/>
                <w:bCs w:val="1"/>
                <w:color w:val="auto"/>
                <w:w w:val="71"/>
              </w:rPr>
              <w:t>$</w:t>
            </w:r>
          </w:p>
        </w:tc>
        <w:tc>
          <w:tcPr>
            <w:tcW w:w="0" w:type="dxa"/>
            <w:vAlign w:val="bottom"/>
          </w:tcPr>
          <w:p>
            <w:pPr>
              <w:spacing w:after="0"/>
              <w:rPr>
                <w:sz w:val="1"/>
                <w:szCs w:val="1"/>
                <w:color w:val="auto"/>
              </w:rPr>
            </w:pPr>
          </w:p>
        </w:tc>
      </w:tr>
      <w:tr>
        <w:trPr>
          <w:trHeight w:val="142"/>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except percentages)</w:t>
            </w:r>
          </w:p>
        </w:tc>
        <w:tc>
          <w:tcPr>
            <w:tcW w:w="6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Change</w:t>
            </w:r>
          </w:p>
        </w:tc>
        <w:tc>
          <w:tcPr>
            <w:tcW w:w="40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Change</w:t>
            </w: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260" w:type="dxa"/>
            <w:vAlign w:val="bottom"/>
            <w:shd w:val="clear" w:color="auto" w:fill="CCEEFF"/>
          </w:tcPr>
          <w:p>
            <w:pPr>
              <w:ind w:left="440"/>
              <w:spacing w:after="0" w:line="108" w:lineRule="exact"/>
              <w:rPr>
                <w:sz w:val="20"/>
                <w:szCs w:val="20"/>
                <w:color w:val="auto"/>
              </w:rPr>
            </w:pPr>
            <w:r>
              <w:rPr>
                <w:rFonts w:ascii="Arial" w:cs="Arial" w:eastAsia="Arial" w:hAnsi="Arial"/>
                <w:sz w:val="12"/>
                <w:szCs w:val="12"/>
                <w:b w:val="1"/>
                <w:bCs w:val="1"/>
                <w:color w:val="auto"/>
              </w:rPr>
              <w:t>Adjusted</w:t>
            </w:r>
          </w:p>
        </w:tc>
        <w:tc>
          <w:tcPr>
            <w:tcW w:w="6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2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EBITDA:</w:t>
            </w:r>
          </w:p>
        </w:tc>
        <w:tc>
          <w:tcPr>
            <w:tcW w:w="6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260" w:type="dxa"/>
            <w:vAlign w:val="bottom"/>
          </w:tcPr>
          <w:p>
            <w:pPr>
              <w:ind w:left="520"/>
              <w:spacing w:after="0" w:line="117" w:lineRule="exact"/>
              <w:rPr>
                <w:sz w:val="20"/>
                <w:szCs w:val="20"/>
                <w:color w:val="auto"/>
              </w:rPr>
            </w:pPr>
            <w:r>
              <w:rPr>
                <w:rFonts w:ascii="Arial" w:cs="Arial" w:eastAsia="Arial" w:hAnsi="Arial"/>
                <w:sz w:val="12"/>
                <w:szCs w:val="12"/>
                <w:color w:val="auto"/>
                <w:w w:val="93"/>
              </w:rPr>
              <w:t>Environmental</w:t>
            </w:r>
          </w:p>
        </w:tc>
        <w:tc>
          <w:tcPr>
            <w:tcW w:w="660" w:type="dxa"/>
            <w:vAlign w:val="bottom"/>
            <w:vMerge w:val="restart"/>
          </w:tcPr>
          <w:p>
            <w:pPr>
              <w:jc w:val="right"/>
              <w:ind w:right="100"/>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176,041</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ind w:right="2"/>
              <w:spacing w:after="0"/>
              <w:rPr>
                <w:sz w:val="20"/>
                <w:szCs w:val="20"/>
                <w:color w:val="auto"/>
              </w:rPr>
            </w:pPr>
            <w:r>
              <w:rPr>
                <w:rFonts w:ascii="Arial" w:cs="Arial" w:eastAsia="Arial" w:hAnsi="Arial"/>
                <w:sz w:val="12"/>
                <w:szCs w:val="12"/>
                <w:color w:val="auto"/>
              </w:rPr>
              <w:t>176,241</w:t>
            </w:r>
          </w:p>
        </w:tc>
        <w:tc>
          <w:tcPr>
            <w:tcW w:w="40" w:type="dxa"/>
            <w:vAlign w:val="bottom"/>
          </w:tcPr>
          <w:p>
            <w:pPr>
              <w:spacing w:after="0"/>
              <w:rPr>
                <w:sz w:val="10"/>
                <w:szCs w:val="10"/>
                <w:color w:val="auto"/>
              </w:rPr>
            </w:pPr>
          </w:p>
        </w:tc>
        <w:tc>
          <w:tcPr>
            <w:tcW w:w="920" w:type="dxa"/>
            <w:vAlign w:val="bottom"/>
            <w:vMerge w:val="restart"/>
          </w:tcPr>
          <w:p>
            <w:pPr>
              <w:jc w:val="right"/>
              <w:ind w:right="343"/>
              <w:spacing w:after="0"/>
              <w:rPr>
                <w:sz w:val="20"/>
                <w:szCs w:val="20"/>
                <w:color w:val="auto"/>
              </w:rPr>
            </w:pPr>
            <w:r>
              <w:rPr>
                <w:rFonts w:ascii="Arial" w:cs="Arial" w:eastAsia="Arial" w:hAnsi="Arial"/>
                <w:sz w:val="12"/>
                <w:szCs w:val="12"/>
                <w:color w:val="auto"/>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(200)</w:t>
            </w:r>
          </w:p>
        </w:tc>
        <w:tc>
          <w:tcPr>
            <w:tcW w:w="1100" w:type="dxa"/>
            <w:vAlign w:val="bottom"/>
            <w:gridSpan w:val="2"/>
            <w:vMerge w:val="restart"/>
          </w:tcPr>
          <w:p>
            <w:pPr>
              <w:jc w:val="right"/>
              <w:ind w:right="246"/>
              <w:spacing w:after="0"/>
              <w:rPr>
                <w:sz w:val="20"/>
                <w:szCs w:val="20"/>
                <w:color w:val="auto"/>
              </w:rPr>
            </w:pPr>
            <w:r>
              <w:rPr>
                <w:rFonts w:ascii="Arial" w:cs="Arial" w:eastAsia="Arial" w:hAnsi="Arial"/>
                <w:sz w:val="12"/>
                <w:szCs w:val="12"/>
                <w:color w:val="auto"/>
              </w:rPr>
              <w:t>(0.1)</w:t>
            </w:r>
          </w:p>
        </w:tc>
        <w:tc>
          <w:tcPr>
            <w:tcW w:w="2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640" w:type="dxa"/>
            <w:vAlign w:val="bottom"/>
            <w:vMerge w:val="restart"/>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ind w:right="1"/>
              <w:spacing w:after="0"/>
              <w:rPr>
                <w:sz w:val="20"/>
                <w:szCs w:val="20"/>
                <w:color w:val="auto"/>
              </w:rPr>
            </w:pPr>
            <w:r>
              <w:rPr>
                <w:rFonts w:ascii="Arial" w:cs="Arial" w:eastAsia="Arial" w:hAnsi="Arial"/>
                <w:sz w:val="12"/>
                <w:szCs w:val="12"/>
                <w:color w:val="auto"/>
              </w:rPr>
              <w:t>316,295</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322,099</w:t>
            </w:r>
          </w:p>
        </w:tc>
        <w:tc>
          <w:tcPr>
            <w:tcW w:w="60" w:type="dxa"/>
            <w:vAlign w:val="bottom"/>
          </w:tcPr>
          <w:p>
            <w:pPr>
              <w:spacing w:after="0"/>
              <w:rPr>
                <w:sz w:val="10"/>
                <w:szCs w:val="10"/>
                <w:color w:val="auto"/>
              </w:rPr>
            </w:pPr>
          </w:p>
        </w:tc>
        <w:tc>
          <w:tcPr>
            <w:tcW w:w="840" w:type="dxa"/>
            <w:vAlign w:val="bottom"/>
            <w:vMerge w:val="restart"/>
          </w:tcPr>
          <w:p>
            <w:pPr>
              <w:jc w:val="right"/>
              <w:ind w:right="282"/>
              <w:spacing w:after="0"/>
              <w:rPr>
                <w:sz w:val="20"/>
                <w:szCs w:val="20"/>
                <w:color w:val="auto"/>
              </w:rPr>
            </w:pPr>
            <w:r>
              <w:rPr>
                <w:rFonts w:ascii="Arial" w:cs="Arial" w:eastAsia="Arial" w:hAnsi="Arial"/>
                <w:sz w:val="12"/>
                <w:szCs w:val="12"/>
                <w:color w:val="auto"/>
              </w:rPr>
              <w:t>$</w:t>
            </w: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(5,804</w:t>
            </w:r>
          </w:p>
        </w:tc>
        <w:tc>
          <w:tcPr>
            <w:tcW w:w="0" w:type="dxa"/>
            <w:vAlign w:val="bottom"/>
          </w:tcPr>
          <w:p>
            <w:pPr>
              <w:spacing w:after="0"/>
              <w:rPr>
                <w:sz w:val="1"/>
                <w:szCs w:val="1"/>
                <w:color w:val="auto"/>
              </w:rPr>
            </w:pPr>
          </w:p>
        </w:tc>
      </w:tr>
      <w:tr>
        <w:trPr>
          <w:trHeight w:val="153"/>
        </w:trPr>
        <w:tc>
          <w:tcPr>
            <w:tcW w:w="1260" w:type="dxa"/>
            <w:vAlign w:val="bottom"/>
          </w:tcPr>
          <w:p>
            <w:pPr>
              <w:ind w:left="100"/>
              <w:spacing w:after="0"/>
              <w:rPr>
                <w:sz w:val="20"/>
                <w:szCs w:val="20"/>
                <w:color w:val="auto"/>
              </w:rPr>
            </w:pPr>
            <w:r>
              <w:rPr>
                <w:rFonts w:ascii="Arial" w:cs="Arial" w:eastAsia="Arial" w:hAnsi="Arial"/>
                <w:sz w:val="12"/>
                <w:szCs w:val="12"/>
                <w:color w:val="auto"/>
              </w:rPr>
              <w:t>Services</w:t>
            </w:r>
          </w:p>
        </w:tc>
        <w:tc>
          <w:tcPr>
            <w:tcW w:w="6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260" w:type="dxa"/>
            <w:vAlign w:val="bottom"/>
            <w:shd w:val="clear" w:color="auto" w:fill="CCEEFF"/>
          </w:tcPr>
          <w:p>
            <w:pPr>
              <w:ind w:left="520"/>
              <w:spacing w:after="0" w:line="117" w:lineRule="exact"/>
              <w:rPr>
                <w:sz w:val="20"/>
                <w:szCs w:val="20"/>
                <w:color w:val="auto"/>
              </w:rPr>
            </w:pPr>
            <w:r>
              <w:rPr>
                <w:rFonts w:ascii="Arial" w:cs="Arial" w:eastAsia="Arial" w:hAnsi="Arial"/>
                <w:sz w:val="12"/>
                <w:szCs w:val="12"/>
                <w:color w:val="auto"/>
              </w:rPr>
              <w:t>Safety-Kleen</w:t>
            </w:r>
          </w:p>
        </w:tc>
        <w:tc>
          <w:tcPr>
            <w:tcW w:w="6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63,314</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8,431</w:t>
            </w:r>
          </w:p>
        </w:tc>
        <w:tc>
          <w:tcPr>
            <w:tcW w:w="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92"/>
              </w:rPr>
              <w:t>54,883</w:t>
            </w:r>
          </w:p>
        </w:tc>
        <w:tc>
          <w:tcPr>
            <w:tcW w:w="1100" w:type="dxa"/>
            <w:vAlign w:val="bottom"/>
            <w:gridSpan w:val="2"/>
            <w:vMerge w:val="restart"/>
            <w:shd w:val="clear" w:color="auto" w:fill="CCEEFF"/>
          </w:tcPr>
          <w:p>
            <w:pPr>
              <w:jc w:val="right"/>
              <w:ind w:right="286"/>
              <w:spacing w:after="0"/>
              <w:rPr>
                <w:sz w:val="20"/>
                <w:szCs w:val="20"/>
                <w:color w:val="auto"/>
              </w:rPr>
            </w:pPr>
            <w:r>
              <w:rPr>
                <w:rFonts w:ascii="Arial" w:cs="Arial" w:eastAsia="Arial" w:hAnsi="Arial"/>
                <w:sz w:val="12"/>
                <w:szCs w:val="12"/>
                <w:color w:val="auto"/>
              </w:rPr>
              <w:t>651.0</w:t>
            </w: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94,946</w:t>
            </w: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32,635</w:t>
            </w: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62,311</w:t>
            </w:r>
          </w:p>
        </w:tc>
        <w:tc>
          <w:tcPr>
            <w:tcW w:w="0" w:type="dxa"/>
            <w:vAlign w:val="bottom"/>
          </w:tcPr>
          <w:p>
            <w:pPr>
              <w:spacing w:after="0"/>
              <w:rPr>
                <w:sz w:val="1"/>
                <w:szCs w:val="1"/>
                <w:color w:val="auto"/>
              </w:rPr>
            </w:pPr>
          </w:p>
        </w:tc>
      </w:tr>
      <w:tr>
        <w:trPr>
          <w:trHeight w:val="153"/>
        </w:trPr>
        <w:tc>
          <w:tcPr>
            <w:tcW w:w="126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2"/>
              </w:rPr>
              <w:t>Sustainability Solutions</w:t>
            </w:r>
          </w:p>
        </w:tc>
        <w:tc>
          <w:tcPr>
            <w:tcW w:w="66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0" w:type="dxa"/>
            <w:vAlign w:val="bottom"/>
            <w:vMerge w:val="continue"/>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260" w:type="dxa"/>
            <w:vAlign w:val="bottom"/>
          </w:tcPr>
          <w:p>
            <w:pPr>
              <w:ind w:left="520"/>
              <w:spacing w:after="0" w:line="117" w:lineRule="exact"/>
              <w:rPr>
                <w:sz w:val="20"/>
                <w:szCs w:val="20"/>
                <w:color w:val="auto"/>
              </w:rPr>
            </w:pPr>
            <w:r>
              <w:rPr>
                <w:rFonts w:ascii="Arial" w:cs="Arial" w:eastAsia="Arial" w:hAnsi="Arial"/>
                <w:sz w:val="12"/>
                <w:szCs w:val="12"/>
                <w:color w:val="auto"/>
              </w:rPr>
              <w:t>Corporate</w:t>
            </w:r>
          </w:p>
        </w:tc>
        <w:tc>
          <w:tcPr>
            <w:tcW w:w="6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(51,584)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(46,406)</w:t>
            </w: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w w:val="94"/>
              </w:rPr>
              <w:t>(5,178)</w:t>
            </w:r>
          </w:p>
        </w:tc>
        <w:tc>
          <w:tcPr>
            <w:tcW w:w="1100" w:type="dxa"/>
            <w:vAlign w:val="bottom"/>
            <w:gridSpan w:val="2"/>
            <w:vMerge w:val="restart"/>
          </w:tcPr>
          <w:p>
            <w:pPr>
              <w:jc w:val="right"/>
              <w:ind w:right="246"/>
              <w:spacing w:after="0"/>
              <w:rPr>
                <w:sz w:val="20"/>
                <w:szCs w:val="20"/>
                <w:color w:val="auto"/>
              </w:rPr>
            </w:pPr>
            <w:r>
              <w:rPr>
                <w:rFonts w:ascii="Arial" w:cs="Arial" w:eastAsia="Arial" w:hAnsi="Arial"/>
                <w:sz w:val="12"/>
                <w:szCs w:val="12"/>
                <w:color w:val="auto"/>
              </w:rPr>
              <w:t>(11.2)</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(94,019)</w:t>
            </w: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(90,587)</w:t>
            </w: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Arial" w:cs="Arial" w:eastAsia="Arial" w:hAnsi="Arial"/>
                <w:sz w:val="12"/>
                <w:szCs w:val="12"/>
                <w:color w:val="auto"/>
              </w:rPr>
              <w:t>(3,432</w:t>
            </w:r>
          </w:p>
        </w:tc>
        <w:tc>
          <w:tcPr>
            <w:tcW w:w="0" w:type="dxa"/>
            <w:vAlign w:val="bottom"/>
          </w:tcPr>
          <w:p>
            <w:pPr>
              <w:spacing w:after="0"/>
              <w:rPr>
                <w:sz w:val="1"/>
                <w:szCs w:val="1"/>
                <w:color w:val="auto"/>
              </w:rPr>
            </w:pPr>
          </w:p>
        </w:tc>
      </w:tr>
      <w:tr>
        <w:trPr>
          <w:trHeight w:val="153"/>
        </w:trPr>
        <w:tc>
          <w:tcPr>
            <w:tcW w:w="126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Items</w:t>
            </w:r>
          </w:p>
        </w:tc>
        <w:tc>
          <w:tcPr>
            <w:tcW w:w="6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vMerge w:val="continue"/>
          </w:tcPr>
          <w:p>
            <w:pPr>
              <w:spacing w:after="0"/>
              <w:rPr>
                <w:sz w:val="13"/>
                <w:szCs w:val="13"/>
                <w:color w:val="auto"/>
              </w:rPr>
            </w:pPr>
          </w:p>
        </w:tc>
        <w:tc>
          <w:tcPr>
            <w:tcW w:w="1100" w:type="dxa"/>
            <w:vAlign w:val="bottom"/>
            <w:tcBorders>
              <w:bottom w:val="single" w:sz="8" w:color="CCEEFF"/>
            </w:tcBorders>
            <w:gridSpan w:val="2"/>
            <w:vMerge w:val="continue"/>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2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2"/>
                <w:szCs w:val="12"/>
                <w:color w:val="auto"/>
              </w:rPr>
              <w:t>Total</w:t>
            </w:r>
          </w:p>
        </w:tc>
        <w:tc>
          <w:tcPr>
            <w:tcW w:w="6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187,771</w:t>
            </w:r>
          </w:p>
        </w:tc>
        <w:tc>
          <w:tcPr>
            <w:tcW w:w="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138,266</w:t>
            </w:r>
          </w:p>
        </w:tc>
        <w:tc>
          <w:tcPr>
            <w:tcW w:w="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343"/>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49,505</w:t>
            </w:r>
          </w:p>
        </w:tc>
        <w:tc>
          <w:tcPr>
            <w:tcW w:w="1100" w:type="dxa"/>
            <w:vAlign w:val="bottom"/>
            <w:tcBorders>
              <w:bottom w:val="single" w:sz="8" w:color="CCEEFF"/>
            </w:tcBorders>
            <w:gridSpan w:val="2"/>
            <w:shd w:val="clear" w:color="auto" w:fill="CCEEFF"/>
          </w:tcPr>
          <w:p>
            <w:pPr>
              <w:jc w:val="right"/>
              <w:ind w:right="286"/>
              <w:spacing w:after="0"/>
              <w:rPr>
                <w:sz w:val="20"/>
                <w:szCs w:val="20"/>
                <w:color w:val="auto"/>
              </w:rPr>
            </w:pPr>
            <w:r>
              <w:rPr>
                <w:rFonts w:ascii="Arial" w:cs="Arial" w:eastAsia="Arial" w:hAnsi="Arial"/>
                <w:sz w:val="12"/>
                <w:szCs w:val="12"/>
                <w:color w:val="auto"/>
              </w:rPr>
              <w:t>35.8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317,222</w:t>
            </w:r>
          </w:p>
        </w:tc>
        <w:tc>
          <w:tcPr>
            <w:tcW w:w="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264,147</w:t>
            </w:r>
          </w:p>
        </w:tc>
        <w:tc>
          <w:tcPr>
            <w:tcW w:w="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282"/>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53,075</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120" w:firstLine="432"/>
        <w:spacing w:after="0" w:line="276" w:lineRule="auto"/>
        <w:rPr>
          <w:sz w:val="20"/>
          <w:szCs w:val="20"/>
          <w:color w:val="auto"/>
        </w:rPr>
      </w:pPr>
      <w:r>
        <w:rPr>
          <w:rFonts w:ascii="Arial" w:cs="Arial" w:eastAsia="Arial" w:hAnsi="Arial"/>
          <w:sz w:val="12"/>
          <w:szCs w:val="12"/>
          <w:color w:val="auto"/>
        </w:rPr>
        <w:t>We use Adjusted EBITDA to enhance our understanding of our operating performance, which represents our views concerning our performance in the ordinary, ongoing and customary course of our operations. We historically have found it helpful,</w:t>
      </w:r>
    </w:p>
    <w:p>
      <w:pPr>
        <w:spacing w:after="0" w:line="200" w:lineRule="exact"/>
        <w:rPr>
          <w:sz w:val="20"/>
          <w:szCs w:val="20"/>
          <w:color w:val="auto"/>
        </w:rPr>
      </w:pPr>
    </w:p>
    <w:p>
      <w:pPr>
        <w:spacing w:after="0" w:line="365"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0"/>
          </w:cols>
          <w:pgMar w:left="300" w:top="131" w:right="239" w:bottom="1440" w:gutter="0" w:footer="0" w:header="0"/>
        </w:sectPr>
      </w:pPr>
    </w:p>
    <w:bookmarkStart w:id="31" w:name="page32"/>
    <w:bookmarkEnd w:id="3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and believe that investors have found it helpful, to consider an operating measure that excludes certain expenses relating to transactions not reflective of our core operations.</w:t>
      </w:r>
    </w:p>
    <w:p>
      <w:pPr>
        <w:spacing w:after="0" w:line="105" w:lineRule="exact"/>
        <w:rPr>
          <w:sz w:val="20"/>
          <w:szCs w:val="20"/>
          <w:color w:val="auto"/>
        </w:rPr>
      </w:pPr>
    </w:p>
    <w:p>
      <w:pPr>
        <w:ind w:right="40" w:firstLine="432"/>
        <w:spacing w:after="0" w:line="340" w:lineRule="auto"/>
        <w:rPr>
          <w:sz w:val="20"/>
          <w:szCs w:val="20"/>
          <w:color w:val="auto"/>
        </w:rPr>
      </w:pPr>
      <w:r>
        <w:rPr>
          <w:rFonts w:ascii="Arial" w:cs="Arial" w:eastAsia="Arial" w:hAnsi="Arial"/>
          <w:sz w:val="10"/>
          <w:szCs w:val="10"/>
          <w:color w:val="auto"/>
        </w:rPr>
        <w:t>The information about our operating performance provided by this financial measure is used by our management for a variety of purposes. We regularly communicate Adjusted EBITDA results to our lenders since our loan covenants are based upon levels of Adjusted EBITDA achieved and to our board of directors and we discuss our interpretation of such results with the board. We also compare our Adjusted EBITDA performance against internal targets as a key factor in determining cash and stock bonus compensation for executives and other employees, largely because we believe that this measure is indicative of how the fundamental business is performing and is being managed.</w:t>
      </w:r>
    </w:p>
    <w:p>
      <w:pPr>
        <w:spacing w:after="0" w:line="33" w:lineRule="exact"/>
        <w:rPr>
          <w:sz w:val="20"/>
          <w:szCs w:val="20"/>
          <w:color w:val="auto"/>
        </w:rPr>
      </w:pPr>
    </w:p>
    <w:p>
      <w:pPr>
        <w:ind w:right="120" w:firstLine="432"/>
        <w:spacing w:after="0" w:line="259" w:lineRule="auto"/>
        <w:rPr>
          <w:sz w:val="20"/>
          <w:szCs w:val="20"/>
          <w:color w:val="auto"/>
        </w:rPr>
      </w:pPr>
      <w:r>
        <w:rPr>
          <w:rFonts w:ascii="Arial" w:cs="Arial" w:eastAsia="Arial" w:hAnsi="Arial"/>
          <w:sz w:val="12"/>
          <w:szCs w:val="12"/>
          <w:color w:val="auto"/>
        </w:rPr>
        <w:t>We also provide information relating to our Adjusted EBITDA so that analysts, investors and other interested persons have the same data that we use to assess our core operating performance. We believe that Adjusted EBITDA should be viewed only as a supplement to the GAAP financial information. We also believe, however, that providing this information in addition to, and together with, GAAP financial information permits the users of our financial statements to obtain a better understanding of our core operating performance and to evaluate the efficacy of the methodology and information used by management to evaluate and measure such performance on a standalone and a comparative basis.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is a reconciliation of net income to Adjusted EBITDA for the following periods (in thousands, except percentages):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40" w:type="dxa"/>
            <w:vAlign w:val="bottom"/>
            <w:gridSpan w:val="4"/>
          </w:tcPr>
          <w:p>
            <w:pPr>
              <w:jc w:val="right"/>
              <w:ind w:right="20"/>
              <w:spacing w:after="0"/>
              <w:rPr>
                <w:sz w:val="20"/>
                <w:szCs w:val="20"/>
                <w:color w:val="auto"/>
              </w:rPr>
            </w:pPr>
            <w:r>
              <w:rPr>
                <w:rFonts w:ascii="Arial" w:cs="Arial" w:eastAsia="Arial" w:hAnsi="Arial"/>
                <w:sz w:val="11"/>
                <w:szCs w:val="11"/>
                <w:b w:val="1"/>
                <w:bCs w:val="1"/>
                <w:color w:val="auto"/>
              </w:rPr>
              <w:t>For the Three Months Ended</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00" w:type="dxa"/>
            <w:vAlign w:val="bottom"/>
            <w:gridSpan w:val="4"/>
          </w:tcPr>
          <w:p>
            <w:pPr>
              <w:jc w:val="right"/>
              <w:ind w:right="60"/>
              <w:spacing w:after="0"/>
              <w:rPr>
                <w:sz w:val="20"/>
                <w:szCs w:val="20"/>
                <w:color w:val="auto"/>
              </w:rPr>
            </w:pPr>
            <w:r>
              <w:rPr>
                <w:rFonts w:ascii="Arial" w:cs="Arial" w:eastAsia="Arial" w:hAnsi="Arial"/>
                <w:sz w:val="11"/>
                <w:szCs w:val="11"/>
                <w:b w:val="1"/>
                <w:bCs w:val="1"/>
                <w:color w:val="auto"/>
              </w:rPr>
              <w:t>For the Six Months Ended</w:t>
            </w:r>
          </w:p>
        </w:tc>
        <w:tc>
          <w:tcPr>
            <w:tcW w:w="940" w:type="dxa"/>
            <w:vAlign w:val="bottom"/>
          </w:tcPr>
          <w:p>
            <w:pPr>
              <w:spacing w:after="0"/>
              <w:rPr>
                <w:sz w:val="12"/>
                <w:szCs w:val="12"/>
                <w:color w:val="auto"/>
              </w:rPr>
            </w:pPr>
          </w:p>
        </w:tc>
      </w:tr>
      <w:tr>
        <w:trPr>
          <w:trHeight w:val="146"/>
        </w:trPr>
        <w:tc>
          <w:tcPr>
            <w:tcW w:w="48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1"/>
                <w:szCs w:val="11"/>
                <w:b w:val="1"/>
                <w:bCs w:val="1"/>
                <w:color w:val="auto"/>
                <w:w w:val="86"/>
              </w:rPr>
              <w:t>June 30,</w:t>
            </w: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1"/>
                <w:szCs w:val="11"/>
                <w:b w:val="1"/>
                <w:bCs w:val="1"/>
                <w:color w:val="auto"/>
                <w:w w:val="81"/>
              </w:rPr>
              <w:t>June 30,</w:t>
            </w:r>
          </w:p>
        </w:tc>
        <w:tc>
          <w:tcPr>
            <w:tcW w:w="940" w:type="dxa"/>
            <w:vAlign w:val="bottom"/>
            <w:tcBorders>
              <w:bottom w:val="single" w:sz="8" w:color="auto"/>
            </w:tcBorders>
          </w:tcPr>
          <w:p>
            <w:pPr>
              <w:spacing w:after="0"/>
              <w:rPr>
                <w:sz w:val="12"/>
                <w:szCs w:val="12"/>
                <w:color w:val="auto"/>
              </w:rPr>
            </w:pPr>
          </w:p>
        </w:tc>
      </w:tr>
      <w:tr>
        <w:trPr>
          <w:trHeight w:val="133"/>
        </w:trPr>
        <w:tc>
          <w:tcPr>
            <w:tcW w:w="48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1"/>
                <w:szCs w:val="11"/>
                <w:b w:val="1"/>
                <w:bCs w:val="1"/>
                <w:color w:val="auto"/>
              </w:rPr>
              <w:t>2021</w:t>
            </w: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601"/>
              <w:spacing w:after="0"/>
              <w:rPr>
                <w:sz w:val="20"/>
                <w:szCs w:val="20"/>
                <w:color w:val="auto"/>
              </w:rPr>
            </w:pPr>
            <w:r>
              <w:rPr>
                <w:rFonts w:ascii="Arial" w:cs="Arial" w:eastAsia="Arial" w:hAnsi="Arial"/>
                <w:sz w:val="11"/>
                <w:szCs w:val="11"/>
                <w:b w:val="1"/>
                <w:bCs w:val="1"/>
                <w:color w:val="auto"/>
                <w:w w:val="89"/>
              </w:rPr>
              <w:t>2020</w:t>
            </w:r>
          </w:p>
        </w:tc>
        <w:tc>
          <w:tcPr>
            <w:tcW w:w="1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1"/>
                <w:szCs w:val="11"/>
                <w:b w:val="1"/>
                <w:bCs w:val="1"/>
                <w:color w:val="auto"/>
              </w:rPr>
              <w:t>2021</w:t>
            </w: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21"/>
              <w:spacing w:after="0"/>
              <w:rPr>
                <w:sz w:val="20"/>
                <w:szCs w:val="20"/>
                <w:color w:val="auto"/>
              </w:rPr>
            </w:pPr>
            <w:r>
              <w:rPr>
                <w:rFonts w:ascii="Arial" w:cs="Arial" w:eastAsia="Arial" w:hAnsi="Arial"/>
                <w:sz w:val="11"/>
                <w:szCs w:val="11"/>
                <w:b w:val="1"/>
                <w:bCs w:val="1"/>
                <w:color w:val="auto"/>
                <w:w w:val="97"/>
              </w:rPr>
              <w:t>2020</w:t>
            </w:r>
          </w:p>
        </w:tc>
      </w:tr>
      <w:tr>
        <w:trPr>
          <w:trHeight w:val="144"/>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67,075</w:t>
            </w:r>
          </w:p>
        </w:tc>
        <w:tc>
          <w:tcPr>
            <w:tcW w:w="900" w:type="dxa"/>
            <w:vAlign w:val="bottom"/>
            <w:gridSpan w:val="3"/>
            <w:shd w:val="clear" w:color="auto" w:fill="CCEEFF"/>
          </w:tcPr>
          <w:p>
            <w:pPr>
              <w:jc w:val="right"/>
              <w:ind w:right="58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29,023</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88,811</w:t>
            </w:r>
          </w:p>
        </w:tc>
        <w:tc>
          <w:tcPr>
            <w:tcW w:w="860" w:type="dxa"/>
            <w:vAlign w:val="bottom"/>
            <w:gridSpan w:val="3"/>
            <w:shd w:val="clear" w:color="auto" w:fill="CCEEFF"/>
          </w:tcPr>
          <w:p>
            <w:pPr>
              <w:jc w:val="right"/>
              <w:ind w:right="5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40,595</w:t>
            </w:r>
          </w:p>
        </w:tc>
      </w:tr>
      <w:tr>
        <w:trPr>
          <w:trHeight w:val="153"/>
        </w:trPr>
        <w:tc>
          <w:tcPr>
            <w:tcW w:w="4800" w:type="dxa"/>
            <w:vAlign w:val="bottom"/>
          </w:tcPr>
          <w:p>
            <w:pPr>
              <w:spacing w:after="0"/>
              <w:rPr>
                <w:sz w:val="20"/>
                <w:szCs w:val="20"/>
                <w:color w:val="auto"/>
              </w:rPr>
            </w:pPr>
            <w:r>
              <w:rPr>
                <w:rFonts w:ascii="Arial" w:cs="Arial" w:eastAsia="Arial" w:hAnsi="Arial"/>
                <w:sz w:val="12"/>
                <w:szCs w:val="12"/>
                <w:color w:val="auto"/>
              </w:rPr>
              <w:t>Accretion of environmental liabilities</w:t>
            </w:r>
          </w:p>
        </w:tc>
        <w:tc>
          <w:tcPr>
            <w:tcW w:w="3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2,873</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jc w:val="right"/>
              <w:ind w:right="81"/>
              <w:spacing w:after="0"/>
              <w:rPr>
                <w:sz w:val="20"/>
                <w:szCs w:val="20"/>
                <w:color w:val="auto"/>
              </w:rPr>
            </w:pPr>
            <w:r>
              <w:rPr>
                <w:rFonts w:ascii="Arial" w:cs="Arial" w:eastAsia="Arial" w:hAnsi="Arial"/>
                <w:sz w:val="12"/>
                <w:szCs w:val="12"/>
                <w:color w:val="auto"/>
              </w:rPr>
              <w:t>2,766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5,826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jc w:val="right"/>
              <w:ind w:right="101"/>
              <w:spacing w:after="0"/>
              <w:rPr>
                <w:sz w:val="20"/>
                <w:szCs w:val="20"/>
                <w:color w:val="auto"/>
              </w:rPr>
            </w:pPr>
            <w:r>
              <w:rPr>
                <w:rFonts w:ascii="Arial" w:cs="Arial" w:eastAsia="Arial" w:hAnsi="Arial"/>
                <w:sz w:val="12"/>
                <w:szCs w:val="12"/>
                <w:color w:val="auto"/>
              </w:rPr>
              <w:t>5,327</w:t>
            </w:r>
          </w:p>
        </w:tc>
      </w:tr>
      <w:tr>
        <w:trPr>
          <w:trHeight w:val="153"/>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Stock-based compensation</w:t>
            </w:r>
          </w:p>
        </w:tc>
        <w:tc>
          <w:tcPr>
            <w:tcW w:w="3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3,305</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2,786</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6,785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6,077</w:t>
            </w:r>
          </w:p>
        </w:tc>
      </w:tr>
      <w:tr>
        <w:trPr>
          <w:trHeight w:val="153"/>
        </w:trPr>
        <w:tc>
          <w:tcPr>
            <w:tcW w:w="4800" w:type="dxa"/>
            <w:vAlign w:val="bottom"/>
          </w:tcPr>
          <w:p>
            <w:pPr>
              <w:spacing w:after="0"/>
              <w:rPr>
                <w:sz w:val="20"/>
                <w:szCs w:val="20"/>
                <w:color w:val="auto"/>
              </w:rPr>
            </w:pPr>
            <w:r>
              <w:rPr>
                <w:rFonts w:ascii="Arial" w:cs="Arial" w:eastAsia="Arial" w:hAnsi="Arial"/>
                <w:sz w:val="12"/>
                <w:szCs w:val="12"/>
                <w:color w:val="auto"/>
              </w:rPr>
              <w:t>Depreciation and amortization</w:t>
            </w:r>
          </w:p>
        </w:tc>
        <w:tc>
          <w:tcPr>
            <w:tcW w:w="3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71,592</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jc w:val="right"/>
              <w:ind w:right="81"/>
              <w:spacing w:after="0"/>
              <w:rPr>
                <w:sz w:val="20"/>
                <w:szCs w:val="20"/>
                <w:color w:val="auto"/>
              </w:rPr>
            </w:pPr>
            <w:r>
              <w:rPr>
                <w:rFonts w:ascii="Arial" w:cs="Arial" w:eastAsia="Arial" w:hAnsi="Arial"/>
                <w:sz w:val="12"/>
                <w:szCs w:val="12"/>
                <w:color w:val="auto"/>
              </w:rPr>
              <w:t>72,494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143,755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jc w:val="right"/>
              <w:ind w:right="101"/>
              <w:spacing w:after="0"/>
              <w:rPr>
                <w:sz w:val="20"/>
                <w:szCs w:val="20"/>
                <w:color w:val="auto"/>
              </w:rPr>
            </w:pPr>
            <w:r>
              <w:rPr>
                <w:rFonts w:ascii="Arial" w:cs="Arial" w:eastAsia="Arial" w:hAnsi="Arial"/>
                <w:sz w:val="12"/>
                <w:szCs w:val="12"/>
                <w:color w:val="auto"/>
              </w:rPr>
              <w:t>147,027</w:t>
            </w:r>
          </w:p>
        </w:tc>
      </w:tr>
      <w:tr>
        <w:trPr>
          <w:trHeight w:val="153"/>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Other expense, net</w:t>
            </w:r>
          </w:p>
        </w:tc>
        <w:tc>
          <w:tcPr>
            <w:tcW w:w="3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1,480</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500</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2,708</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2,865</w:t>
            </w:r>
          </w:p>
        </w:tc>
      </w:tr>
      <w:tr>
        <w:trPr>
          <w:trHeight w:val="153"/>
        </w:trPr>
        <w:tc>
          <w:tcPr>
            <w:tcW w:w="4800" w:type="dxa"/>
            <w:vAlign w:val="bottom"/>
          </w:tcPr>
          <w:p>
            <w:pPr>
              <w:spacing w:after="0"/>
              <w:rPr>
                <w:sz w:val="20"/>
                <w:szCs w:val="20"/>
                <w:color w:val="auto"/>
              </w:rPr>
            </w:pPr>
            <w:r>
              <w:rPr>
                <w:rFonts w:ascii="Arial" w:cs="Arial" w:eastAsia="Arial" w:hAnsi="Arial"/>
                <w:sz w:val="12"/>
                <w:szCs w:val="12"/>
                <w:color w:val="auto"/>
              </w:rPr>
              <w:t>Loss on sale of businesses</w:t>
            </w:r>
          </w:p>
        </w:tc>
        <w:tc>
          <w:tcPr>
            <w:tcW w:w="3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jc w:val="right"/>
              <w:ind w:right="81"/>
              <w:spacing w:after="0"/>
              <w:rPr>
                <w:sz w:val="20"/>
                <w:szCs w:val="20"/>
                <w:color w:val="auto"/>
              </w:rPr>
            </w:pPr>
            <w:r>
              <w:rPr>
                <w:rFonts w:ascii="Arial" w:cs="Arial" w:eastAsia="Arial" w:hAnsi="Arial"/>
                <w:sz w:val="12"/>
                <w:szCs w:val="12"/>
                <w:color w:val="auto"/>
              </w:rPr>
              <w:t>184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jc w:val="right"/>
              <w:ind w:right="101"/>
              <w:spacing w:after="0"/>
              <w:rPr>
                <w:sz w:val="20"/>
                <w:szCs w:val="20"/>
                <w:color w:val="auto"/>
              </w:rPr>
            </w:pPr>
            <w:r>
              <w:rPr>
                <w:rFonts w:ascii="Arial" w:cs="Arial" w:eastAsia="Arial" w:hAnsi="Arial"/>
                <w:sz w:val="12"/>
                <w:szCs w:val="12"/>
                <w:color w:val="auto"/>
              </w:rPr>
              <w:t>3,258</w:t>
            </w:r>
          </w:p>
        </w:tc>
      </w:tr>
      <w:tr>
        <w:trPr>
          <w:trHeight w:val="153"/>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 net of interest income</w:t>
            </w:r>
          </w:p>
        </w:tc>
        <w:tc>
          <w:tcPr>
            <w:tcW w:w="3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18,051</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18,654</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35,969</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37,441</w:t>
            </w:r>
          </w:p>
        </w:tc>
      </w:tr>
      <w:tr>
        <w:trPr>
          <w:trHeight w:val="153"/>
        </w:trPr>
        <w:tc>
          <w:tcPr>
            <w:tcW w:w="48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Provision for income taxes</w:t>
            </w:r>
          </w:p>
        </w:tc>
        <w:tc>
          <w:tcPr>
            <w:tcW w:w="3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23,395</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11,859</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33,368</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21,557</w:t>
            </w:r>
          </w:p>
        </w:tc>
      </w:tr>
      <w:tr>
        <w:trPr>
          <w:trHeight w:val="162"/>
        </w:trPr>
        <w:tc>
          <w:tcPr>
            <w:tcW w:w="4800" w:type="dxa"/>
            <w:vAlign w:val="bottom"/>
            <w:shd w:val="clear" w:color="auto" w:fill="CCEEFF"/>
          </w:tcPr>
          <w:p>
            <w:pPr>
              <w:spacing w:after="0"/>
              <w:rPr>
                <w:sz w:val="20"/>
                <w:szCs w:val="20"/>
                <w:color w:val="auto"/>
              </w:rPr>
            </w:pPr>
            <w:r>
              <w:rPr>
                <w:rFonts w:ascii="Arial" w:cs="Arial" w:eastAsia="Arial" w:hAnsi="Arial"/>
                <w:sz w:val="12"/>
                <w:szCs w:val="12"/>
                <w:color w:val="auto"/>
              </w:rPr>
              <w:t>Adjusted EBITDA</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187,771</w:t>
            </w:r>
          </w:p>
        </w:tc>
        <w:tc>
          <w:tcPr>
            <w:tcW w:w="900" w:type="dxa"/>
            <w:vAlign w:val="bottom"/>
            <w:gridSpan w:val="3"/>
            <w:shd w:val="clear" w:color="auto" w:fill="CCEEFF"/>
          </w:tcPr>
          <w:p>
            <w:pPr>
              <w:jc w:val="right"/>
              <w:ind w:right="58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138,266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317,222</w:t>
            </w:r>
          </w:p>
        </w:tc>
        <w:tc>
          <w:tcPr>
            <w:tcW w:w="860" w:type="dxa"/>
            <w:vAlign w:val="bottom"/>
            <w:gridSpan w:val="3"/>
            <w:shd w:val="clear" w:color="auto" w:fill="CCEEFF"/>
          </w:tcPr>
          <w:p>
            <w:pPr>
              <w:jc w:val="right"/>
              <w:ind w:right="5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264,147</w:t>
            </w:r>
          </w:p>
        </w:tc>
      </w:tr>
      <w:tr>
        <w:trPr>
          <w:trHeight w:val="149"/>
        </w:trPr>
        <w:tc>
          <w:tcPr>
            <w:tcW w:w="4800" w:type="dxa"/>
            <w:vAlign w:val="bottom"/>
            <w:tcBorders>
              <w:top w:val="single" w:sz="8" w:color="CCEEFF"/>
            </w:tcBorders>
          </w:tcPr>
          <w:p>
            <w:pPr>
              <w:spacing w:after="0"/>
              <w:rPr>
                <w:sz w:val="20"/>
                <w:szCs w:val="20"/>
                <w:color w:val="auto"/>
              </w:rPr>
            </w:pPr>
            <w:r>
              <w:rPr>
                <w:rFonts w:ascii="Arial" w:cs="Arial" w:eastAsia="Arial" w:hAnsi="Arial"/>
                <w:sz w:val="12"/>
                <w:szCs w:val="12"/>
                <w:color w:val="auto"/>
              </w:rPr>
              <w:t>As a % of Direct revenues</w:t>
            </w:r>
          </w:p>
        </w:tc>
        <w:tc>
          <w:tcPr>
            <w:tcW w:w="3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color w:val="auto"/>
              </w:rPr>
              <w:t>20.3 %</w:t>
            </w:r>
          </w:p>
        </w:tc>
        <w:tc>
          <w:tcPr>
            <w:tcW w:w="80" w:type="dxa"/>
            <w:vAlign w:val="bottom"/>
            <w:tcBorders>
              <w:top w:val="single" w:sz="8" w:color="CCEEFF"/>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19.5 %</w:t>
            </w:r>
          </w:p>
        </w:tc>
        <w:tc>
          <w:tcPr>
            <w:tcW w:w="100" w:type="dxa"/>
            <w:vAlign w:val="bottom"/>
            <w:tcBorders>
              <w:top w:val="single" w:sz="8" w:color="CCEEFF"/>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color w:val="auto"/>
              </w:rPr>
              <w:t>18.3 %</w:t>
            </w:r>
          </w:p>
        </w:tc>
        <w:tc>
          <w:tcPr>
            <w:tcW w:w="100" w:type="dxa"/>
            <w:vAlign w:val="bottom"/>
            <w:tcBorders>
              <w:top w:val="single" w:sz="8" w:color="CCEEFF"/>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16.8 %</w:t>
            </w:r>
          </w:p>
        </w:tc>
      </w:tr>
    </w:tbl>
    <w:p>
      <w:pPr>
        <w:spacing w:after="0" w:line="135" w:lineRule="exact"/>
        <w:rPr>
          <w:sz w:val="20"/>
          <w:szCs w:val="20"/>
          <w:color w:val="auto"/>
        </w:rPr>
      </w:pPr>
    </w:p>
    <w:p>
      <w:pPr>
        <w:jc w:val="both"/>
        <w:ind w:right="80" w:firstLine="432"/>
        <w:spacing w:after="0" w:line="285" w:lineRule="auto"/>
        <w:rPr>
          <w:sz w:val="20"/>
          <w:szCs w:val="20"/>
          <w:color w:val="auto"/>
        </w:rPr>
      </w:pPr>
      <w:r>
        <w:rPr>
          <w:rFonts w:ascii="Arial" w:cs="Arial" w:eastAsia="Arial" w:hAnsi="Arial"/>
          <w:sz w:val="11"/>
          <w:szCs w:val="11"/>
          <w:color w:val="auto"/>
        </w:rPr>
        <w:t>Beginning in the first quarter of 2021, we revised our calculation of reported Adjusted EBITDA to add stock-based compensation, a non-cash item, to other charges which are added back to GAAP net income for purposes of calculating Adjusted EBITDA. We made this change in order to be more consistent with how certain of our peer group companies report their non-GAAP results, to align with how management will evaluate the operating performance of the Company and performance metrics for certain incentive compensation awards to be issued in 2021, and to be consistent with the definition of “Adjusted EBITDA” now used for covenant compliance purposes in our outstanding financing agreements as amended to date. The amount added back each period is expected to match the line item for stock-based compensation as recorded on the Company's GAAP consolidated statements of cash flows. In the future, when we report our results, all relevant prior period Adjusted EBITDA amounts will be recast to provide comparative information.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2" w:name="page33"/>
    <w:bookmarkEnd w:id="3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Depreciation and Amortization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6"/>
          </w:tcPr>
          <w:p>
            <w:pPr>
              <w:ind w:left="100"/>
              <w:spacing w:after="0"/>
              <w:rPr>
                <w:sz w:val="20"/>
                <w:szCs w:val="20"/>
                <w:color w:val="auto"/>
              </w:rPr>
            </w:pPr>
            <w:r>
              <w:rPr>
                <w:rFonts w:ascii="Arial" w:cs="Arial" w:eastAsia="Arial" w:hAnsi="Arial"/>
                <w:sz w:val="11"/>
                <w:szCs w:val="11"/>
                <w:b w:val="1"/>
                <w:bCs w:val="1"/>
                <w:color w:val="auto"/>
              </w:rPr>
              <w:t>For the Three Months Ended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60" w:type="dxa"/>
            <w:vAlign w:val="bottom"/>
            <w:gridSpan w:val="6"/>
          </w:tcPr>
          <w:p>
            <w:pPr>
              <w:ind w:left="200"/>
              <w:spacing w:after="0"/>
              <w:rPr>
                <w:sz w:val="20"/>
                <w:szCs w:val="20"/>
                <w:color w:val="auto"/>
              </w:rPr>
            </w:pPr>
            <w:r>
              <w:rPr>
                <w:rFonts w:ascii="Arial" w:cs="Arial" w:eastAsia="Arial" w:hAnsi="Arial"/>
                <w:sz w:val="11"/>
                <w:szCs w:val="11"/>
                <w:b w:val="1"/>
                <w:bCs w:val="1"/>
                <w:color w:val="auto"/>
              </w:rPr>
              <w:t>For the Six Months Ended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6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1"/>
                <w:szCs w:val="11"/>
                <w:b w:val="1"/>
                <w:bCs w:val="1"/>
                <w:color w:val="auto"/>
              </w:rPr>
              <w:t>June 30,</w:t>
            </w: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ind w:left="460"/>
              <w:spacing w:after="0"/>
              <w:rPr>
                <w:sz w:val="20"/>
                <w:szCs w:val="20"/>
                <w:color w:val="auto"/>
              </w:rPr>
            </w:pPr>
            <w:r>
              <w:rPr>
                <w:rFonts w:ascii="Arial" w:cs="Arial" w:eastAsia="Arial" w:hAnsi="Arial"/>
                <w:sz w:val="11"/>
                <w:szCs w:val="11"/>
                <w:b w:val="1"/>
                <w:bCs w:val="1"/>
                <w:color w:val="auto"/>
                <w:w w:val="86"/>
              </w:rPr>
              <w:t>2021 over 2020</w:t>
            </w: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1"/>
                <w:szCs w:val="11"/>
                <w:b w:val="1"/>
                <w:bCs w:val="1"/>
                <w:color w:val="auto"/>
              </w:rPr>
              <w:t>June 30,</w:t>
            </w:r>
          </w:p>
        </w:tc>
        <w:tc>
          <w:tcPr>
            <w:tcW w:w="7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ind w:left="540"/>
              <w:spacing w:after="0"/>
              <w:rPr>
                <w:sz w:val="20"/>
                <w:szCs w:val="20"/>
                <w:color w:val="auto"/>
              </w:rPr>
            </w:pPr>
            <w:r>
              <w:rPr>
                <w:rFonts w:ascii="Arial" w:cs="Arial" w:eastAsia="Arial" w:hAnsi="Arial"/>
                <w:sz w:val="11"/>
                <w:szCs w:val="11"/>
                <w:b w:val="1"/>
                <w:bCs w:val="1"/>
                <w:color w:val="auto"/>
                <w:w w:val="86"/>
              </w:rPr>
              <w:t>2021 over 2020</w:t>
            </w: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660" w:type="dxa"/>
            <w:vAlign w:val="bottom"/>
            <w:vMerge w:val="restart"/>
          </w:tcPr>
          <w:p>
            <w:pPr>
              <w:spacing w:after="0"/>
              <w:rPr>
                <w:sz w:val="20"/>
                <w:szCs w:val="20"/>
                <w:color w:val="auto"/>
              </w:rPr>
            </w:pPr>
            <w:r>
              <w:rPr>
                <w:rFonts w:ascii="Arial" w:cs="Arial" w:eastAsia="Arial" w:hAnsi="Arial"/>
                <w:sz w:val="11"/>
                <w:szCs w:val="11"/>
                <w:color w:val="auto"/>
              </w:rPr>
              <w:t>(in thousands, except percentages)</w:t>
            </w:r>
          </w:p>
        </w:tc>
        <w:tc>
          <w:tcPr>
            <w:tcW w:w="240" w:type="dxa"/>
            <w:vAlign w:val="bottom"/>
          </w:tcPr>
          <w:p>
            <w:pPr>
              <w:spacing w:after="0"/>
              <w:rPr>
                <w:sz w:val="8"/>
                <w:szCs w:val="8"/>
                <w:color w:val="auto"/>
              </w:rPr>
            </w:pPr>
          </w:p>
        </w:tc>
        <w:tc>
          <w:tcPr>
            <w:tcW w:w="760" w:type="dxa"/>
            <w:vAlign w:val="bottom"/>
            <w:vMerge w:val="restart"/>
          </w:tcPr>
          <w:p>
            <w:pPr>
              <w:jc w:val="right"/>
              <w:ind w:right="342"/>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vMerge w:val="restart"/>
          </w:tcPr>
          <w:p>
            <w:pPr>
              <w:jc w:val="right"/>
              <w:ind w:right="342"/>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right"/>
              <w:ind w:right="423"/>
              <w:spacing w:after="0" w:line="99"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jc w:val="right"/>
              <w:ind w:right="362"/>
              <w:spacing w:after="0" w:line="99"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vMerge w:val="restart"/>
          </w:tcPr>
          <w:p>
            <w:pPr>
              <w:jc w:val="right"/>
              <w:ind w:right="342"/>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vMerge w:val="restart"/>
          </w:tcPr>
          <w:p>
            <w:pPr>
              <w:jc w:val="right"/>
              <w:ind w:right="342"/>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jc w:val="right"/>
              <w:ind w:right="423"/>
              <w:spacing w:after="0" w:line="99"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jc w:val="right"/>
              <w:ind w:right="442"/>
              <w:spacing w:after="0" w:line="99"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2"/>
        </w:trPr>
        <w:tc>
          <w:tcPr>
            <w:tcW w:w="2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tcPr>
          <w:p>
            <w:pPr>
              <w:ind w:left="120"/>
              <w:spacing w:after="0"/>
              <w:rPr>
                <w:sz w:val="20"/>
                <w:szCs w:val="20"/>
                <w:color w:val="auto"/>
              </w:rPr>
            </w:pPr>
            <w:r>
              <w:rPr>
                <w:rFonts w:ascii="Arial" w:cs="Arial" w:eastAsia="Arial" w:hAnsi="Arial"/>
                <w:sz w:val="11"/>
                <w:szCs w:val="11"/>
                <w:b w:val="1"/>
                <w:bCs w:val="1"/>
                <w:color w:val="auto"/>
              </w:rPr>
              <w:t>Change</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Change</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tcPr>
          <w:p>
            <w:pPr>
              <w:ind w:left="120"/>
              <w:spacing w:after="0"/>
              <w:rPr>
                <w:sz w:val="20"/>
                <w:szCs w:val="20"/>
                <w:color w:val="auto"/>
              </w:rPr>
            </w:pPr>
            <w:r>
              <w:rPr>
                <w:rFonts w:ascii="Arial" w:cs="Arial" w:eastAsia="Arial" w:hAnsi="Arial"/>
                <w:sz w:val="11"/>
                <w:szCs w:val="11"/>
                <w:b w:val="1"/>
                <w:bCs w:val="1"/>
                <w:color w:val="auto"/>
              </w:rPr>
              <w:t>Change</w:t>
            </w:r>
          </w:p>
        </w:tc>
        <w:tc>
          <w:tcPr>
            <w:tcW w:w="740" w:type="dxa"/>
            <w:vAlign w:val="bottom"/>
          </w:tcPr>
          <w:p>
            <w:pPr>
              <w:jc w:val="right"/>
              <w:ind w:right="322"/>
              <w:spacing w:after="0"/>
              <w:rPr>
                <w:sz w:val="20"/>
                <w:szCs w:val="20"/>
                <w:color w:val="auto"/>
              </w:rPr>
            </w:pPr>
            <w:r>
              <w:rPr>
                <w:rFonts w:ascii="Arial" w:cs="Arial" w:eastAsia="Arial" w:hAnsi="Arial"/>
                <w:sz w:val="11"/>
                <w:szCs w:val="11"/>
                <w:b w:val="1"/>
                <w:bCs w:val="1"/>
                <w:color w:val="auto"/>
                <w:w w:val="84"/>
              </w:rPr>
              <w:t>Change</w:t>
            </w:r>
          </w:p>
        </w:tc>
        <w:tc>
          <w:tcPr>
            <w:tcW w:w="0" w:type="dxa"/>
            <w:vAlign w:val="bottom"/>
          </w:tcPr>
          <w:p>
            <w:pPr>
              <w:spacing w:after="0"/>
              <w:rPr>
                <w:sz w:val="1"/>
                <w:szCs w:val="1"/>
                <w:color w:val="auto"/>
              </w:rPr>
            </w:pPr>
          </w:p>
        </w:tc>
      </w:tr>
      <w:tr>
        <w:trPr>
          <w:trHeight w:val="108"/>
        </w:trPr>
        <w:tc>
          <w:tcPr>
            <w:tcW w:w="2660" w:type="dxa"/>
            <w:vAlign w:val="bottom"/>
            <w:tcBorders>
              <w:top w:val="single" w:sz="8" w:color="auto"/>
            </w:tcBorders>
            <w:shd w:val="clear" w:color="auto" w:fill="CCEEFF"/>
          </w:tcPr>
          <w:p>
            <w:pPr>
              <w:spacing w:after="0" w:line="108" w:lineRule="exact"/>
              <w:rPr>
                <w:sz w:val="20"/>
                <w:szCs w:val="20"/>
                <w:color w:val="auto"/>
              </w:rPr>
            </w:pPr>
            <w:r>
              <w:rPr>
                <w:rFonts w:ascii="Arial" w:cs="Arial" w:eastAsia="Arial" w:hAnsi="Arial"/>
                <w:sz w:val="12"/>
                <w:szCs w:val="12"/>
                <w:color w:val="auto"/>
              </w:rPr>
              <w:t>Depreciation of fixed assets and amortization of</w:t>
            </w:r>
          </w:p>
        </w:tc>
        <w:tc>
          <w:tcPr>
            <w:tcW w:w="240" w:type="dxa"/>
            <w:vAlign w:val="bottom"/>
            <w:tcBorders>
              <w:top w:val="single" w:sz="8" w:color="auto"/>
            </w:tcBorders>
            <w:vMerge w:val="restart"/>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63,828</w:t>
            </w:r>
          </w:p>
        </w:tc>
        <w:tc>
          <w:tcPr>
            <w:tcW w:w="1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vMerge w:val="restart"/>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63,656</w:t>
            </w: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vMerge w:val="restart"/>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172</w:t>
            </w:r>
          </w:p>
        </w:tc>
        <w:tc>
          <w:tcPr>
            <w:tcW w:w="8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0.3 %</w:t>
            </w:r>
          </w:p>
        </w:tc>
        <w:tc>
          <w:tcPr>
            <w:tcW w:w="1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vMerge w:val="restart"/>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128,402</w:t>
            </w:r>
          </w:p>
        </w:tc>
        <w:tc>
          <w:tcPr>
            <w:tcW w:w="8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vMerge w:val="restart"/>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129,021</w:t>
            </w:r>
          </w:p>
        </w:tc>
        <w:tc>
          <w:tcPr>
            <w:tcW w:w="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vMerge w:val="restart"/>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(619)</w:t>
            </w:r>
          </w:p>
        </w:tc>
        <w:tc>
          <w:tcPr>
            <w:tcW w:w="8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153"/>
        </w:trPr>
        <w:tc>
          <w:tcPr>
            <w:tcW w:w="2660" w:type="dxa"/>
            <w:vAlign w:val="bottom"/>
            <w:shd w:val="clear" w:color="auto" w:fill="CCEEFF"/>
          </w:tcPr>
          <w:p>
            <w:pPr>
              <w:spacing w:after="0"/>
              <w:rPr>
                <w:sz w:val="20"/>
                <w:szCs w:val="20"/>
                <w:color w:val="auto"/>
              </w:rPr>
            </w:pPr>
            <w:r>
              <w:rPr>
                <w:rFonts w:ascii="Arial" w:cs="Arial" w:eastAsia="Arial" w:hAnsi="Arial"/>
                <w:sz w:val="12"/>
                <w:szCs w:val="12"/>
                <w:color w:val="auto"/>
              </w:rPr>
              <w:t>landfills and finance leases</w:t>
            </w:r>
          </w:p>
        </w:tc>
        <w:tc>
          <w:tcPr>
            <w:tcW w:w="240" w:type="dxa"/>
            <w:vAlign w:val="bottom"/>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6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Permits and other intangibles amortization</w:t>
            </w: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7,764</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8,838</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(1,074)</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(12.2)</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15,353</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18,006</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(2,653)</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(14.7)</w:t>
            </w:r>
          </w:p>
        </w:tc>
        <w:tc>
          <w:tcPr>
            <w:tcW w:w="0" w:type="dxa"/>
            <w:vAlign w:val="bottom"/>
          </w:tcPr>
          <w:p>
            <w:pPr>
              <w:spacing w:after="0"/>
              <w:rPr>
                <w:sz w:val="1"/>
                <w:szCs w:val="1"/>
                <w:color w:val="auto"/>
              </w:rPr>
            </w:pPr>
          </w:p>
        </w:tc>
      </w:tr>
      <w:tr>
        <w:trPr>
          <w:trHeight w:val="158"/>
        </w:trPr>
        <w:tc>
          <w:tcPr>
            <w:tcW w:w="2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depreciation and amortization</w:t>
            </w: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71,592</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72,494</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(902)</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143,755</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147,027</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(3,272)</w:t>
            </w: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1960" w:firstLine="432"/>
        <w:spacing w:after="0" w:line="445" w:lineRule="auto"/>
        <w:rPr>
          <w:sz w:val="20"/>
          <w:szCs w:val="20"/>
          <w:color w:val="auto"/>
        </w:rPr>
      </w:pPr>
      <w:r>
        <w:rPr>
          <w:rFonts w:ascii="Arial" w:cs="Arial" w:eastAsia="Arial" w:hAnsi="Arial"/>
          <w:sz w:val="12"/>
          <w:szCs w:val="12"/>
          <w:color w:val="auto"/>
        </w:rPr>
        <w:t xml:space="preserve">Depreciation and amortization for the three and six months ended June 30, 2021 decreased from the comparable periods in 2020 primarily due to certain assets becoming fully amortized. </w:t>
      </w:r>
      <w:r>
        <w:rPr>
          <w:rFonts w:ascii="Arial" w:cs="Arial" w:eastAsia="Arial" w:hAnsi="Arial"/>
          <w:sz w:val="12"/>
          <w:szCs w:val="12"/>
          <w:b w:val="1"/>
          <w:bCs w:val="1"/>
          <w:i w:val="1"/>
          <w:iCs w:val="1"/>
          <w:color w:val="auto"/>
        </w:rPr>
        <w:t>Provision for Income Taxes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gridSpan w:val="6"/>
          </w:tcPr>
          <w:p>
            <w:pPr>
              <w:ind w:left="100"/>
              <w:spacing w:after="0"/>
              <w:rPr>
                <w:sz w:val="20"/>
                <w:szCs w:val="20"/>
                <w:color w:val="auto"/>
              </w:rPr>
            </w:pPr>
            <w:r>
              <w:rPr>
                <w:rFonts w:ascii="Arial" w:cs="Arial" w:eastAsia="Arial" w:hAnsi="Arial"/>
                <w:sz w:val="11"/>
                <w:szCs w:val="11"/>
                <w:b w:val="1"/>
                <w:bCs w:val="1"/>
                <w:color w:val="auto"/>
              </w:rPr>
              <w:t>For the Three Months Ended</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40" w:type="dxa"/>
            <w:vAlign w:val="bottom"/>
            <w:gridSpan w:val="6"/>
          </w:tcPr>
          <w:p>
            <w:pPr>
              <w:ind w:left="180"/>
              <w:spacing w:after="0"/>
              <w:rPr>
                <w:sz w:val="20"/>
                <w:szCs w:val="20"/>
                <w:color w:val="auto"/>
              </w:rPr>
            </w:pPr>
            <w:r>
              <w:rPr>
                <w:rFonts w:ascii="Arial" w:cs="Arial" w:eastAsia="Arial" w:hAnsi="Arial"/>
                <w:sz w:val="11"/>
                <w:szCs w:val="11"/>
                <w:b w:val="1"/>
                <w:bCs w:val="1"/>
                <w:color w:val="auto"/>
              </w:rPr>
              <w:t>For the Six Months Ended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4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1"/>
                <w:szCs w:val="11"/>
                <w:b w:val="1"/>
                <w:bCs w:val="1"/>
                <w:color w:val="auto"/>
                <w:w w:val="81"/>
              </w:rPr>
              <w:t>June 30,</w:t>
            </w:r>
          </w:p>
        </w:tc>
        <w:tc>
          <w:tcPr>
            <w:tcW w:w="8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ind w:left="460"/>
              <w:spacing w:after="0"/>
              <w:rPr>
                <w:sz w:val="20"/>
                <w:szCs w:val="20"/>
                <w:color w:val="auto"/>
              </w:rPr>
            </w:pPr>
            <w:r>
              <w:rPr>
                <w:rFonts w:ascii="Arial" w:cs="Arial" w:eastAsia="Arial" w:hAnsi="Arial"/>
                <w:sz w:val="11"/>
                <w:szCs w:val="11"/>
                <w:b w:val="1"/>
                <w:bCs w:val="1"/>
                <w:color w:val="auto"/>
                <w:w w:val="89"/>
              </w:rPr>
              <w:t>2021 over 2020</w:t>
            </w:r>
          </w:p>
        </w:tc>
        <w:tc>
          <w:tcPr>
            <w:tcW w:w="6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1"/>
                <w:szCs w:val="11"/>
                <w:b w:val="1"/>
                <w:bCs w:val="1"/>
                <w:color w:val="auto"/>
                <w:w w:val="81"/>
              </w:rPr>
              <w:t>June 30,</w:t>
            </w:r>
          </w:p>
        </w:tc>
        <w:tc>
          <w:tcPr>
            <w:tcW w:w="8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ind w:left="520"/>
              <w:spacing w:after="0"/>
              <w:rPr>
                <w:sz w:val="20"/>
                <w:szCs w:val="20"/>
                <w:color w:val="auto"/>
              </w:rPr>
            </w:pPr>
            <w:r>
              <w:rPr>
                <w:rFonts w:ascii="Arial" w:cs="Arial" w:eastAsia="Arial" w:hAnsi="Arial"/>
                <w:sz w:val="11"/>
                <w:szCs w:val="11"/>
                <w:b w:val="1"/>
                <w:bCs w:val="1"/>
                <w:color w:val="auto"/>
                <w:w w:val="89"/>
              </w:rPr>
              <w:t>2021 over 2020</w:t>
            </w:r>
          </w:p>
        </w:tc>
        <w:tc>
          <w:tcPr>
            <w:tcW w:w="7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440" w:type="dxa"/>
            <w:vAlign w:val="bottom"/>
            <w:vMerge w:val="restart"/>
          </w:tcPr>
          <w:p>
            <w:pPr>
              <w:spacing w:after="0"/>
              <w:rPr>
                <w:sz w:val="20"/>
                <w:szCs w:val="20"/>
                <w:color w:val="auto"/>
              </w:rPr>
            </w:pPr>
            <w:r>
              <w:rPr>
                <w:rFonts w:ascii="Arial" w:cs="Arial" w:eastAsia="Arial" w:hAnsi="Arial"/>
                <w:sz w:val="11"/>
                <w:szCs w:val="11"/>
                <w:color w:val="auto"/>
              </w:rPr>
              <w:t>(in thousands, except percentages)</w:t>
            </w:r>
          </w:p>
        </w:tc>
        <w:tc>
          <w:tcPr>
            <w:tcW w:w="220" w:type="dxa"/>
            <w:vAlign w:val="bottom"/>
          </w:tcPr>
          <w:p>
            <w:pPr>
              <w:spacing w:after="0"/>
              <w:rPr>
                <w:sz w:val="8"/>
                <w:szCs w:val="8"/>
                <w:color w:val="auto"/>
              </w:rPr>
            </w:pPr>
          </w:p>
        </w:tc>
        <w:tc>
          <w:tcPr>
            <w:tcW w:w="660" w:type="dxa"/>
            <w:vAlign w:val="bottom"/>
            <w:vMerge w:val="restart"/>
          </w:tcPr>
          <w:p>
            <w:pPr>
              <w:jc w:val="right"/>
              <w:ind w:right="202"/>
              <w:spacing w:after="0"/>
              <w:rPr>
                <w:sz w:val="20"/>
                <w:szCs w:val="20"/>
                <w:color w:val="auto"/>
              </w:rPr>
            </w:pPr>
            <w:r>
              <w:rPr>
                <w:rFonts w:ascii="Arial" w:cs="Arial" w:eastAsia="Arial" w:hAnsi="Arial"/>
                <w:sz w:val="11"/>
                <w:szCs w:val="11"/>
                <w:b w:val="1"/>
                <w:bCs w:val="1"/>
                <w:color w:val="auto"/>
              </w:rPr>
              <w:t>2021</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vMerge w:val="restart"/>
          </w:tcPr>
          <w:p>
            <w:pPr>
              <w:jc w:val="right"/>
              <w:ind w:right="363"/>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jc w:val="right"/>
              <w:ind w:right="444"/>
              <w:spacing w:after="0" w:line="99"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jc w:val="right"/>
              <w:ind w:right="344"/>
              <w:spacing w:after="0" w:line="99"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vMerge w:val="restart"/>
          </w:tcPr>
          <w:p>
            <w:pPr>
              <w:jc w:val="right"/>
              <w:ind w:right="242"/>
              <w:spacing w:after="0"/>
              <w:rPr>
                <w:sz w:val="20"/>
                <w:szCs w:val="20"/>
                <w:color w:val="auto"/>
              </w:rPr>
            </w:pPr>
            <w:r>
              <w:rPr>
                <w:rFonts w:ascii="Arial" w:cs="Arial" w:eastAsia="Arial" w:hAnsi="Arial"/>
                <w:sz w:val="11"/>
                <w:szCs w:val="11"/>
                <w:b w:val="1"/>
                <w:bCs w:val="1"/>
                <w:color w:val="auto"/>
              </w:rPr>
              <w:t>2021</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vMerge w:val="restart"/>
          </w:tcPr>
          <w:p>
            <w:pPr>
              <w:jc w:val="right"/>
              <w:ind w:right="383"/>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jc w:val="right"/>
              <w:ind w:right="444"/>
              <w:spacing w:after="0" w:line="99"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jc w:val="right"/>
              <w:ind w:right="424"/>
              <w:spacing w:after="0" w:line="99"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42"/>
        </w:trPr>
        <w:tc>
          <w:tcPr>
            <w:tcW w:w="24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44"/>
              <w:spacing w:after="0"/>
              <w:rPr>
                <w:sz w:val="20"/>
                <w:szCs w:val="20"/>
                <w:color w:val="auto"/>
              </w:rPr>
            </w:pPr>
            <w:r>
              <w:rPr>
                <w:rFonts w:ascii="Arial" w:cs="Arial" w:eastAsia="Arial" w:hAnsi="Arial"/>
                <w:sz w:val="11"/>
                <w:szCs w:val="11"/>
                <w:b w:val="1"/>
                <w:bCs w:val="1"/>
                <w:color w:val="auto"/>
                <w:w w:val="89"/>
              </w:rPr>
              <w:t>Change</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184"/>
              <w:spacing w:after="0"/>
              <w:rPr>
                <w:sz w:val="20"/>
                <w:szCs w:val="20"/>
                <w:color w:val="auto"/>
              </w:rPr>
            </w:pPr>
            <w:r>
              <w:rPr>
                <w:rFonts w:ascii="Arial" w:cs="Arial" w:eastAsia="Arial" w:hAnsi="Arial"/>
                <w:sz w:val="11"/>
                <w:szCs w:val="11"/>
                <w:b w:val="1"/>
                <w:bCs w:val="1"/>
                <w:color w:val="auto"/>
                <w:w w:val="89"/>
              </w:rPr>
              <w:t>Change</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64"/>
              <w:spacing w:after="0"/>
              <w:rPr>
                <w:sz w:val="20"/>
                <w:szCs w:val="20"/>
                <w:color w:val="auto"/>
              </w:rPr>
            </w:pPr>
            <w:r>
              <w:rPr>
                <w:rFonts w:ascii="Arial" w:cs="Arial" w:eastAsia="Arial" w:hAnsi="Arial"/>
                <w:sz w:val="11"/>
                <w:szCs w:val="11"/>
                <w:b w:val="1"/>
                <w:bCs w:val="1"/>
                <w:color w:val="auto"/>
                <w:w w:val="84"/>
              </w:rPr>
              <w:t>Change</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264"/>
              <w:spacing w:after="0"/>
              <w:rPr>
                <w:sz w:val="20"/>
                <w:szCs w:val="20"/>
                <w:color w:val="auto"/>
              </w:rPr>
            </w:pPr>
            <w:r>
              <w:rPr>
                <w:rFonts w:ascii="Arial" w:cs="Arial" w:eastAsia="Arial" w:hAnsi="Arial"/>
                <w:sz w:val="11"/>
                <w:szCs w:val="11"/>
                <w:b w:val="1"/>
                <w:bCs w:val="1"/>
                <w:color w:val="auto"/>
                <w:w w:val="89"/>
              </w:rPr>
              <w:t>Change</w:t>
            </w:r>
          </w:p>
        </w:tc>
        <w:tc>
          <w:tcPr>
            <w:tcW w:w="0" w:type="dxa"/>
            <w:vAlign w:val="bottom"/>
          </w:tcPr>
          <w:p>
            <w:pPr>
              <w:spacing w:after="0"/>
              <w:rPr>
                <w:sz w:val="1"/>
                <w:szCs w:val="1"/>
                <w:color w:val="auto"/>
              </w:rPr>
            </w:pPr>
          </w:p>
        </w:tc>
      </w:tr>
      <w:tr>
        <w:trPr>
          <w:trHeight w:val="144"/>
        </w:trPr>
        <w:tc>
          <w:tcPr>
            <w:tcW w:w="2440" w:type="dxa"/>
            <w:vAlign w:val="bottom"/>
            <w:shd w:val="clear" w:color="auto" w:fill="CCEEFF"/>
          </w:tcPr>
          <w:p>
            <w:pPr>
              <w:spacing w:after="0"/>
              <w:rPr>
                <w:sz w:val="20"/>
                <w:szCs w:val="20"/>
                <w:color w:val="auto"/>
              </w:rPr>
            </w:pPr>
            <w:r>
              <w:rPr>
                <w:rFonts w:ascii="Arial" w:cs="Arial" w:eastAsia="Arial" w:hAnsi="Arial"/>
                <w:sz w:val="12"/>
                <w:szCs w:val="12"/>
                <w:color w:val="auto"/>
              </w:rPr>
              <w:t>Provision for income taxes</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23,395</w:t>
            </w: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11,859</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11,536</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97.3 %  $</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33,368</w:t>
            </w: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21,557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104"/>
              <w:spacing w:after="0"/>
              <w:rPr>
                <w:sz w:val="20"/>
                <w:szCs w:val="20"/>
                <w:color w:val="auto"/>
              </w:rPr>
            </w:pPr>
            <w:r>
              <w:rPr>
                <w:rFonts w:ascii="Arial" w:cs="Arial" w:eastAsia="Arial" w:hAnsi="Arial"/>
                <w:sz w:val="12"/>
                <w:szCs w:val="12"/>
                <w:color w:val="auto"/>
              </w:rPr>
              <w:t>11,811</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54.8 %</w:t>
            </w:r>
          </w:p>
        </w:tc>
        <w:tc>
          <w:tcPr>
            <w:tcW w:w="0" w:type="dxa"/>
            <w:vAlign w:val="bottom"/>
          </w:tcPr>
          <w:p>
            <w:pPr>
              <w:spacing w:after="0"/>
              <w:rPr>
                <w:sz w:val="1"/>
                <w:szCs w:val="1"/>
                <w:color w:val="auto"/>
              </w:rPr>
            </w:pPr>
          </w:p>
        </w:tc>
      </w:tr>
      <w:tr>
        <w:trPr>
          <w:trHeight w:val="153"/>
        </w:trPr>
        <w:tc>
          <w:tcPr>
            <w:tcW w:w="2440" w:type="dxa"/>
            <w:vAlign w:val="bottom"/>
          </w:tcPr>
          <w:p>
            <w:pPr>
              <w:spacing w:after="0"/>
              <w:rPr>
                <w:sz w:val="20"/>
                <w:szCs w:val="20"/>
                <w:color w:val="auto"/>
              </w:rPr>
            </w:pPr>
            <w:r>
              <w:rPr>
                <w:rFonts w:ascii="Arial" w:cs="Arial" w:eastAsia="Arial" w:hAnsi="Arial"/>
                <w:sz w:val="12"/>
                <w:szCs w:val="12"/>
                <w:color w:val="auto"/>
              </w:rPr>
              <w:t>Effective tax rate</w:t>
            </w:r>
          </w:p>
        </w:tc>
        <w:tc>
          <w:tcPr>
            <w:tcW w:w="22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25.9 %</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29.0 %</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27.3 %</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34.7 %</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The provision for income taxes for the three and six months ended June 30, 2021 increased $11.5 million and $11.8 million, respectively, from the comparable periods in 2020, due to an increase in income before provision for income taxes. Our effective tax rates for the three and six months ended June 30, 2021 decreased by 3.1% and 7.4%, respectively, from the comparable periods in 2020.</w:t>
      </w:r>
    </w:p>
    <w:p>
      <w:pPr>
        <w:spacing w:after="0" w:line="61"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color w:val="auto"/>
        </w:rPr>
        <w:t>In recent years, we have incurred losses in certain Canadian operations and have not recognized tax benefits related to those losses. In the first three months of 2021, certain Canadian operations with valuation allowances generated losses of approximately $5.9 million for which no tax benefit was recognized. Through June 30, 2021, these certain Canadian operations are profitable, primarily due to the employee wage subsidies received in accordance with CEWS and increased operational performance. As a result of the positive second quarter earnings related to these certain Canadian operations and therefore the absence of unbenefited tax losses relative to these Canadian operations, the Company posted an overall lower effective rate of 25.9% for the three months. Additionally, this reduction in unbenefited losses in the six months ended 2021 is also driving the 7.4% improvement in the effective tax rate when compared to 2020.</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Liquidity and Capital Resources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7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gridSpan w:val="3"/>
          </w:tcPr>
          <w:p>
            <w:pPr>
              <w:jc w:val="center"/>
              <w:ind w:left="703"/>
              <w:spacing w:after="0"/>
              <w:rPr>
                <w:sz w:val="20"/>
                <w:szCs w:val="20"/>
                <w:color w:val="auto"/>
              </w:rPr>
            </w:pPr>
            <w:r>
              <w:rPr>
                <w:rFonts w:ascii="Arial" w:cs="Arial" w:eastAsia="Arial" w:hAnsi="Arial"/>
                <w:sz w:val="11"/>
                <w:szCs w:val="11"/>
                <w:b w:val="1"/>
                <w:bCs w:val="1"/>
                <w:color w:val="auto"/>
                <w:w w:val="88"/>
              </w:rPr>
              <w:t>Six Months Ended</w:t>
            </w:r>
          </w:p>
        </w:tc>
        <w:tc>
          <w:tcPr>
            <w:tcW w:w="1180" w:type="dxa"/>
            <w:vAlign w:val="bottom"/>
          </w:tcPr>
          <w:p>
            <w:pPr>
              <w:spacing w:after="0"/>
              <w:rPr>
                <w:sz w:val="12"/>
                <w:szCs w:val="12"/>
                <w:color w:val="auto"/>
              </w:rPr>
            </w:pPr>
          </w:p>
        </w:tc>
      </w:tr>
      <w:tr>
        <w:trPr>
          <w:trHeight w:val="144"/>
        </w:trPr>
        <w:tc>
          <w:tcPr>
            <w:tcW w:w="77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3"/>
          </w:tcPr>
          <w:p>
            <w:pPr>
              <w:jc w:val="center"/>
              <w:ind w:left="683"/>
              <w:spacing w:after="0"/>
              <w:rPr>
                <w:sz w:val="20"/>
                <w:szCs w:val="20"/>
                <w:color w:val="auto"/>
              </w:rPr>
            </w:pPr>
            <w:r>
              <w:rPr>
                <w:rFonts w:ascii="Arial" w:cs="Arial" w:eastAsia="Arial" w:hAnsi="Arial"/>
                <w:sz w:val="11"/>
                <w:szCs w:val="11"/>
                <w:b w:val="1"/>
                <w:bCs w:val="1"/>
                <w:color w:val="auto"/>
                <w:w w:val="86"/>
              </w:rPr>
              <w:t>June 30,</w:t>
            </w:r>
          </w:p>
        </w:tc>
        <w:tc>
          <w:tcPr>
            <w:tcW w:w="1180" w:type="dxa"/>
            <w:vAlign w:val="bottom"/>
            <w:tcBorders>
              <w:bottom w:val="single" w:sz="8" w:color="auto"/>
            </w:tcBorders>
          </w:tcPr>
          <w:p>
            <w:pPr>
              <w:spacing w:after="0"/>
              <w:rPr>
                <w:sz w:val="12"/>
                <w:szCs w:val="12"/>
                <w:color w:val="auto"/>
              </w:rPr>
            </w:pPr>
          </w:p>
        </w:tc>
      </w:tr>
      <w:tr>
        <w:trPr>
          <w:trHeight w:val="135"/>
        </w:trPr>
        <w:tc>
          <w:tcPr>
            <w:tcW w:w="770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(in thousands)</w:t>
            </w:r>
          </w:p>
        </w:tc>
        <w:tc>
          <w:tcPr>
            <w:tcW w:w="4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723"/>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22"/>
              <w:spacing w:after="0"/>
              <w:rPr>
                <w:sz w:val="20"/>
                <w:szCs w:val="20"/>
                <w:color w:val="auto"/>
              </w:rPr>
            </w:pPr>
            <w:r>
              <w:rPr>
                <w:rFonts w:ascii="Arial" w:cs="Arial" w:eastAsia="Arial" w:hAnsi="Arial"/>
                <w:sz w:val="11"/>
                <w:szCs w:val="11"/>
                <w:b w:val="1"/>
                <w:bCs w:val="1"/>
                <w:color w:val="auto"/>
              </w:rPr>
              <w:t>2020</w:t>
            </w:r>
          </w:p>
        </w:tc>
      </w:tr>
      <w:tr>
        <w:trPr>
          <w:trHeight w:val="144"/>
        </w:trPr>
        <w:tc>
          <w:tcPr>
            <w:tcW w:w="7700" w:type="dxa"/>
            <w:vAlign w:val="bottom"/>
            <w:shd w:val="clear" w:color="auto" w:fill="CCEEFF"/>
          </w:tcPr>
          <w:p>
            <w:pPr>
              <w:spacing w:after="0"/>
              <w:rPr>
                <w:sz w:val="20"/>
                <w:szCs w:val="20"/>
                <w:color w:val="auto"/>
              </w:rPr>
            </w:pPr>
            <w:r>
              <w:rPr>
                <w:rFonts w:ascii="Arial" w:cs="Arial" w:eastAsia="Arial" w:hAnsi="Arial"/>
                <w:sz w:val="12"/>
                <w:szCs w:val="12"/>
                <w:color w:val="auto"/>
              </w:rPr>
              <w:t>Net cash from operating activities</w:t>
            </w:r>
          </w:p>
        </w:tc>
        <w:tc>
          <w:tcPr>
            <w:tcW w:w="4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265,432</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173,486</w:t>
            </w:r>
          </w:p>
        </w:tc>
      </w:tr>
      <w:tr>
        <w:trPr>
          <w:trHeight w:val="153"/>
        </w:trPr>
        <w:tc>
          <w:tcPr>
            <w:tcW w:w="7700" w:type="dxa"/>
            <w:vAlign w:val="bottom"/>
          </w:tcPr>
          <w:p>
            <w:pPr>
              <w:spacing w:after="0"/>
              <w:rPr>
                <w:sz w:val="20"/>
                <w:szCs w:val="20"/>
                <w:color w:val="auto"/>
              </w:rPr>
            </w:pPr>
            <w:r>
              <w:rPr>
                <w:rFonts w:ascii="Arial" w:cs="Arial" w:eastAsia="Arial" w:hAnsi="Arial"/>
                <w:sz w:val="12"/>
                <w:szCs w:val="12"/>
                <w:color w:val="auto"/>
              </w:rPr>
              <w:t>Net cash used in investing activities</w:t>
            </w: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(132,340)</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(141,685)</w:t>
            </w:r>
          </w:p>
        </w:tc>
      </w:tr>
      <w:tr>
        <w:trPr>
          <w:trHeight w:val="153"/>
        </w:trPr>
        <w:tc>
          <w:tcPr>
            <w:tcW w:w="770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from financing activities</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(60,534)</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47,017</w:t>
            </w:r>
          </w:p>
        </w:tc>
      </w:tr>
    </w:tbl>
    <w:p>
      <w:pPr>
        <w:spacing w:after="0" w:line="135"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Net cash from operating activities</w:t>
      </w:r>
    </w:p>
    <w:p>
      <w:pPr>
        <w:spacing w:after="0" w:line="96"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Net cash from operating activities for the six months ended June 30, 2021 was $265.4 million, an increase of $91.9 million from the comparable period in 2020. The increase in operating cash flows from the comparable period of 2020 resulted from greater levels of operating income and improved working capital management in 2021 despite a $31.0 million increase in the amount of cash taxes paid in the six months ended June 30, 2021 when compared to the six months ended June 30, 2020. This increase in cash taxes was primarily due to the deferral of federal tax payments from the second quarter of 2020 to the third quarter of 2020 as allowable under COVID relief guidance from the Internal Revenue Service in 2020.</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3" w:name="page34"/>
    <w:bookmarkEnd w:id="3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Net cash used in investing activities</w:t>
      </w:r>
    </w:p>
    <w:p>
      <w:pPr>
        <w:spacing w:after="0" w:line="96"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Net cash used in investing activities for the six months ended June 30, 2021 was $132.3 million, a decrease of $9.3 million from the comparable period in 2020. The decrease in net cash used in investing activities was most notably due to a $33.7 million reduction in capital expenditure levels in 2021. Capital expenditures for the six months ended June 30, 2020 included the $21.1 million nonrecurring purchase of our corporate headquarters. Offsetting this decrease in capital expenditures is an increase of $14.1 million in cash paid for acquisitions and a reduction of $7.8 million in proceeds from the sale of businesses.</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Net cash (used in) from financing activities</w:t>
      </w:r>
    </w:p>
    <w:p>
      <w:pPr>
        <w:spacing w:after="0" w:line="105" w:lineRule="exact"/>
        <w:rPr>
          <w:sz w:val="20"/>
          <w:szCs w:val="20"/>
          <w:color w:val="auto"/>
        </w:rPr>
      </w:pPr>
    </w:p>
    <w:p>
      <w:pPr>
        <w:ind w:right="120" w:firstLine="432"/>
        <w:spacing w:after="0" w:line="263" w:lineRule="auto"/>
        <w:rPr>
          <w:sz w:val="20"/>
          <w:szCs w:val="20"/>
          <w:color w:val="auto"/>
        </w:rPr>
      </w:pPr>
      <w:r>
        <w:rPr>
          <w:rFonts w:ascii="Arial" w:cs="Arial" w:eastAsia="Arial" w:hAnsi="Arial"/>
          <w:sz w:val="12"/>
          <w:szCs w:val="12"/>
          <w:color w:val="auto"/>
        </w:rPr>
        <w:t>Net cash used in financing activities for the six months ended June 30, 2021 was $60.5 million, compared to net cash from financing activities of $47.0 million for the comparable period in 2020. This decrease of $107.6 million was mostly due to $75.0 million of net borrowings from our revolving credit facility during the first six months of 2020 and an increase in repurchases of common stock of $28.1 million during the first six months of 2021. For additional information regarding our financing activities, see Note 11, "Financing Arrangements," to the accompanying unaudited consolidated financial statements.</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Adjusted Free Cash Flow</w:t>
      </w:r>
    </w:p>
    <w:p>
      <w:pPr>
        <w:spacing w:after="0" w:line="105" w:lineRule="exact"/>
        <w:rPr>
          <w:sz w:val="20"/>
          <w:szCs w:val="20"/>
          <w:color w:val="auto"/>
        </w:rPr>
      </w:pPr>
    </w:p>
    <w:p>
      <w:pPr>
        <w:ind w:right="60" w:firstLine="432"/>
        <w:spacing w:after="0" w:line="255" w:lineRule="auto"/>
        <w:rPr>
          <w:sz w:val="20"/>
          <w:szCs w:val="20"/>
          <w:color w:val="auto"/>
        </w:rPr>
      </w:pPr>
      <w:r>
        <w:rPr>
          <w:rFonts w:ascii="Arial" w:cs="Arial" w:eastAsia="Arial" w:hAnsi="Arial"/>
          <w:sz w:val="12"/>
          <w:szCs w:val="12"/>
          <w:color w:val="auto"/>
        </w:rPr>
        <w:t>Management considers adjusted free cash flow to be a measurement of liquidity which provides useful information to both management, creditors and investors about our financial strength and our ability to generate cash. Additionally, adjusted free cash flow is a metric on which a portion of management incentive compensation is based. We define adjusted free cash flow as net cash from operating activities, less additions to property, plant and equipment plus proceeds from sales or disposals of fixed assets. We exclude cash impacts of items derived from non-operating activities such as taxes paid in connection with divestitures and have also excluded cash paid in connection with the purchase of our corporate headquarters and certain capital improvements to the site as these expenditures are considered one-time in nature. Adjusted free cash flow should not be considered an alternative to net cash from operating activities or other measurements under GAAP. Adjusted free cash flow is not calculated identically by all companies, and therefore our measurements of adjusted free cash flow may not be comparable to similarly titled measures reported by other companies.</w:t>
      </w:r>
    </w:p>
    <w:p>
      <w:pPr>
        <w:spacing w:after="0" w:line="8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is a reconciliation of net cash from operating activities to adjusted free cash flow for the following periods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8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20" w:type="dxa"/>
            <w:vAlign w:val="bottom"/>
            <w:gridSpan w:val="3"/>
          </w:tcPr>
          <w:p>
            <w:pPr>
              <w:jc w:val="right"/>
              <w:ind w:right="72"/>
              <w:spacing w:after="0"/>
              <w:rPr>
                <w:sz w:val="20"/>
                <w:szCs w:val="20"/>
                <w:color w:val="auto"/>
              </w:rPr>
            </w:pPr>
            <w:r>
              <w:rPr>
                <w:rFonts w:ascii="Arial" w:cs="Arial" w:eastAsia="Arial" w:hAnsi="Arial"/>
                <w:sz w:val="11"/>
                <w:szCs w:val="11"/>
                <w:b w:val="1"/>
                <w:bCs w:val="1"/>
                <w:color w:val="auto"/>
              </w:rPr>
              <w:t>Six Months Ended</w:t>
            </w:r>
          </w:p>
        </w:tc>
        <w:tc>
          <w:tcPr>
            <w:tcW w:w="940" w:type="dxa"/>
            <w:vAlign w:val="bottom"/>
          </w:tcPr>
          <w:p>
            <w:pPr>
              <w:spacing w:after="0"/>
              <w:rPr>
                <w:sz w:val="12"/>
                <w:szCs w:val="12"/>
                <w:color w:val="auto"/>
              </w:rPr>
            </w:pPr>
          </w:p>
        </w:tc>
      </w:tr>
      <w:tr>
        <w:trPr>
          <w:trHeight w:val="146"/>
        </w:trPr>
        <w:tc>
          <w:tcPr>
            <w:tcW w:w="832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1"/>
                <w:szCs w:val="11"/>
                <w:b w:val="1"/>
                <w:bCs w:val="1"/>
                <w:color w:val="auto"/>
              </w:rPr>
              <w:t>June 30,</w:t>
            </w:r>
          </w:p>
        </w:tc>
        <w:tc>
          <w:tcPr>
            <w:tcW w:w="940" w:type="dxa"/>
            <w:vAlign w:val="bottom"/>
            <w:tcBorders>
              <w:bottom w:val="single" w:sz="8" w:color="auto"/>
            </w:tcBorders>
          </w:tcPr>
          <w:p>
            <w:pPr>
              <w:spacing w:after="0"/>
              <w:rPr>
                <w:sz w:val="12"/>
                <w:szCs w:val="12"/>
                <w:color w:val="auto"/>
              </w:rPr>
            </w:pPr>
          </w:p>
        </w:tc>
      </w:tr>
      <w:tr>
        <w:trPr>
          <w:trHeight w:val="133"/>
        </w:trPr>
        <w:tc>
          <w:tcPr>
            <w:tcW w:w="832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61"/>
              <w:spacing w:after="0"/>
              <w:rPr>
                <w:sz w:val="20"/>
                <w:szCs w:val="20"/>
                <w:color w:val="auto"/>
              </w:rPr>
            </w:pPr>
            <w:r>
              <w:rPr>
                <w:rFonts w:ascii="Arial" w:cs="Arial" w:eastAsia="Arial" w:hAnsi="Arial"/>
                <w:sz w:val="11"/>
                <w:szCs w:val="11"/>
                <w:b w:val="1"/>
                <w:bCs w:val="1"/>
                <w:color w:val="auto"/>
              </w:rPr>
              <w:t>2020</w:t>
            </w:r>
          </w:p>
        </w:tc>
      </w:tr>
      <w:tr>
        <w:trPr>
          <w:trHeight w:val="144"/>
        </w:trPr>
        <w:tc>
          <w:tcPr>
            <w:tcW w:w="8320" w:type="dxa"/>
            <w:vAlign w:val="bottom"/>
            <w:shd w:val="clear" w:color="auto" w:fill="CCEEFF"/>
          </w:tcPr>
          <w:p>
            <w:pPr>
              <w:spacing w:after="0"/>
              <w:rPr>
                <w:sz w:val="20"/>
                <w:szCs w:val="20"/>
                <w:color w:val="auto"/>
              </w:rPr>
            </w:pPr>
            <w:r>
              <w:rPr>
                <w:rFonts w:ascii="Arial" w:cs="Arial" w:eastAsia="Arial" w:hAnsi="Arial"/>
                <w:sz w:val="12"/>
                <w:szCs w:val="12"/>
                <w:color w:val="auto"/>
              </w:rPr>
              <w:t>Net cash from operating activities</w:t>
            </w:r>
          </w:p>
        </w:tc>
        <w:tc>
          <w:tcPr>
            <w:tcW w:w="920" w:type="dxa"/>
            <w:vAlign w:val="bottom"/>
            <w:shd w:val="clear" w:color="auto" w:fill="CCEEFF"/>
          </w:tcPr>
          <w:p>
            <w:pPr>
              <w:jc w:val="right"/>
              <w:ind w:right="782"/>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265,432</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173,486</w:t>
            </w:r>
          </w:p>
        </w:tc>
      </w:tr>
      <w:tr>
        <w:trPr>
          <w:trHeight w:val="153"/>
        </w:trPr>
        <w:tc>
          <w:tcPr>
            <w:tcW w:w="8320" w:type="dxa"/>
            <w:vAlign w:val="bottom"/>
          </w:tcPr>
          <w:p>
            <w:pPr>
              <w:spacing w:after="0"/>
              <w:rPr>
                <w:sz w:val="20"/>
                <w:szCs w:val="20"/>
                <w:color w:val="auto"/>
              </w:rPr>
            </w:pPr>
            <w:r>
              <w:rPr>
                <w:rFonts w:ascii="Arial" w:cs="Arial" w:eastAsia="Arial" w:hAnsi="Arial"/>
                <w:sz w:val="12"/>
                <w:szCs w:val="12"/>
                <w:color w:val="auto"/>
              </w:rPr>
              <w:t>Additions to property, plant and equipment</w:t>
            </w:r>
          </w:p>
        </w:tc>
        <w:tc>
          <w:tcPr>
            <w:tcW w:w="9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(91,988)</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(125,721)</w:t>
            </w:r>
          </w:p>
        </w:tc>
      </w:tr>
      <w:tr>
        <w:trPr>
          <w:trHeight w:val="153"/>
        </w:trPr>
        <w:tc>
          <w:tcPr>
            <w:tcW w:w="8320" w:type="dxa"/>
            <w:vAlign w:val="bottom"/>
            <w:shd w:val="clear" w:color="auto" w:fill="CCEEFF"/>
          </w:tcPr>
          <w:p>
            <w:pPr>
              <w:spacing w:after="0"/>
              <w:rPr>
                <w:sz w:val="20"/>
                <w:szCs w:val="20"/>
                <w:color w:val="auto"/>
              </w:rPr>
            </w:pPr>
            <w:r>
              <w:rPr>
                <w:rFonts w:ascii="Arial" w:cs="Arial" w:eastAsia="Arial" w:hAnsi="Arial"/>
                <w:sz w:val="12"/>
                <w:szCs w:val="12"/>
                <w:color w:val="auto"/>
              </w:rPr>
              <w:t>Purchase and capital improvements of corporate headquarters</w:t>
            </w:r>
          </w:p>
        </w:tc>
        <w:tc>
          <w:tcPr>
            <w:tcW w:w="9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21,080</w:t>
            </w:r>
          </w:p>
        </w:tc>
      </w:tr>
      <w:tr>
        <w:trPr>
          <w:trHeight w:val="153"/>
        </w:trPr>
        <w:tc>
          <w:tcPr>
            <w:tcW w:w="83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Proceeds from sale and disposal of fixed assets</w:t>
            </w:r>
          </w:p>
        </w:tc>
        <w:tc>
          <w:tcPr>
            <w:tcW w:w="9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3,479</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3,101</w:t>
            </w:r>
          </w:p>
        </w:tc>
      </w:tr>
      <w:tr>
        <w:trPr>
          <w:trHeight w:val="158"/>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Adjusted free cash flow</w:t>
            </w:r>
          </w:p>
        </w:tc>
        <w:tc>
          <w:tcPr>
            <w:tcW w:w="92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176,923</w:t>
            </w: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71,946</w:t>
            </w:r>
          </w:p>
        </w:tc>
      </w:tr>
    </w:tbl>
    <w:p>
      <w:pPr>
        <w:spacing w:after="0" w:line="135"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Summary of Capital Resources including Financing Arrangements</w:t>
      </w:r>
    </w:p>
    <w:p>
      <w:pPr>
        <w:spacing w:after="0" w:line="96" w:lineRule="exact"/>
        <w:rPr>
          <w:sz w:val="20"/>
          <w:szCs w:val="20"/>
          <w:color w:val="auto"/>
        </w:rPr>
      </w:pPr>
    </w:p>
    <w:p>
      <w:pPr>
        <w:ind w:right="200" w:firstLine="432"/>
        <w:spacing w:after="0" w:line="326" w:lineRule="auto"/>
        <w:rPr>
          <w:sz w:val="20"/>
          <w:szCs w:val="20"/>
          <w:color w:val="auto"/>
        </w:rPr>
      </w:pPr>
      <w:r>
        <w:rPr>
          <w:rFonts w:ascii="Arial" w:cs="Arial" w:eastAsia="Arial" w:hAnsi="Arial"/>
          <w:sz w:val="10"/>
          <w:szCs w:val="10"/>
          <w:color w:val="auto"/>
        </w:rPr>
        <w:t>At June 30, 2021, cash and cash equivalents and marketable securities totaled $666.3 million, compared to $571.0 million at December 31, 2020. At June 30, 2021, cash and cash equivalents held by our foreign subsidiaries totaled $135.5 million. The cash and cash equivalents and marketable securities balance for our U.S. operations was $530.8 million at June 30, 2021, and our U.S. operations had net operating cash flows of $268.0 million for the six months ended June 30, 2021. Additionally, we have a $400.0 million revolving credit facility of which, as of June 30, 2021, approximately $287.3 million was available to borrow and letters of credit under the credit facility in the amount of $112.7 million were outstanding. Based on the above and on our current plans, we believe that our operations have and will continue to have adequate financial resources to satisfy current liquidity needs.</w:t>
      </w:r>
    </w:p>
    <w:p>
      <w:pPr>
        <w:spacing w:after="0" w:line="50" w:lineRule="exact"/>
        <w:rPr>
          <w:sz w:val="20"/>
          <w:szCs w:val="20"/>
          <w:color w:val="auto"/>
        </w:rPr>
      </w:pPr>
    </w:p>
    <w:p>
      <w:pPr>
        <w:ind w:firstLine="432"/>
        <w:spacing w:after="0" w:line="289" w:lineRule="auto"/>
        <w:rPr>
          <w:sz w:val="20"/>
          <w:szCs w:val="20"/>
          <w:color w:val="auto"/>
        </w:rPr>
      </w:pPr>
      <w:r>
        <w:rPr>
          <w:rFonts w:ascii="Arial" w:cs="Arial" w:eastAsia="Arial" w:hAnsi="Arial"/>
          <w:sz w:val="11"/>
          <w:szCs w:val="11"/>
          <w:color w:val="auto"/>
        </w:rPr>
        <w:t>Financing arrangements are discussed in Note 11, “Financing Arrangements,” to our unaudited consolidated financial statements included in this report. We assess our liquidity in terms of our ability to generate cash to fund our operating, investing and financing activities. Our primary ongoing cash requirements will be to fund operations, capital expenditures, interest payments and investments in line with our business strategy. We believe our future operating cash flows will be sufficient to meet our future operating and internal investing cash needs. Furthermore, our existing cash balance and the availability of borrowings under our revolving credit facility provide additional potential sources of liquidity should they be required. We continue to monitor our debt instruments and evaluate opportunities where it may be beneficial to refinance or reallocate the portfolio.</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4" w:name="page35"/>
    <w:bookmarkEnd w:id="3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80" w:firstLine="432"/>
        <w:spacing w:after="0" w:line="259" w:lineRule="auto"/>
        <w:rPr>
          <w:sz w:val="20"/>
          <w:szCs w:val="20"/>
          <w:color w:val="auto"/>
        </w:rPr>
      </w:pPr>
      <w:r>
        <w:rPr>
          <w:rFonts w:ascii="Arial" w:cs="Arial" w:eastAsia="Arial" w:hAnsi="Arial"/>
          <w:sz w:val="12"/>
          <w:szCs w:val="12"/>
          <w:color w:val="auto"/>
        </w:rPr>
        <w:t>On August 3, 2021, we signed a definitive agreement to acquire HydroChemPSC, a leading U.S. provider of industrial cleaning, specialty maintenance and utility services, for $1.25 billion. We expect to fund the HPC Acquisition with cash on hand and long-term debt and as such we contemporaneously entered into a commitment letter with Goldman Sachs Bank USA to borrow up to $1.0 billion of term loan debt to fund the HPC Acquisition. We anticipate that our future cash flows provided by operating activities will provide the necessary funds on a short and long term basis to meet our operating cash requirements, including servicing the incremental debt used to fund the HPC Acquisition.</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June 30, 2021, we were in compliance with the covenants of all our debt agreements, and we believe it is reasonably likely that we will continue to meet such covenants.</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Common Stock Repurchases Pursuant to Publicly Announced Plan</w:t>
      </w:r>
    </w:p>
    <w:p>
      <w:pPr>
        <w:spacing w:after="0" w:line="10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2"/>
          <w:szCs w:val="12"/>
          <w:color w:val="auto"/>
        </w:rPr>
        <w:t>The Company's common stock repurchases are made pursuant to the previously authorized board approved plan to repurchase up to $600.0 million of the Company's common stock. During the three and six months ended June 30, 2021 the Company repurchased and retired a total of approximately 0.2 million and 0.5 million, respectively, of the Company's common stock for total expenditures of approximately $18.9 million and $45.4 million, respectively. During the three months ended June 30, 2020, the Company did not repurchase any shares of its common stock. During the six months ended June 30, 2020, the Company repurchased and retired a total of approximately 0.3 million of the Company's common stock for total costs of approximately $17.3 million.</w:t>
      </w:r>
    </w:p>
    <w:p>
      <w:pPr>
        <w:spacing w:after="0" w:line="70"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Through June 30, 2021, the Company has repurchased and retired a total of approximately 7.6 million shares of its common stock for approximately $435.6 million under this program. As of June 30, 2021, an additional $164.4 million remained available for repurchase of shares under this program.</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Environmental Liabilities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100" w:type="dxa"/>
            <w:vAlign w:val="bottom"/>
          </w:tcPr>
          <w:p>
            <w:pPr>
              <w:spacing w:after="0"/>
              <w:rPr>
                <w:sz w:val="20"/>
                <w:szCs w:val="20"/>
                <w:color w:val="auto"/>
              </w:rPr>
            </w:pPr>
            <w:r>
              <w:rPr>
                <w:rFonts w:ascii="Arial" w:cs="Arial" w:eastAsia="Arial" w:hAnsi="Arial"/>
                <w:sz w:val="11"/>
                <w:szCs w:val="11"/>
                <w:color w:val="auto"/>
              </w:rPr>
              <w:t>(in thousands, except percentages)</w:t>
            </w:r>
          </w:p>
        </w:tc>
        <w:tc>
          <w:tcPr>
            <w:tcW w:w="300" w:type="dxa"/>
            <w:vAlign w:val="bottom"/>
          </w:tcPr>
          <w:p>
            <w:pPr>
              <w:spacing w:after="0"/>
              <w:rPr>
                <w:sz w:val="12"/>
                <w:szCs w:val="12"/>
                <w:color w:val="auto"/>
              </w:rPr>
            </w:pPr>
          </w:p>
        </w:tc>
        <w:tc>
          <w:tcPr>
            <w:tcW w:w="1480" w:type="dxa"/>
            <w:vAlign w:val="bottom"/>
            <w:gridSpan w:val="2"/>
          </w:tcPr>
          <w:p>
            <w:pPr>
              <w:ind w:left="240"/>
              <w:spacing w:after="0"/>
              <w:rPr>
                <w:sz w:val="20"/>
                <w:szCs w:val="20"/>
                <w:color w:val="auto"/>
              </w:rPr>
            </w:pPr>
            <w:r>
              <w:rPr>
                <w:rFonts w:ascii="Arial" w:cs="Arial" w:eastAsia="Arial" w:hAnsi="Arial"/>
                <w:sz w:val="11"/>
                <w:szCs w:val="11"/>
                <w:b w:val="1"/>
                <w:bCs w:val="1"/>
                <w:color w:val="auto"/>
              </w:rPr>
              <w:t>June 30, 2021</w:t>
            </w:r>
          </w:p>
        </w:tc>
        <w:tc>
          <w:tcPr>
            <w:tcW w:w="260" w:type="dxa"/>
            <w:vAlign w:val="bottom"/>
          </w:tcPr>
          <w:p>
            <w:pPr>
              <w:spacing w:after="0"/>
              <w:rPr>
                <w:sz w:val="12"/>
                <w:szCs w:val="12"/>
                <w:color w:val="auto"/>
              </w:rPr>
            </w:pPr>
          </w:p>
        </w:tc>
        <w:tc>
          <w:tcPr>
            <w:tcW w:w="1540" w:type="dxa"/>
            <w:vAlign w:val="bottom"/>
            <w:gridSpan w:val="2"/>
          </w:tcPr>
          <w:p>
            <w:pPr>
              <w:ind w:left="160"/>
              <w:spacing w:after="0"/>
              <w:rPr>
                <w:sz w:val="20"/>
                <w:szCs w:val="20"/>
                <w:color w:val="auto"/>
              </w:rPr>
            </w:pPr>
            <w:r>
              <w:rPr>
                <w:rFonts w:ascii="Arial" w:cs="Arial" w:eastAsia="Arial" w:hAnsi="Arial"/>
                <w:sz w:val="11"/>
                <w:szCs w:val="11"/>
                <w:b w:val="1"/>
                <w:bCs w:val="1"/>
                <w:color w:val="auto"/>
              </w:rPr>
              <w:t>December 31, 2020</w:t>
            </w:r>
          </w:p>
        </w:tc>
        <w:tc>
          <w:tcPr>
            <w:tcW w:w="380" w:type="dxa"/>
            <w:vAlign w:val="bottom"/>
          </w:tcPr>
          <w:p>
            <w:pPr>
              <w:spacing w:after="0"/>
              <w:rPr>
                <w:sz w:val="12"/>
                <w:szCs w:val="12"/>
                <w:color w:val="auto"/>
              </w:rPr>
            </w:pPr>
          </w:p>
        </w:tc>
        <w:tc>
          <w:tcPr>
            <w:tcW w:w="1420" w:type="dxa"/>
            <w:vAlign w:val="bottom"/>
            <w:gridSpan w:val="2"/>
          </w:tcPr>
          <w:p>
            <w:pPr>
              <w:ind w:left="300"/>
              <w:spacing w:after="0"/>
              <w:rPr>
                <w:sz w:val="20"/>
                <w:szCs w:val="20"/>
                <w:color w:val="auto"/>
              </w:rPr>
            </w:pPr>
            <w:r>
              <w:rPr>
                <w:rFonts w:ascii="Arial" w:cs="Arial" w:eastAsia="Arial" w:hAnsi="Arial"/>
                <w:sz w:val="11"/>
                <w:szCs w:val="11"/>
                <w:b w:val="1"/>
                <w:bCs w:val="1"/>
                <w:color w:val="auto"/>
              </w:rPr>
              <w:t>Change</w:t>
            </w:r>
          </w:p>
        </w:tc>
        <w:tc>
          <w:tcPr>
            <w:tcW w:w="1820" w:type="dxa"/>
            <w:vAlign w:val="bottom"/>
          </w:tcPr>
          <w:p>
            <w:pPr>
              <w:jc w:val="right"/>
              <w:ind w:right="602"/>
              <w:spacing w:after="0"/>
              <w:rPr>
                <w:sz w:val="20"/>
                <w:szCs w:val="20"/>
                <w:color w:val="auto"/>
              </w:rPr>
            </w:pPr>
            <w:r>
              <w:rPr>
                <w:rFonts w:ascii="Arial" w:cs="Arial" w:eastAsia="Arial" w:hAnsi="Arial"/>
                <w:sz w:val="11"/>
                <w:szCs w:val="11"/>
                <w:b w:val="1"/>
                <w:bCs w:val="1"/>
                <w:color w:val="auto"/>
              </w:rPr>
              <w:t>% Change</w:t>
            </w:r>
          </w:p>
        </w:tc>
      </w:tr>
      <w:tr>
        <w:trPr>
          <w:trHeight w:val="144"/>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Closure and post-closure liabilities</w:t>
            </w:r>
          </w:p>
        </w:tc>
        <w:tc>
          <w:tcPr>
            <w:tcW w:w="300" w:type="dxa"/>
            <w:vAlign w:val="bottom"/>
            <w:tcBorders>
              <w:top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93,494</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4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87,926</w:t>
            </w:r>
          </w:p>
        </w:tc>
        <w:tc>
          <w:tcPr>
            <w:tcW w:w="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340" w:type="dxa"/>
            <w:vAlign w:val="bottom"/>
            <w:tcBorders>
              <w:top w:val="single" w:sz="8" w:color="auto"/>
            </w:tcBorders>
            <w:shd w:val="clear" w:color="auto" w:fill="CCEEFF"/>
          </w:tcPr>
          <w:p>
            <w:pPr>
              <w:jc w:val="center"/>
              <w:ind w:left="902"/>
              <w:spacing w:after="0"/>
              <w:rPr>
                <w:sz w:val="20"/>
                <w:szCs w:val="20"/>
                <w:color w:val="auto"/>
              </w:rPr>
            </w:pPr>
            <w:r>
              <w:rPr>
                <w:rFonts w:ascii="Arial" w:cs="Arial" w:eastAsia="Arial" w:hAnsi="Arial"/>
                <w:sz w:val="12"/>
                <w:szCs w:val="12"/>
                <w:color w:val="auto"/>
                <w:w w:val="86"/>
              </w:rPr>
              <w:t>5,568</w:t>
            </w:r>
          </w:p>
        </w:tc>
        <w:tc>
          <w:tcPr>
            <w:tcW w:w="80" w:type="dxa"/>
            <w:vAlign w:val="bottom"/>
            <w:tcBorders>
              <w:top w:val="single" w:sz="8" w:color="CCEEFF"/>
            </w:tcBorders>
            <w:shd w:val="clear" w:color="auto" w:fill="CCEEFF"/>
          </w:tcPr>
          <w:p>
            <w:pPr>
              <w:spacing w:after="0"/>
              <w:rPr>
                <w:sz w:val="12"/>
                <w:szCs w:val="12"/>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6.3 %</w:t>
            </w:r>
          </w:p>
        </w:tc>
      </w:tr>
      <w:tr>
        <w:trPr>
          <w:trHeight w:val="153"/>
        </w:trPr>
        <w:tc>
          <w:tcPr>
            <w:tcW w:w="41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Remedial liabilities</w:t>
            </w:r>
          </w:p>
        </w:tc>
        <w:tc>
          <w:tcPr>
            <w:tcW w:w="3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112,454</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114,813</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left="882"/>
              <w:spacing w:after="0"/>
              <w:rPr>
                <w:sz w:val="20"/>
                <w:szCs w:val="20"/>
                <w:color w:val="auto"/>
              </w:rPr>
            </w:pPr>
            <w:r>
              <w:rPr>
                <w:rFonts w:ascii="Arial" w:cs="Arial" w:eastAsia="Arial" w:hAnsi="Arial"/>
                <w:sz w:val="12"/>
                <w:szCs w:val="12"/>
                <w:color w:val="auto"/>
                <w:w w:val="94"/>
              </w:rPr>
              <w:t>(2,359)</w:t>
            </w:r>
          </w:p>
        </w:tc>
        <w:tc>
          <w:tcPr>
            <w:tcW w:w="80" w:type="dxa"/>
            <w:vAlign w:val="bottom"/>
            <w:tcBorders>
              <w:bottom w:val="single" w:sz="8" w:color="CCEEFF"/>
            </w:tcBorders>
          </w:tcPr>
          <w:p>
            <w:pPr>
              <w:spacing w:after="0"/>
              <w:rPr>
                <w:sz w:val="13"/>
                <w:szCs w:val="13"/>
                <w:color w:val="auto"/>
              </w:rPr>
            </w:pPr>
          </w:p>
        </w:tc>
        <w:tc>
          <w:tcPr>
            <w:tcW w:w="18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(2.1)</w:t>
            </w:r>
          </w:p>
        </w:tc>
      </w:tr>
      <w:tr>
        <w:trPr>
          <w:trHeight w:val="158"/>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environmental liabilities</w:t>
            </w: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205,948</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202,739</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shd w:val="clear" w:color="auto" w:fill="CCEEFF"/>
          </w:tcPr>
          <w:p>
            <w:pPr>
              <w:jc w:val="center"/>
              <w:ind w:left="902"/>
              <w:spacing w:after="0"/>
              <w:rPr>
                <w:sz w:val="20"/>
                <w:szCs w:val="20"/>
                <w:color w:val="auto"/>
              </w:rPr>
            </w:pPr>
            <w:r>
              <w:rPr>
                <w:rFonts w:ascii="Arial" w:cs="Arial" w:eastAsia="Arial" w:hAnsi="Arial"/>
                <w:sz w:val="12"/>
                <w:szCs w:val="12"/>
                <w:color w:val="auto"/>
                <w:w w:val="86"/>
              </w:rPr>
              <w:t>3,209</w:t>
            </w:r>
          </w:p>
        </w:tc>
        <w:tc>
          <w:tcPr>
            <w:tcW w:w="8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1.6 %</w:t>
            </w:r>
          </w:p>
        </w:tc>
      </w:tr>
    </w:tbl>
    <w:p>
      <w:pPr>
        <w:spacing w:after="0" w:line="135" w:lineRule="exact"/>
        <w:rPr>
          <w:sz w:val="20"/>
          <w:szCs w:val="20"/>
          <w:color w:val="auto"/>
        </w:rPr>
      </w:pPr>
    </w:p>
    <w:p>
      <w:pPr>
        <w:ind w:right="380" w:firstLine="432"/>
        <w:spacing w:after="0" w:line="276" w:lineRule="auto"/>
        <w:rPr>
          <w:sz w:val="20"/>
          <w:szCs w:val="20"/>
          <w:color w:val="auto"/>
        </w:rPr>
      </w:pPr>
      <w:r>
        <w:rPr>
          <w:rFonts w:ascii="Arial" w:cs="Arial" w:eastAsia="Arial" w:hAnsi="Arial"/>
          <w:sz w:val="12"/>
          <w:szCs w:val="12"/>
          <w:color w:val="auto"/>
        </w:rPr>
        <w:t>Total environmental liabilities as of June 30, 2021 were $205.9 million, an increase of $3.2 million compared to December 31, 2020, primarily due to accretion of $5.8 million, new liabilities, including those assumed in acquisitions, of $1.8 million and changes in estimates recorded to the consolidated balance sheet of $1.1 million, partially offset by expenditures of $6.6 million.</w:t>
      </w:r>
    </w:p>
    <w:p>
      <w:pPr>
        <w:spacing w:after="0" w:line="61" w:lineRule="exact"/>
        <w:rPr>
          <w:sz w:val="20"/>
          <w:szCs w:val="20"/>
          <w:color w:val="auto"/>
        </w:rPr>
      </w:pPr>
    </w:p>
    <w:p>
      <w:pPr>
        <w:jc w:val="both"/>
        <w:ind w:right="60" w:firstLine="432"/>
        <w:spacing w:after="0" w:line="340" w:lineRule="auto"/>
        <w:rPr>
          <w:sz w:val="20"/>
          <w:szCs w:val="20"/>
          <w:color w:val="auto"/>
        </w:rPr>
      </w:pPr>
      <w:r>
        <w:rPr>
          <w:rFonts w:ascii="Arial" w:cs="Arial" w:eastAsia="Arial" w:hAnsi="Arial"/>
          <w:sz w:val="10"/>
          <w:szCs w:val="10"/>
          <w:color w:val="auto"/>
        </w:rPr>
        <w:t>We anticipate our environmental liabilities, substantially all of which we assumed in connection with our acquisitions, will be payable over many years and that cash flow from operations will generally be sufficient to fund the payment of such liabilities when required. Events not anticipated (such as future changes in environmental laws and regulations) could require that such payments be made earlier or in greater amounts than currently anticipated, which could adversely affect our results of operations, cash flow and financial condition. Conversely, the development of new treatment technologies or other circumstances may arise in the future which may reduce amounts ultimately paid.</w:t>
      </w:r>
    </w:p>
    <w:p>
      <w:pPr>
        <w:spacing w:after="0" w:line="42"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Capital Expenditures</w:t>
      </w:r>
    </w:p>
    <w:p>
      <w:pPr>
        <w:spacing w:after="0" w:line="105" w:lineRule="exact"/>
        <w:rPr>
          <w:sz w:val="20"/>
          <w:szCs w:val="20"/>
          <w:color w:val="auto"/>
        </w:rPr>
      </w:pPr>
    </w:p>
    <w:p>
      <w:pPr>
        <w:ind w:right="80" w:firstLine="432"/>
        <w:spacing w:after="0" w:line="256" w:lineRule="auto"/>
        <w:rPr>
          <w:sz w:val="20"/>
          <w:szCs w:val="20"/>
          <w:color w:val="auto"/>
        </w:rPr>
      </w:pPr>
      <w:r>
        <w:rPr>
          <w:rFonts w:ascii="Arial" w:cs="Arial" w:eastAsia="Arial" w:hAnsi="Arial"/>
          <w:sz w:val="12"/>
          <w:szCs w:val="12"/>
          <w:color w:val="auto"/>
        </w:rPr>
        <w:t>Capital expenditures in the first six months of 2021 were $92.0 million as compared to $125.7 million in the same period of 2020. This decrease was primarily due to the nonrecurring purchase of our corporate headquarters in January of 2020. We anticipate that 2021 capital spending, net of disposals, will be in the range of $190.0 million to $210.0 million. We are currently in the process of permitting a new incinerator at our Kimball, Nebraska facility, which we intend to construct with an estimated completion date in early 2025. We are endeavoring upon this project in response to continued increasing demand for disposal outlets of regulated waste materials and we expect the new incinerator to have an annual practical capacity of approximately 70,000 tons. Unanticipated changes in environmental regulations could require us to make significant capital expenditures for our facilities and adversely affect our results of operations and cash flow.</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36" w:lineRule="exact"/>
        <w:rPr>
          <w:sz w:val="20"/>
          <w:szCs w:val="20"/>
          <w:color w:val="auto"/>
        </w:rPr>
      </w:pPr>
    </w:p>
    <w:p>
      <w:pPr>
        <w:ind w:right="40" w:firstLine="432"/>
        <w:spacing w:after="0" w:line="276" w:lineRule="auto"/>
        <w:rPr>
          <w:sz w:val="20"/>
          <w:szCs w:val="20"/>
          <w:color w:val="auto"/>
        </w:rPr>
      </w:pPr>
      <w:r>
        <w:rPr>
          <w:rFonts w:ascii="Arial" w:cs="Arial" w:eastAsia="Arial" w:hAnsi="Arial"/>
          <w:sz w:val="12"/>
          <w:szCs w:val="12"/>
          <w:color w:val="auto"/>
        </w:rPr>
        <w:t>Other than as described below, there were no material changes in the first six months of 2021 to the information provided under the heading “Critical Accounting Policies and Estimates” included in our Annual Report on Form 10-K for the year ended December 31, 2020.</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5" w:name="page36"/>
    <w:bookmarkEnd w:id="3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ind w:right="60" w:firstLine="432"/>
        <w:spacing w:after="0" w:line="263" w:lineRule="auto"/>
        <w:rPr>
          <w:sz w:val="20"/>
          <w:szCs w:val="20"/>
          <w:color w:val="auto"/>
        </w:rPr>
      </w:pPr>
      <w:r>
        <w:rPr>
          <w:rFonts w:ascii="Arial" w:cs="Arial" w:eastAsia="Arial" w:hAnsi="Arial"/>
          <w:sz w:val="12"/>
          <w:szCs w:val="12"/>
          <w:i w:val="1"/>
          <w:iCs w:val="1"/>
          <w:color w:val="auto"/>
        </w:rPr>
        <w:t xml:space="preserve">Goodwill. </w:t>
      </w:r>
      <w:r>
        <w:rPr>
          <w:rFonts w:ascii="Arial" w:cs="Arial" w:eastAsia="Arial" w:hAnsi="Arial"/>
          <w:sz w:val="12"/>
          <w:szCs w:val="12"/>
          <w:color w:val="auto"/>
        </w:rPr>
        <w:t>Goodwill is reviewed for impairment annually as of December 31 or when events or changes in the business environment indicate the carrying value of a reporting unit may exceed its fair value. This review is</w:t>
      </w:r>
      <w:r>
        <w:rPr>
          <w:rFonts w:ascii="Arial" w:cs="Arial" w:eastAsia="Arial" w:hAnsi="Arial"/>
          <w:sz w:val="12"/>
          <w:szCs w:val="12"/>
          <w:i w:val="1"/>
          <w:iCs w:val="1"/>
          <w:color w:val="auto"/>
        </w:rPr>
        <w:t xml:space="preserve"> </w:t>
      </w:r>
      <w:r>
        <w:rPr>
          <w:rFonts w:ascii="Arial" w:cs="Arial" w:eastAsia="Arial" w:hAnsi="Arial"/>
          <w:sz w:val="12"/>
          <w:szCs w:val="12"/>
          <w:color w:val="auto"/>
        </w:rPr>
        <w:t>performed by comparing the fair value of each reporting unit to its carrying value, including goodwill. If the fair value is less than the carrying amount, a loss is recorded for the excess of the carrying value over the fair value up to the carrying amount of goodwill.</w:t>
      </w:r>
    </w:p>
    <w:p>
      <w:pPr>
        <w:spacing w:after="0" w:line="77" w:lineRule="exact"/>
        <w:rPr>
          <w:sz w:val="20"/>
          <w:szCs w:val="20"/>
          <w:color w:val="auto"/>
        </w:rPr>
      </w:pPr>
    </w:p>
    <w:p>
      <w:pPr>
        <w:ind w:firstLine="432"/>
        <w:spacing w:after="0" w:line="280" w:lineRule="auto"/>
        <w:rPr>
          <w:sz w:val="20"/>
          <w:szCs w:val="20"/>
          <w:color w:val="auto"/>
        </w:rPr>
      </w:pPr>
      <w:r>
        <w:rPr>
          <w:rFonts w:ascii="Arial" w:cs="Arial" w:eastAsia="Arial" w:hAnsi="Arial"/>
          <w:sz w:val="11"/>
          <w:szCs w:val="11"/>
          <w:color w:val="auto"/>
        </w:rPr>
        <w:t>We conducted our annual impairment test of goodwill for all of our reporting units to which goodwill is allocated as of December 31, 2020 and determined that no adjustment to the carrying value of goodwill for any reporting unit was then necessary. As a result of changes in our organizational structure and resulting change in our operating segments discussed above, we concluded that, for purposes of reviewing for potential goodwill impairment, we now have three reporting units. The Environmental Services operating segment has two reporting units consisting of (i) Environmental Sales and Service which includes the legacy Environmental Sales and Service reporting unit and certain operations previously included within Safety-Kleen Environmental Services including the core service offerings of containerized waste, parts washer and vacuum services and (ii) Environmental Facilities, unchanged from prior year. The Safety-Kleen Sustainability Solutions operating segment is a single reporting unit which includes the legacy Safety-Kleen Oil reporting unit and the remaining operations of the legacy Safety-Kleen Environmental Services reporting unit primarily consisting of collection services for waste oil, anti-freeze and used oil filters as well as the sale of bulk blended re-refined oil and other automotive related finished fluid products. The Company allocated goodwill to the newly identified reporting units using a relative fair value approach. In addition, the Company completed an assessment of any potential goodwill impairment for all reporting units immediately prior and subsequent to the reallocation and determined that no impairment existed.</w:t>
      </w:r>
    </w:p>
    <w:p>
      <w:pPr>
        <w:spacing w:after="0" w:line="129"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3.</w:t>
        <w:tab/>
        <w:t>QUANTITATIVE AND QUALITATIVE DISCLOSURES ABOUT MARKET RISK</w:t>
      </w:r>
    </w:p>
    <w:p>
      <w:pPr>
        <w:spacing w:after="0" w:line="100"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There were no material changes in the first six months of 2021 to the information provided under Item 7A. “Quantitative and Qualitative Disclosures about Market Risk” in the Company's Annual Report on Form 10-K for the year ended December 31, 2020.</w:t>
      </w:r>
    </w:p>
    <w:p>
      <w:pPr>
        <w:spacing w:after="0" w:line="66"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1"/>
          <w:szCs w:val="11"/>
          <w:b w:val="1"/>
          <w:bCs w:val="1"/>
          <w:color w:val="auto"/>
        </w:rPr>
        <w:t>CONTROLS AND PROCEDURES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Evaluation of Disclosure Controls and Procedures</w:t>
      </w:r>
    </w:p>
    <w:p>
      <w:pPr>
        <w:spacing w:after="0" w:line="100" w:lineRule="exact"/>
        <w:rPr>
          <w:sz w:val="20"/>
          <w:szCs w:val="20"/>
          <w:color w:val="auto"/>
        </w:rPr>
      </w:pPr>
    </w:p>
    <w:p>
      <w:pPr>
        <w:ind w:right="40" w:firstLine="432"/>
        <w:spacing w:after="0" w:line="256" w:lineRule="auto"/>
        <w:rPr>
          <w:sz w:val="20"/>
          <w:szCs w:val="20"/>
          <w:color w:val="auto"/>
        </w:rPr>
      </w:pPr>
      <w:r>
        <w:rPr>
          <w:rFonts w:ascii="Arial" w:cs="Arial" w:eastAsia="Arial" w:hAnsi="Arial"/>
          <w:sz w:val="12"/>
          <w:szCs w:val="12"/>
          <w:color w:val="auto"/>
        </w:rPr>
        <w:t>Based on an evaluation under the supervision and with the participation of our Chief Executive Officer and Chief Financial Officer, as of the end of the period covered by this Quarterly Report on Form 10-Q, our Chief Executive Officer and Chief Financial Officer have concluded that our disclosure controls and procedures (as defined under Rule 13a-15(e) and 15d-15(e) under the Securities Exchange Act of 1934, as amended (the “Exchange Act”)) were effective as of June 30, 2021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109"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color w:val="auto"/>
        </w:rPr>
        <w:t>There were no changes in the Company's internal control over financial reporting identified in connection with the evaluation required by paragraph (d) of Exchange Act Rules 13a-15 or 15d-15 that was conducted during the six months ended June 30, 2021 that have materially affected, or are reasonably likely to materially affect, the Company’s internal control over financial reporting.</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31" w:right="359" w:bottom="1440" w:gutter="0" w:footer="0" w:header="0"/>
        </w:sectPr>
      </w:pPr>
    </w:p>
    <w:bookmarkStart w:id="36" w:name="page37"/>
    <w:bookmarkEnd w:id="3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CLEAN HARBORS, INC. AND SUBSIDIARIES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II—OTHER INFORMATION</w:t>
      </w:r>
    </w:p>
    <w:p>
      <w:pPr>
        <w:spacing w:after="0" w:line="96"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11"/>
          <w:szCs w:val="11"/>
          <w:b w:val="1"/>
          <w:bCs w:val="1"/>
          <w:color w:val="auto"/>
        </w:rPr>
        <w:t>LEGAL PROCEEDINGS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See Note 16, “Commitments and Contingencies,” to the unaudited consolidated financial statements included in Item 1 of this report, which description is incorporated herein by reference.</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1"/>
          <w:szCs w:val="11"/>
          <w:color w:val="auto"/>
        </w:rPr>
        <w:t>In light of signing a definitive agreement to acquire HydroChemPSC ("HPC"), the following supplements and updates Item 1A in the Company's Annual Report on Form 10-K for the year ended December 31, 2020.</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Proposed Acquisition of HydroChemPSC</w:t>
      </w:r>
    </w:p>
    <w:p>
      <w:pPr>
        <w:spacing w:after="0" w:line="109" w:lineRule="exact"/>
        <w:rPr>
          <w:sz w:val="20"/>
          <w:szCs w:val="20"/>
          <w:color w:val="auto"/>
        </w:rPr>
      </w:pPr>
    </w:p>
    <w:p>
      <w:pPr>
        <w:ind w:right="260"/>
        <w:spacing w:after="0" w:line="263" w:lineRule="auto"/>
        <w:rPr>
          <w:sz w:val="20"/>
          <w:szCs w:val="20"/>
          <w:color w:val="auto"/>
        </w:rPr>
      </w:pPr>
      <w:r>
        <w:rPr>
          <w:rFonts w:ascii="Arial" w:cs="Arial" w:eastAsia="Arial" w:hAnsi="Arial"/>
          <w:sz w:val="12"/>
          <w:szCs w:val="12"/>
          <w:b w:val="1"/>
          <w:bCs w:val="1"/>
          <w:i w:val="1"/>
          <w:iCs w:val="1"/>
          <w:color w:val="auto"/>
        </w:rPr>
        <w:t>The proposed acquisition of HydroChemPSC ("HPC Acquisition") is subject to conditions, some of which are outside of the control of the Company. We cannot assure that the proposed HPC Acquisition will be completed or completed on a timely basis primarily due to the required government approval of this transaction. Failure to complete the HPC Acquisition, or complete it in a timely manner, could have material adverse effects on Clean Harbors.</w:t>
      </w:r>
    </w:p>
    <w:p>
      <w:pPr>
        <w:spacing w:after="0" w:line="77" w:lineRule="exact"/>
        <w:rPr>
          <w:sz w:val="20"/>
          <w:szCs w:val="20"/>
          <w:color w:val="auto"/>
        </w:rPr>
      </w:pPr>
    </w:p>
    <w:p>
      <w:pPr>
        <w:ind w:right="100" w:firstLine="432"/>
        <w:spacing w:after="0" w:line="255" w:lineRule="auto"/>
        <w:rPr>
          <w:sz w:val="20"/>
          <w:szCs w:val="20"/>
          <w:color w:val="auto"/>
        </w:rPr>
      </w:pPr>
      <w:r>
        <w:rPr>
          <w:rFonts w:ascii="Arial" w:cs="Arial" w:eastAsia="Arial" w:hAnsi="Arial"/>
          <w:sz w:val="12"/>
          <w:szCs w:val="12"/>
          <w:color w:val="auto"/>
        </w:rPr>
        <w:t>On August 3, 2021, we entered into a definitive agreement to acquire HydroChemPSC for cash consideration in an amount equal to $1.25 billion, subject to customary purchase price adjustments. We anticipate that the acquisition will close later in 2021. Consummation of the HPC Acquisition will be subject to certain conditions, including, among others, expiration or termination of the applicable Hart-Scott-Rodino antitrust waiting period, the absence of any order, injunction, or other judgment by any governmental authority of competent jurisdiction, and the accuracy of the representations and warranties of the parties. We cannot assure you that the required conditions will be met or that the proposed HPC Acquisition will be completed. In connection with the required approvals, circumstances could arise which would require divestiture of certain assets of HPC, Clean Harbors or some combination thereof. Additionally, in certain circumstances, conditions could arise which may result in the Company paying a termination fee of $50 million. Potential divestitures or termination fees could impact the cash flows and results of operations of the Company.</w:t>
      </w:r>
    </w:p>
    <w:p>
      <w:pPr>
        <w:spacing w:after="0" w:line="74" w:lineRule="exact"/>
        <w:rPr>
          <w:sz w:val="20"/>
          <w:szCs w:val="20"/>
          <w:color w:val="auto"/>
        </w:rPr>
      </w:pPr>
    </w:p>
    <w:p>
      <w:pPr>
        <w:jc w:val="both"/>
        <w:ind w:right="100" w:firstLine="432"/>
        <w:spacing w:after="0" w:line="259" w:lineRule="auto"/>
        <w:rPr>
          <w:sz w:val="20"/>
          <w:szCs w:val="20"/>
          <w:color w:val="auto"/>
        </w:rPr>
      </w:pPr>
      <w:r>
        <w:rPr>
          <w:rFonts w:ascii="Arial" w:cs="Arial" w:eastAsia="Arial" w:hAnsi="Arial"/>
          <w:sz w:val="12"/>
          <w:szCs w:val="12"/>
          <w:color w:val="auto"/>
        </w:rPr>
        <w:t>In connection with our plan to finance a portion of the purchase price above the amount of available cash we plan to use, we will be subject to capital market risks until the closing of the HPC Acquisition-related financing. In addition, we must pay costs related to the HPC Acquisition, including, among others, legal, accounting and financial advisory fees, as well as fees and expenses with respect to the financing commitment we have obtained, whether or not the HPC Acquisition is completed. We also could be subject to litigation related to the failure to complete the HPC Acquisition. These costs, which could increase if the HPC Acquisition is not completed in a timely manner on the conditions discussed above, could have a significant impact on the cash flows and results of operations.</w:t>
      </w: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UNREGISTERED SALES OF EQUITY SECURITIES AND USE OF PROCEEDS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Common Stock Repurchase Program</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provides information with respect to the shares of common stock repurchased by us for the periods indicated.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1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8"/>
              </w:rPr>
              <w:t>Total Number of Shares Purchased</w:t>
            </w:r>
          </w:p>
        </w:tc>
        <w:tc>
          <w:tcPr>
            <w:tcW w:w="100" w:type="dxa"/>
            <w:vAlign w:val="bottom"/>
          </w:tcPr>
          <w:p>
            <w:pPr>
              <w:spacing w:after="0"/>
              <w:rPr>
                <w:sz w:val="10"/>
                <w:szCs w:val="10"/>
                <w:color w:val="auto"/>
              </w:rPr>
            </w:pPr>
          </w:p>
        </w:tc>
        <w:tc>
          <w:tcPr>
            <w:tcW w:w="2000" w:type="dxa"/>
            <w:vAlign w:val="bottom"/>
            <w:gridSpan w:val="2"/>
          </w:tcPr>
          <w:p>
            <w:pPr>
              <w:jc w:val="center"/>
              <w:spacing w:after="0"/>
              <w:rPr>
                <w:sz w:val="20"/>
                <w:szCs w:val="20"/>
                <w:color w:val="auto"/>
              </w:rPr>
            </w:pPr>
            <w:r>
              <w:rPr>
                <w:rFonts w:ascii="Arial" w:cs="Arial" w:eastAsia="Arial" w:hAnsi="Arial"/>
                <w:sz w:val="11"/>
                <w:szCs w:val="11"/>
                <w:b w:val="1"/>
                <w:bCs w:val="1"/>
                <w:color w:val="auto"/>
                <w:w w:val="89"/>
              </w:rPr>
              <w:t>Approximate Dollar Value of Shares that</w:t>
            </w:r>
          </w:p>
        </w:tc>
        <w:tc>
          <w:tcPr>
            <w:tcW w:w="0" w:type="dxa"/>
            <w:vAlign w:val="bottom"/>
          </w:tcPr>
          <w:p>
            <w:pPr>
              <w:spacing w:after="0"/>
              <w:rPr>
                <w:sz w:val="1"/>
                <w:szCs w:val="1"/>
                <w:color w:val="auto"/>
              </w:rPr>
            </w:pPr>
          </w:p>
        </w:tc>
      </w:tr>
      <w:tr>
        <w:trPr>
          <w:trHeight w:val="108"/>
        </w:trPr>
        <w:tc>
          <w:tcPr>
            <w:tcW w:w="4160" w:type="dxa"/>
            <w:vAlign w:val="bottom"/>
          </w:tcPr>
          <w:p>
            <w:pPr>
              <w:spacing w:after="0"/>
              <w:rPr>
                <w:sz w:val="9"/>
                <w:szCs w:val="9"/>
                <w:color w:val="auto"/>
              </w:rPr>
            </w:pPr>
          </w:p>
        </w:tc>
        <w:tc>
          <w:tcPr>
            <w:tcW w:w="1520" w:type="dxa"/>
            <w:vAlign w:val="bottom"/>
            <w:vMerge w:val="restart"/>
          </w:tcPr>
          <w:p>
            <w:pPr>
              <w:jc w:val="right"/>
              <w:ind w:right="142"/>
              <w:spacing w:after="0"/>
              <w:rPr>
                <w:sz w:val="20"/>
                <w:szCs w:val="20"/>
                <w:color w:val="auto"/>
              </w:rPr>
            </w:pPr>
            <w:r>
              <w:rPr>
                <w:rFonts w:ascii="Arial" w:cs="Arial" w:eastAsia="Arial" w:hAnsi="Arial"/>
                <w:sz w:val="11"/>
                <w:szCs w:val="11"/>
                <w:b w:val="1"/>
                <w:bCs w:val="1"/>
                <w:color w:val="auto"/>
              </w:rPr>
              <w:t>Total Number of Shares</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88"/>
              </w:rPr>
              <w:t>May Yet Be Purchased Under the Plans or</w:t>
            </w:r>
          </w:p>
        </w:tc>
        <w:tc>
          <w:tcPr>
            <w:tcW w:w="0" w:type="dxa"/>
            <w:vAlign w:val="bottom"/>
          </w:tcPr>
          <w:p>
            <w:pPr>
              <w:spacing w:after="0"/>
              <w:rPr>
                <w:sz w:val="1"/>
                <w:szCs w:val="1"/>
                <w:color w:val="auto"/>
              </w:rPr>
            </w:pPr>
          </w:p>
        </w:tc>
      </w:tr>
      <w:tr>
        <w:trPr>
          <w:trHeight w:val="108"/>
        </w:trPr>
        <w:tc>
          <w:tcPr>
            <w:tcW w:w="4160" w:type="dxa"/>
            <w:vAlign w:val="bottom"/>
            <w:vMerge w:val="restart"/>
          </w:tcPr>
          <w:p>
            <w:pPr>
              <w:ind w:left="1920"/>
              <w:spacing w:after="0"/>
              <w:rPr>
                <w:sz w:val="20"/>
                <w:szCs w:val="20"/>
                <w:color w:val="auto"/>
              </w:rPr>
            </w:pPr>
            <w:r>
              <w:rPr>
                <w:rFonts w:ascii="Arial" w:cs="Arial" w:eastAsia="Arial" w:hAnsi="Arial"/>
                <w:sz w:val="11"/>
                <w:szCs w:val="11"/>
                <w:b w:val="1"/>
                <w:bCs w:val="1"/>
                <w:color w:val="auto"/>
              </w:rPr>
              <w:t>Period</w:t>
            </w:r>
          </w:p>
        </w:tc>
        <w:tc>
          <w:tcPr>
            <w:tcW w:w="1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vMerge w:val="restart"/>
          </w:tcPr>
          <w:p>
            <w:pPr>
              <w:jc w:val="right"/>
              <w:ind w:right="41"/>
              <w:spacing w:after="0"/>
              <w:rPr>
                <w:sz w:val="20"/>
                <w:szCs w:val="20"/>
                <w:color w:val="auto"/>
              </w:rPr>
            </w:pPr>
            <w:r>
              <w:rPr>
                <w:rFonts w:ascii="Arial" w:cs="Arial" w:eastAsia="Arial" w:hAnsi="Arial"/>
                <w:sz w:val="11"/>
                <w:szCs w:val="11"/>
                <w:b w:val="1"/>
                <w:bCs w:val="1"/>
                <w:color w:val="auto"/>
                <w:w w:val="86"/>
              </w:rPr>
              <w:t xml:space="preserve">Average Price Paid Per Share </w:t>
            </w:r>
            <w:r>
              <w:rPr>
                <w:rFonts w:ascii="Arial" w:cs="Arial" w:eastAsia="Arial" w:hAnsi="Arial"/>
                <w:sz w:val="14"/>
                <w:szCs w:val="14"/>
                <w:color w:val="auto"/>
                <w:w w:val="86"/>
                <w:vertAlign w:val="superscript"/>
              </w:rPr>
              <w:t>(2)</w:t>
            </w:r>
          </w:p>
        </w:tc>
        <w:tc>
          <w:tcPr>
            <w:tcW w:w="80" w:type="dxa"/>
            <w:vAlign w:val="bottom"/>
            <w:vMerge w:val="restart"/>
          </w:tcPr>
          <w:p>
            <w:pPr>
              <w:spacing w:after="0"/>
              <w:rPr>
                <w:sz w:val="9"/>
                <w:szCs w:val="9"/>
                <w:color w:val="auto"/>
              </w:rPr>
            </w:pPr>
          </w:p>
        </w:tc>
        <w:tc>
          <w:tcPr>
            <w:tcW w:w="16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8"/>
              </w:rPr>
              <w:t>as Part of Publicly Announced</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60" w:type="dxa"/>
            <w:vAlign w:val="bottom"/>
          </w:tcPr>
          <w:p>
            <w:pPr>
              <w:jc w:val="center"/>
              <w:ind w:right="302"/>
              <w:spacing w:after="0" w:line="108" w:lineRule="exact"/>
              <w:rPr>
                <w:sz w:val="20"/>
                <w:szCs w:val="20"/>
                <w:color w:val="auto"/>
              </w:rPr>
            </w:pPr>
            <w:r>
              <w:rPr>
                <w:rFonts w:ascii="Arial" w:cs="Arial" w:eastAsia="Arial" w:hAnsi="Arial"/>
                <w:sz w:val="11"/>
                <w:szCs w:val="11"/>
                <w:b w:val="1"/>
                <w:bCs w:val="1"/>
                <w:color w:val="auto"/>
                <w:w w:val="89"/>
              </w:rPr>
              <w:t>Programs</w:t>
            </w:r>
          </w:p>
        </w:tc>
        <w:tc>
          <w:tcPr>
            <w:tcW w:w="0" w:type="dxa"/>
            <w:vAlign w:val="bottom"/>
          </w:tcPr>
          <w:p>
            <w:pPr>
              <w:spacing w:after="0"/>
              <w:rPr>
                <w:sz w:val="1"/>
                <w:szCs w:val="1"/>
                <w:color w:val="auto"/>
              </w:rPr>
            </w:pPr>
          </w:p>
        </w:tc>
      </w:tr>
      <w:tr>
        <w:trPr>
          <w:trHeight w:val="144"/>
        </w:trPr>
        <w:tc>
          <w:tcPr>
            <w:tcW w:w="4160" w:type="dxa"/>
            <w:vAlign w:val="bottom"/>
            <w:tcBorders>
              <w:bottom w:val="single" w:sz="8" w:color="auto"/>
            </w:tcBorders>
            <w:vMerge w:val="continue"/>
          </w:tcPr>
          <w:p>
            <w:pPr>
              <w:spacing w:after="0"/>
              <w:rPr>
                <w:sz w:val="12"/>
                <w:szCs w:val="12"/>
                <w:color w:val="auto"/>
              </w:rPr>
            </w:pPr>
          </w:p>
        </w:tc>
        <w:tc>
          <w:tcPr>
            <w:tcW w:w="1520" w:type="dxa"/>
            <w:vAlign w:val="bottom"/>
            <w:tcBorders>
              <w:bottom w:val="single" w:sz="8" w:color="auto"/>
            </w:tcBorders>
          </w:tcPr>
          <w:p>
            <w:pPr>
              <w:jc w:val="right"/>
              <w:ind w:right="402"/>
              <w:spacing w:after="0" w:line="144" w:lineRule="exact"/>
              <w:rPr>
                <w:sz w:val="20"/>
                <w:szCs w:val="20"/>
                <w:color w:val="auto"/>
              </w:rPr>
            </w:pPr>
            <w:r>
              <w:rPr>
                <w:rFonts w:ascii="Arial" w:cs="Arial" w:eastAsia="Arial" w:hAnsi="Arial"/>
                <w:sz w:val="11"/>
                <w:szCs w:val="11"/>
                <w:b w:val="1"/>
                <w:bCs w:val="1"/>
                <w:color w:val="auto"/>
              </w:rPr>
              <w:t xml:space="preserve">Purchased </w:t>
            </w:r>
            <w:r>
              <w:rPr>
                <w:rFonts w:ascii="Arial" w:cs="Arial" w:eastAsia="Arial" w:hAnsi="Arial"/>
                <w:sz w:val="14"/>
                <w:szCs w:val="14"/>
                <w:color w:val="auto"/>
                <w:vertAlign w:val="superscript"/>
              </w:rPr>
              <w:t>(1)</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Plans or Programs</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center"/>
              <w:ind w:right="282"/>
              <w:spacing w:after="0" w:line="144" w:lineRule="exact"/>
              <w:rPr>
                <w:sz w:val="20"/>
                <w:szCs w:val="20"/>
                <w:color w:val="auto"/>
              </w:rPr>
            </w:pPr>
            <w:r>
              <w:rPr>
                <w:rFonts w:ascii="Arial" w:cs="Arial" w:eastAsia="Arial" w:hAnsi="Arial"/>
                <w:sz w:val="11"/>
                <w:szCs w:val="11"/>
                <w:b w:val="1"/>
                <w:bCs w:val="1"/>
                <w:color w:val="auto"/>
                <w:w w:val="84"/>
              </w:rPr>
              <w:t xml:space="preserve">(in thousands) </w:t>
            </w:r>
            <w:r>
              <w:rPr>
                <w:rFonts w:ascii="Arial" w:cs="Arial" w:eastAsia="Arial" w:hAnsi="Arial"/>
                <w:sz w:val="14"/>
                <w:szCs w:val="14"/>
                <w:color w:val="auto"/>
                <w:w w:val="84"/>
                <w:vertAlign w:val="superscript"/>
              </w:rPr>
              <w:t>(3)</w:t>
            </w:r>
          </w:p>
        </w:tc>
        <w:tc>
          <w:tcPr>
            <w:tcW w:w="0" w:type="dxa"/>
            <w:vAlign w:val="bottom"/>
          </w:tcPr>
          <w:p>
            <w:pPr>
              <w:spacing w:after="0"/>
              <w:rPr>
                <w:sz w:val="1"/>
                <w:szCs w:val="1"/>
                <w:color w:val="auto"/>
              </w:rPr>
            </w:pPr>
          </w:p>
        </w:tc>
      </w:tr>
      <w:tr>
        <w:trPr>
          <w:trHeight w:val="142"/>
        </w:trPr>
        <w:tc>
          <w:tcPr>
            <w:tcW w:w="4160" w:type="dxa"/>
            <w:vAlign w:val="bottom"/>
            <w:shd w:val="clear" w:color="auto" w:fill="CCEEFF"/>
          </w:tcPr>
          <w:p>
            <w:pPr>
              <w:spacing w:after="0"/>
              <w:rPr>
                <w:sz w:val="20"/>
                <w:szCs w:val="20"/>
                <w:color w:val="auto"/>
              </w:rPr>
            </w:pPr>
            <w:r>
              <w:rPr>
                <w:rFonts w:ascii="Arial" w:cs="Arial" w:eastAsia="Arial" w:hAnsi="Arial"/>
                <w:sz w:val="12"/>
                <w:szCs w:val="12"/>
                <w:color w:val="auto"/>
              </w:rPr>
              <w:t>April 1, 2021 through April 30, 2021</w:t>
            </w: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6,951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86.15</w:t>
            </w:r>
          </w:p>
        </w:tc>
        <w:tc>
          <w:tcPr>
            <w:tcW w:w="80" w:type="dxa"/>
            <w:vAlign w:val="bottom"/>
            <w:shd w:val="clear" w:color="auto" w:fill="CCEEFF"/>
          </w:tcPr>
          <w:p>
            <w:pPr>
              <w:spacing w:after="0"/>
              <w:rPr>
                <w:sz w:val="12"/>
                <w:szCs w:val="1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226"/>
              <w:spacing w:after="0"/>
              <w:rPr>
                <w:sz w:val="20"/>
                <w:szCs w:val="20"/>
                <w:color w:val="auto"/>
              </w:rPr>
            </w:pPr>
            <w:r>
              <w:rPr>
                <w:rFonts w:ascii="Arial" w:cs="Arial" w:eastAsia="Arial" w:hAnsi="Arial"/>
                <w:sz w:val="12"/>
                <w:szCs w:val="12"/>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183,306</w:t>
            </w:r>
          </w:p>
        </w:tc>
        <w:tc>
          <w:tcPr>
            <w:tcW w:w="0" w:type="dxa"/>
            <w:vAlign w:val="bottom"/>
          </w:tcPr>
          <w:p>
            <w:pPr>
              <w:spacing w:after="0"/>
              <w:rPr>
                <w:sz w:val="1"/>
                <w:szCs w:val="1"/>
                <w:color w:val="auto"/>
              </w:rPr>
            </w:pPr>
          </w:p>
        </w:tc>
      </w:tr>
      <w:tr>
        <w:trPr>
          <w:trHeight w:val="153"/>
        </w:trPr>
        <w:tc>
          <w:tcPr>
            <w:tcW w:w="4160" w:type="dxa"/>
            <w:vAlign w:val="bottom"/>
          </w:tcPr>
          <w:p>
            <w:pPr>
              <w:spacing w:after="0"/>
              <w:rPr>
                <w:sz w:val="20"/>
                <w:szCs w:val="20"/>
                <w:color w:val="auto"/>
              </w:rPr>
            </w:pPr>
            <w:r>
              <w:rPr>
                <w:rFonts w:ascii="Arial" w:cs="Arial" w:eastAsia="Arial" w:hAnsi="Arial"/>
                <w:sz w:val="12"/>
                <w:szCs w:val="12"/>
                <w:color w:val="auto"/>
              </w:rPr>
              <w:t>May 1, 2021 through May 31, 2021</w:t>
            </w:r>
          </w:p>
        </w:tc>
        <w:tc>
          <w:tcPr>
            <w:tcW w:w="1520" w:type="dxa"/>
            <w:vAlign w:val="bottom"/>
          </w:tcPr>
          <w:p>
            <w:pPr>
              <w:jc w:val="right"/>
              <w:spacing w:after="0"/>
              <w:rPr>
                <w:sz w:val="20"/>
                <w:szCs w:val="20"/>
                <w:color w:val="auto"/>
              </w:rPr>
            </w:pPr>
            <w:r>
              <w:rPr>
                <w:rFonts w:ascii="Arial" w:cs="Arial" w:eastAsia="Arial" w:hAnsi="Arial"/>
                <w:sz w:val="12"/>
                <w:szCs w:val="12"/>
                <w:color w:val="auto"/>
              </w:rPr>
              <w:t>242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jc w:val="right"/>
              <w:ind w:right="1"/>
              <w:spacing w:after="0"/>
              <w:rPr>
                <w:sz w:val="20"/>
                <w:szCs w:val="20"/>
                <w:color w:val="auto"/>
              </w:rPr>
            </w:pPr>
            <w:r>
              <w:rPr>
                <w:rFonts w:ascii="Arial" w:cs="Arial" w:eastAsia="Arial" w:hAnsi="Arial"/>
                <w:sz w:val="12"/>
                <w:szCs w:val="12"/>
                <w:color w:val="auto"/>
              </w:rPr>
              <w:t>88.96</w:t>
            </w:r>
          </w:p>
        </w:tc>
        <w:tc>
          <w:tcPr>
            <w:tcW w:w="8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auto"/>
              </w:rPr>
              <w:t>183,306</w:t>
            </w:r>
          </w:p>
        </w:tc>
        <w:tc>
          <w:tcPr>
            <w:tcW w:w="0" w:type="dxa"/>
            <w:vAlign w:val="bottom"/>
          </w:tcPr>
          <w:p>
            <w:pPr>
              <w:spacing w:after="0"/>
              <w:rPr>
                <w:sz w:val="1"/>
                <w:szCs w:val="1"/>
                <w:color w:val="auto"/>
              </w:rPr>
            </w:pPr>
          </w:p>
        </w:tc>
      </w:tr>
      <w:tr>
        <w:trPr>
          <w:trHeight w:val="153"/>
        </w:trPr>
        <w:tc>
          <w:tcPr>
            <w:tcW w:w="4160" w:type="dxa"/>
            <w:vAlign w:val="bottom"/>
            <w:shd w:val="clear" w:color="auto" w:fill="CCEEFF"/>
          </w:tcPr>
          <w:p>
            <w:pPr>
              <w:spacing w:after="0"/>
              <w:rPr>
                <w:sz w:val="20"/>
                <w:szCs w:val="20"/>
                <w:color w:val="auto"/>
              </w:rPr>
            </w:pPr>
            <w:r>
              <w:rPr>
                <w:rFonts w:ascii="Arial" w:cs="Arial" w:eastAsia="Arial" w:hAnsi="Arial"/>
                <w:sz w:val="12"/>
                <w:szCs w:val="12"/>
                <w:color w:val="auto"/>
              </w:rPr>
              <w:t>June 1, 2021 through June 30,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204,243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94.32</w:t>
            </w:r>
          </w:p>
        </w:tc>
        <w:tc>
          <w:tcPr>
            <w:tcW w:w="80" w:type="dxa"/>
            <w:vAlign w:val="bottom"/>
            <w:shd w:val="clear" w:color="auto" w:fill="CCEEFF"/>
          </w:tcPr>
          <w:p>
            <w:pPr>
              <w:spacing w:after="0"/>
              <w:rPr>
                <w:sz w:val="13"/>
                <w:szCs w:val="1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200,000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164,442</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20"/>
                <w:szCs w:val="20"/>
                <w:color w:val="auto"/>
              </w:rPr>
            </w:pPr>
            <w:r>
              <w:rPr>
                <w:rFonts w:ascii="Arial" w:cs="Arial" w:eastAsia="Arial" w:hAnsi="Arial"/>
                <w:sz w:val="12"/>
                <w:szCs w:val="12"/>
                <w:color w:val="auto"/>
              </w:rPr>
              <w:t>Total</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211,436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jc w:val="right"/>
              <w:ind w:right="1"/>
              <w:spacing w:after="0"/>
              <w:rPr>
                <w:sz w:val="20"/>
                <w:szCs w:val="20"/>
                <w:color w:val="auto"/>
              </w:rPr>
            </w:pPr>
            <w:r>
              <w:rPr>
                <w:rFonts w:ascii="Arial" w:cs="Arial" w:eastAsia="Arial" w:hAnsi="Arial"/>
                <w:sz w:val="12"/>
                <w:szCs w:val="12"/>
                <w:color w:val="auto"/>
              </w:rPr>
              <w:t>94.04</w:t>
            </w:r>
          </w:p>
        </w:tc>
        <w:tc>
          <w:tcPr>
            <w:tcW w:w="80" w:type="dxa"/>
            <w:vAlign w:val="bottom"/>
          </w:tcPr>
          <w:p>
            <w:pPr>
              <w:spacing w:after="0"/>
              <w:rPr>
                <w:sz w:val="12"/>
                <w:szCs w:val="1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200,000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w:t>
      </w:r>
    </w:p>
    <w:p>
      <w:pPr>
        <w:spacing w:after="0" w:line="105" w:lineRule="exact"/>
        <w:rPr>
          <w:sz w:val="20"/>
          <w:szCs w:val="20"/>
          <w:color w:val="auto"/>
        </w:rPr>
      </w:pPr>
    </w:p>
    <w:p>
      <w:pPr>
        <w:ind w:left="460" w:hanging="252"/>
        <w:spacing w:after="0"/>
        <w:tabs>
          <w:tab w:leader="none" w:pos="460" w:val="left"/>
        </w:tabs>
        <w:numPr>
          <w:ilvl w:val="0"/>
          <w:numId w:val="6"/>
        </w:numPr>
        <w:rPr>
          <w:rFonts w:ascii="Arial" w:cs="Arial" w:eastAsia="Arial" w:hAnsi="Arial"/>
          <w:sz w:val="12"/>
          <w:szCs w:val="12"/>
          <w:color w:val="auto"/>
        </w:rPr>
      </w:pPr>
      <w:r>
        <w:rPr>
          <w:rFonts w:ascii="Arial" w:cs="Arial" w:eastAsia="Arial" w:hAnsi="Arial"/>
          <w:sz w:val="12"/>
          <w:szCs w:val="12"/>
          <w:color w:val="auto"/>
        </w:rPr>
        <w:t>Includes 11,436 shares withheld by us from employees to satisfy employee tax obligations upon vesting of restricted stock granted to our employees under the Company's equity incentive plans.</w:t>
      </w:r>
    </w:p>
    <w:p>
      <w:pPr>
        <w:spacing w:after="0" w:line="200" w:lineRule="exact"/>
        <w:rPr>
          <w:rFonts w:ascii="Arial" w:cs="Arial" w:eastAsia="Arial" w:hAnsi="Arial"/>
          <w:sz w:val="12"/>
          <w:szCs w:val="12"/>
          <w:color w:val="auto"/>
        </w:rPr>
      </w:pPr>
    </w:p>
    <w:p>
      <w:pPr>
        <w:spacing w:after="0" w:line="310" w:lineRule="exact"/>
        <w:rPr>
          <w:rFonts w:ascii="Arial" w:cs="Arial" w:eastAsia="Arial" w:hAnsi="Arial"/>
          <w:sz w:val="12"/>
          <w:szCs w:val="12"/>
          <w:color w:val="auto"/>
        </w:rPr>
      </w:pPr>
    </w:p>
    <w:p>
      <w:pPr>
        <w:ind w:left="5580"/>
        <w:spacing w:after="0"/>
        <w:rPr>
          <w:rFonts w:ascii="Arial" w:cs="Arial" w:eastAsia="Arial" w:hAnsi="Arial"/>
          <w:sz w:val="12"/>
          <w:szCs w:val="12"/>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7" w:name="page38"/>
    <w:bookmarkEnd w:id="3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0" w:lineRule="exact"/>
        <w:rPr>
          <w:sz w:val="20"/>
          <w:szCs w:val="20"/>
          <w:color w:val="auto"/>
        </w:rPr>
      </w:pPr>
    </w:p>
    <w:p>
      <w:pPr>
        <w:ind w:left="460" w:hanging="252"/>
        <w:spacing w:after="0"/>
        <w:tabs>
          <w:tab w:leader="none" w:pos="460"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average price paid per share of common stock repurchased under the stock repurchase program includes the commissions paid to brokers.</w:t>
      </w:r>
    </w:p>
    <w:p>
      <w:pPr>
        <w:spacing w:after="0" w:line="14" w:lineRule="exact"/>
        <w:rPr>
          <w:rFonts w:ascii="Arial" w:cs="Arial" w:eastAsia="Arial" w:hAnsi="Arial"/>
          <w:sz w:val="12"/>
          <w:szCs w:val="12"/>
          <w:color w:val="auto"/>
        </w:rPr>
      </w:pPr>
    </w:p>
    <w:p>
      <w:pPr>
        <w:ind w:left="420" w:right="220" w:hanging="212"/>
        <w:spacing w:after="0" w:line="281" w:lineRule="auto"/>
        <w:tabs>
          <w:tab w:leader="none" w:pos="464" w:val="left"/>
        </w:tabs>
        <w:numPr>
          <w:ilvl w:val="0"/>
          <w:numId w:val="7"/>
        </w:numPr>
        <w:rPr>
          <w:rFonts w:ascii="Arial" w:cs="Arial" w:eastAsia="Arial" w:hAnsi="Arial"/>
          <w:sz w:val="11"/>
          <w:szCs w:val="11"/>
          <w:color w:val="auto"/>
        </w:rPr>
      </w:pPr>
      <w:r>
        <w:rPr>
          <w:rFonts w:ascii="Arial" w:cs="Arial" w:eastAsia="Arial" w:hAnsi="Arial"/>
          <w:sz w:val="11"/>
          <w:szCs w:val="11"/>
          <w:color w:val="auto"/>
        </w:rPr>
        <w:t>Our board of directors has authorized the repurchase of up to $600.0 million of our common stock. We have funded and intend to fund the repurchases through available cash resources. The stock repurchase program authorizes us to purchase our common stock on the open market or in privately negotiated transactions periodically in a manner that complies with applicable U.S. securities laws. The number of shares purchased and the timing of the purchases has depended and will depend on several factors, including share price, cash required for business plans, trading volume and other conditions. We maintain a repurchase plan in accordance with Rule 10b5-1 promulgated under the Securities Exchange Act of 1934, as amended. Future repurchases will be made under the Rule 10b5-1 plan as well as open market or privately negotiated transactions as described above. We have no obligation to repurchase stock under this program and may suspend or terminate the repurchase program at any time.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DEFAULTS UPON SENIOR SECURITIES</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2"/>
          <w:szCs w:val="12"/>
          <w:color w:val="auto"/>
        </w:rPr>
        <w:t>None</w:t>
      </w:r>
    </w:p>
    <w:p>
      <w:pPr>
        <w:spacing w:after="0" w:line="164"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4.</w:t>
        <w:tab/>
        <w:t>MINE SAFETY DISCLOSURE</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Not applicable</w:t>
      </w:r>
    </w:p>
    <w:p>
      <w:pPr>
        <w:spacing w:after="0" w:line="164"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auto"/>
        </w:rPr>
        <w:t>ITEM 5.</w:t>
        <w:tab/>
        <w:t>OTHER INFORMATION</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2"/>
          <w:szCs w:val="12"/>
          <w:color w:val="auto"/>
        </w:rPr>
        <w:t>None</w:t>
      </w:r>
    </w:p>
    <w:p>
      <w:pPr>
        <w:spacing w:after="0" w:line="101"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6.</w:t>
        <w:tab/>
        <w:t>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9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Item No.</w:t>
            </w: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180" w:type="dxa"/>
            <w:vAlign w:val="bottom"/>
            <w:tcBorders>
              <w:bottom w:val="single" w:sz="8" w:color="auto"/>
            </w:tcBorders>
          </w:tcPr>
          <w:p>
            <w:pPr>
              <w:ind w:left="700"/>
              <w:spacing w:after="0"/>
              <w:rPr>
                <w:sz w:val="20"/>
                <w:szCs w:val="20"/>
                <w:color w:val="auto"/>
              </w:rPr>
            </w:pPr>
            <w:r>
              <w:rPr>
                <w:rFonts w:ascii="Arial" w:cs="Arial" w:eastAsia="Arial" w:hAnsi="Arial"/>
                <w:sz w:val="10"/>
                <w:szCs w:val="10"/>
                <w:b w:val="1"/>
                <w:bCs w:val="1"/>
                <w:color w:val="auto"/>
              </w:rPr>
              <w:t>Description</w:t>
            </w:r>
          </w:p>
        </w:tc>
        <w:tc>
          <w:tcPr>
            <w:tcW w:w="200" w:type="dxa"/>
            <w:vAlign w:val="bottom"/>
          </w:tcPr>
          <w:p>
            <w:pPr>
              <w:spacing w:after="0"/>
              <w:rPr>
                <w:sz w:val="11"/>
                <w:szCs w:val="1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Location</w:t>
            </w:r>
          </w:p>
        </w:tc>
      </w:tr>
      <w:tr>
        <w:trPr>
          <w:trHeight w:val="119"/>
        </w:trPr>
        <w:tc>
          <w:tcPr>
            <w:tcW w:w="920" w:type="dxa"/>
            <w:vAlign w:val="bottom"/>
          </w:tcPr>
          <w:p>
            <w:pPr>
              <w:jc w:val="center"/>
              <w:spacing w:after="0" w:line="119" w:lineRule="exact"/>
              <w:rPr>
                <w:sz w:val="20"/>
                <w:szCs w:val="20"/>
                <w:color w:val="auto"/>
              </w:rPr>
            </w:pPr>
            <w:r>
              <w:rPr>
                <w:rFonts w:ascii="Arial" w:cs="Arial" w:eastAsia="Arial" w:hAnsi="Arial"/>
                <w:sz w:val="12"/>
                <w:szCs w:val="12"/>
                <w:color w:val="auto"/>
                <w:w w:val="85"/>
              </w:rPr>
              <w:t>31.1</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160" w:type="dxa"/>
            <w:vAlign w:val="bottom"/>
            <w:tcBorders>
              <w:bottom w:val="single" w:sz="8" w:color="0000FF"/>
            </w:tcBorders>
            <w:gridSpan w:val="2"/>
          </w:tcPr>
          <w:p>
            <w:pPr>
              <w:spacing w:after="0" w:line="119" w:lineRule="exact"/>
              <w:rPr>
                <w:rFonts w:ascii="Arial" w:cs="Arial" w:eastAsia="Arial" w:hAnsi="Arial"/>
                <w:sz w:val="12"/>
                <w:szCs w:val="12"/>
                <w:color w:val="0000FF"/>
                <w:w w:val="92"/>
              </w:rPr>
            </w:pPr>
            <w:hyperlink w:anchor="page40">
              <w:r>
                <w:rPr>
                  <w:rFonts w:ascii="Arial" w:cs="Arial" w:eastAsia="Arial" w:hAnsi="Arial"/>
                  <w:sz w:val="12"/>
                  <w:szCs w:val="12"/>
                  <w:color w:val="0000FF"/>
                  <w:w w:val="92"/>
                </w:rPr>
                <w:t>Rule 13a-14a/15d-14(a) Certification of the CEO Alan S. McKim</w:t>
              </w:r>
            </w:hyperlink>
          </w:p>
        </w:tc>
        <w:tc>
          <w:tcPr>
            <w:tcW w:w="5500" w:type="dxa"/>
            <w:vAlign w:val="bottom"/>
            <w:gridSpan w:val="3"/>
          </w:tcPr>
          <w:p>
            <w:pPr>
              <w:spacing w:after="0"/>
              <w:rPr>
                <w:sz w:val="10"/>
                <w:szCs w:val="10"/>
                <w:color w:val="auto"/>
              </w:rPr>
            </w:pPr>
          </w:p>
        </w:tc>
        <w:tc>
          <w:tcPr>
            <w:tcW w:w="1480" w:type="dxa"/>
            <w:vAlign w:val="bottom"/>
          </w:tcPr>
          <w:p>
            <w:pPr>
              <w:jc w:val="center"/>
              <w:spacing w:after="0" w:line="119" w:lineRule="exact"/>
              <w:rPr>
                <w:sz w:val="20"/>
                <w:szCs w:val="20"/>
                <w:color w:val="auto"/>
              </w:rPr>
            </w:pPr>
            <w:r>
              <w:rPr>
                <w:rFonts w:ascii="Arial" w:cs="Arial" w:eastAsia="Arial" w:hAnsi="Arial"/>
                <w:sz w:val="12"/>
                <w:szCs w:val="12"/>
                <w:color w:val="auto"/>
                <w:w w:val="93"/>
              </w:rPr>
              <w:t>Filed herewith</w:t>
            </w:r>
          </w:p>
        </w:tc>
      </w:tr>
      <w:tr>
        <w:trPr>
          <w:trHeight w:val="169"/>
        </w:trPr>
        <w:tc>
          <w:tcPr>
            <w:tcW w:w="920" w:type="dxa"/>
            <w:vAlign w:val="bottom"/>
          </w:tcPr>
          <w:p>
            <w:pPr>
              <w:jc w:val="center"/>
              <w:spacing w:after="0"/>
              <w:rPr>
                <w:sz w:val="20"/>
                <w:szCs w:val="20"/>
                <w:color w:val="auto"/>
              </w:rPr>
            </w:pPr>
            <w:r>
              <w:rPr>
                <w:rFonts w:ascii="Arial" w:cs="Arial" w:eastAsia="Arial" w:hAnsi="Arial"/>
                <w:sz w:val="12"/>
                <w:szCs w:val="12"/>
                <w:color w:val="auto"/>
                <w:w w:val="85"/>
              </w:rPr>
              <w:t>31.2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80" w:type="dxa"/>
            <w:vAlign w:val="bottom"/>
            <w:tcBorders>
              <w:bottom w:val="single" w:sz="8" w:color="0000FF"/>
            </w:tcBorders>
            <w:gridSpan w:val="3"/>
          </w:tcPr>
          <w:p>
            <w:pPr>
              <w:spacing w:after="0"/>
              <w:rPr>
                <w:rFonts w:ascii="Arial" w:cs="Arial" w:eastAsia="Arial" w:hAnsi="Arial"/>
                <w:sz w:val="12"/>
                <w:szCs w:val="12"/>
                <w:color w:val="0000FF"/>
                <w:w w:val="92"/>
              </w:rPr>
            </w:pPr>
            <w:hyperlink w:anchor="page41">
              <w:r>
                <w:rPr>
                  <w:rFonts w:ascii="Arial" w:cs="Arial" w:eastAsia="Arial" w:hAnsi="Arial"/>
                  <w:sz w:val="12"/>
                  <w:szCs w:val="12"/>
                  <w:color w:val="0000FF"/>
                  <w:w w:val="92"/>
                </w:rPr>
                <w:t>Rule 13a-14a/15d-14(a) Certification of the CFO Michael L. Battles</w:t>
              </w:r>
            </w:hyperlink>
          </w:p>
        </w:tc>
        <w:tc>
          <w:tcPr>
            <w:tcW w:w="5380" w:type="dxa"/>
            <w:vAlign w:val="bottom"/>
            <w:gridSpan w:val="2"/>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2"/>
                <w:szCs w:val="12"/>
                <w:color w:val="auto"/>
                <w:w w:val="93"/>
              </w:rPr>
              <w:t>Filed herewith</w:t>
            </w:r>
          </w:p>
        </w:tc>
      </w:tr>
      <w:tr>
        <w:trPr>
          <w:trHeight w:val="169"/>
        </w:trPr>
        <w:tc>
          <w:tcPr>
            <w:tcW w:w="920" w:type="dxa"/>
            <w:vAlign w:val="bottom"/>
          </w:tcPr>
          <w:p>
            <w:pPr>
              <w:jc w:val="center"/>
              <w:spacing w:after="0"/>
              <w:rPr>
                <w:sz w:val="20"/>
                <w:szCs w:val="20"/>
                <w:color w:val="auto"/>
              </w:rPr>
            </w:pPr>
            <w:r>
              <w:rPr>
                <w:rFonts w:ascii="Arial" w:cs="Arial" w:eastAsia="Arial" w:hAnsi="Arial"/>
                <w:sz w:val="12"/>
                <w:szCs w:val="12"/>
                <w:color w:val="auto"/>
                <w:w w:val="89"/>
              </w:rPr>
              <w:t>32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60" w:type="dxa"/>
            <w:vAlign w:val="bottom"/>
            <w:gridSpan w:val="5"/>
          </w:tcPr>
          <w:p>
            <w:pPr>
              <w:spacing w:after="0"/>
              <w:rPr>
                <w:rFonts w:ascii="Arial" w:cs="Arial" w:eastAsia="Arial" w:hAnsi="Arial"/>
                <w:sz w:val="12"/>
                <w:szCs w:val="12"/>
                <w:color w:val="0000FF"/>
              </w:rPr>
            </w:pPr>
            <w:hyperlink w:anchor="page42">
              <w:r>
                <w:rPr>
                  <w:rFonts w:ascii="Arial" w:cs="Arial" w:eastAsia="Arial" w:hAnsi="Arial"/>
                  <w:sz w:val="12"/>
                  <w:szCs w:val="12"/>
                  <w:color w:val="0000FF"/>
                </w:rPr>
                <w:t>Section 1350 Certifications</w:t>
              </w:r>
            </w:hyperlink>
          </w:p>
        </w:tc>
        <w:tc>
          <w:tcPr>
            <w:tcW w:w="1480" w:type="dxa"/>
            <w:vAlign w:val="bottom"/>
          </w:tcPr>
          <w:p>
            <w:pPr>
              <w:jc w:val="center"/>
              <w:spacing w:after="0"/>
              <w:rPr>
                <w:sz w:val="20"/>
                <w:szCs w:val="20"/>
                <w:color w:val="auto"/>
              </w:rPr>
            </w:pPr>
            <w:r>
              <w:rPr>
                <w:rFonts w:ascii="Arial" w:cs="Arial" w:eastAsia="Arial" w:hAnsi="Arial"/>
                <w:sz w:val="12"/>
                <w:szCs w:val="12"/>
                <w:color w:val="auto"/>
                <w:w w:val="93"/>
              </w:rPr>
              <w:t>Filed herewith</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736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60"/>
        </w:trPr>
        <w:tc>
          <w:tcPr>
            <w:tcW w:w="920" w:type="dxa"/>
            <w:vAlign w:val="bottom"/>
          </w:tcPr>
          <w:p>
            <w:pPr>
              <w:jc w:val="center"/>
              <w:spacing w:after="0"/>
              <w:rPr>
                <w:sz w:val="20"/>
                <w:szCs w:val="20"/>
                <w:color w:val="auto"/>
              </w:rPr>
            </w:pPr>
            <w:r>
              <w:rPr>
                <w:rFonts w:ascii="Arial" w:cs="Arial" w:eastAsia="Arial" w:hAnsi="Arial"/>
                <w:sz w:val="12"/>
                <w:szCs w:val="12"/>
                <w:color w:val="auto"/>
                <w:w w:val="89"/>
              </w:rPr>
              <w:t>101</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60" w:type="dxa"/>
            <w:vAlign w:val="bottom"/>
            <w:gridSpan w:val="5"/>
          </w:tcPr>
          <w:p>
            <w:pPr>
              <w:spacing w:after="0"/>
              <w:rPr>
                <w:sz w:val="20"/>
                <w:szCs w:val="20"/>
                <w:color w:val="auto"/>
              </w:rPr>
            </w:pPr>
            <w:r>
              <w:rPr>
                <w:rFonts w:ascii="Arial" w:cs="Arial" w:eastAsia="Arial" w:hAnsi="Arial"/>
                <w:sz w:val="12"/>
                <w:szCs w:val="12"/>
                <w:color w:val="auto"/>
                <w:w w:val="97"/>
              </w:rPr>
              <w:t>Interactive Data Files Pursuant to Rule 405 of Regulation S-T: Financial statements from the quarterly report on Form 10-Q of Clean Harbors, Inc. for the quarter ended</w:t>
            </w:r>
          </w:p>
        </w:tc>
        <w:tc>
          <w:tcPr>
            <w:tcW w:w="1480" w:type="dxa"/>
            <w:vAlign w:val="bottom"/>
          </w:tcPr>
          <w:p>
            <w:pPr>
              <w:jc w:val="center"/>
              <w:spacing w:after="0"/>
              <w:rPr>
                <w:sz w:val="20"/>
                <w:szCs w:val="20"/>
                <w:color w:val="auto"/>
              </w:rPr>
            </w:pPr>
            <w:r>
              <w:rPr>
                <w:rFonts w:ascii="Arial" w:cs="Arial" w:eastAsia="Arial" w:hAnsi="Arial"/>
                <w:sz w:val="12"/>
                <w:szCs w:val="12"/>
                <w:color w:val="auto"/>
              </w:rPr>
              <w:t>*</w:t>
            </w:r>
          </w:p>
        </w:tc>
      </w:tr>
      <w:tr>
        <w:trPr>
          <w:trHeight w:val="117"/>
        </w:trPr>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60" w:type="dxa"/>
            <w:vAlign w:val="bottom"/>
            <w:gridSpan w:val="5"/>
          </w:tcPr>
          <w:p>
            <w:pPr>
              <w:spacing w:after="0" w:line="117" w:lineRule="exact"/>
              <w:rPr>
                <w:sz w:val="20"/>
                <w:szCs w:val="20"/>
                <w:color w:val="auto"/>
              </w:rPr>
            </w:pPr>
            <w:r>
              <w:rPr>
                <w:rFonts w:ascii="Arial" w:cs="Arial" w:eastAsia="Arial" w:hAnsi="Arial"/>
                <w:sz w:val="12"/>
                <w:szCs w:val="12"/>
                <w:color w:val="auto"/>
                <w:w w:val="93"/>
              </w:rPr>
              <w:t>June 30, 2021, formatted in iXBRL (Inline eXtensible Business Reporting Language): (i) Consolidated Balance Sheets, (ii) Unaudited Consolidated Statements of Operations,</w:t>
            </w:r>
          </w:p>
        </w:tc>
        <w:tc>
          <w:tcPr>
            <w:tcW w:w="1480" w:type="dxa"/>
            <w:vAlign w:val="bottom"/>
          </w:tcPr>
          <w:p>
            <w:pPr>
              <w:spacing w:after="0"/>
              <w:rPr>
                <w:sz w:val="10"/>
                <w:szCs w:val="10"/>
                <w:color w:val="auto"/>
              </w:rPr>
            </w:pPr>
          </w:p>
        </w:tc>
      </w:tr>
      <w:tr>
        <w:trPr>
          <w:trHeight w:val="117"/>
        </w:trPr>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60" w:type="dxa"/>
            <w:vAlign w:val="bottom"/>
            <w:gridSpan w:val="5"/>
          </w:tcPr>
          <w:p>
            <w:pPr>
              <w:spacing w:after="0" w:line="117" w:lineRule="exact"/>
              <w:rPr>
                <w:sz w:val="20"/>
                <w:szCs w:val="20"/>
                <w:color w:val="auto"/>
              </w:rPr>
            </w:pPr>
            <w:r>
              <w:rPr>
                <w:rFonts w:ascii="Arial" w:cs="Arial" w:eastAsia="Arial" w:hAnsi="Arial"/>
                <w:sz w:val="12"/>
                <w:szCs w:val="12"/>
                <w:color w:val="auto"/>
                <w:w w:val="94"/>
              </w:rPr>
              <w:t>(iii) Unaudited Consolidated Statements of Comprehensive Income (Loss), (iv) Unaudited Consolidated Statements of Cash Flows, (v) Unaudited Consolidated Statements of</w:t>
            </w:r>
          </w:p>
        </w:tc>
        <w:tc>
          <w:tcPr>
            <w:tcW w:w="1480" w:type="dxa"/>
            <w:vAlign w:val="bottom"/>
          </w:tcPr>
          <w:p>
            <w:pPr>
              <w:spacing w:after="0"/>
              <w:rPr>
                <w:sz w:val="10"/>
                <w:szCs w:val="10"/>
                <w:color w:val="auto"/>
              </w:rPr>
            </w:pPr>
          </w:p>
        </w:tc>
      </w:tr>
      <w:tr>
        <w:trPr>
          <w:trHeight w:val="153"/>
        </w:trPr>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60" w:type="dxa"/>
            <w:vAlign w:val="bottom"/>
            <w:gridSpan w:val="5"/>
          </w:tcPr>
          <w:p>
            <w:pPr>
              <w:spacing w:after="0"/>
              <w:rPr>
                <w:sz w:val="20"/>
                <w:szCs w:val="20"/>
                <w:color w:val="auto"/>
              </w:rPr>
            </w:pPr>
            <w:r>
              <w:rPr>
                <w:rFonts w:ascii="Arial" w:cs="Arial" w:eastAsia="Arial" w:hAnsi="Arial"/>
                <w:sz w:val="12"/>
                <w:szCs w:val="12"/>
                <w:color w:val="auto"/>
              </w:rPr>
              <w:t>Stockholders’ Equity and (vi) Notes to Unaudited Consolidated Financial Statements.</w:t>
            </w:r>
          </w:p>
        </w:tc>
        <w:tc>
          <w:tcPr>
            <w:tcW w:w="1480" w:type="dxa"/>
            <w:vAlign w:val="bottom"/>
          </w:tcPr>
          <w:p>
            <w:pPr>
              <w:spacing w:after="0"/>
              <w:rPr>
                <w:sz w:val="13"/>
                <w:szCs w:val="13"/>
                <w:color w:val="auto"/>
              </w:rPr>
            </w:pPr>
          </w:p>
        </w:tc>
      </w:tr>
      <w:tr>
        <w:trPr>
          <w:trHeight w:val="189"/>
        </w:trPr>
        <w:tc>
          <w:tcPr>
            <w:tcW w:w="920" w:type="dxa"/>
            <w:vAlign w:val="bottom"/>
          </w:tcPr>
          <w:p>
            <w:pPr>
              <w:jc w:val="center"/>
              <w:spacing w:after="0"/>
              <w:rPr>
                <w:sz w:val="20"/>
                <w:szCs w:val="20"/>
                <w:color w:val="auto"/>
              </w:rPr>
            </w:pPr>
            <w:r>
              <w:rPr>
                <w:rFonts w:ascii="Arial" w:cs="Arial" w:eastAsia="Arial" w:hAnsi="Arial"/>
                <w:sz w:val="12"/>
                <w:szCs w:val="12"/>
                <w:color w:val="auto"/>
                <w:w w:val="89"/>
              </w:rPr>
              <w:t>104</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60" w:type="dxa"/>
            <w:vAlign w:val="bottom"/>
            <w:gridSpan w:val="5"/>
          </w:tcPr>
          <w:p>
            <w:pPr>
              <w:spacing w:after="0"/>
              <w:rPr>
                <w:sz w:val="20"/>
                <w:szCs w:val="20"/>
                <w:color w:val="auto"/>
              </w:rPr>
            </w:pPr>
            <w:r>
              <w:rPr>
                <w:rFonts w:ascii="Arial" w:cs="Arial" w:eastAsia="Arial" w:hAnsi="Arial"/>
                <w:sz w:val="12"/>
                <w:szCs w:val="12"/>
                <w:color w:val="auto"/>
              </w:rPr>
              <w:t>The cover page from the Company's Quarterly Report on Form 10-Q for the quarter ended June 30, 2021, formatted in iXBRL and contained in Exhibit 101.</w:t>
            </w:r>
          </w:p>
        </w:tc>
        <w:tc>
          <w:tcPr>
            <w:tcW w:w="1480" w:type="dxa"/>
            <w:vAlign w:val="bottom"/>
          </w:tcPr>
          <w:p>
            <w:pPr>
              <w:spacing w:after="0"/>
              <w:rPr>
                <w:sz w:val="16"/>
                <w:szCs w:val="16"/>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w:t>
      </w:r>
    </w:p>
    <w:p>
      <w:pPr>
        <w:spacing w:after="0" w:line="96" w:lineRule="exact"/>
        <w:rPr>
          <w:sz w:val="20"/>
          <w:szCs w:val="20"/>
          <w:color w:val="auto"/>
        </w:rPr>
      </w:pPr>
    </w:p>
    <w:p>
      <w:pPr>
        <w:ind w:left="420" w:right="60" w:hanging="320"/>
        <w:spacing w:after="0" w:line="276" w:lineRule="auto"/>
        <w:tabs>
          <w:tab w:leader="none" w:pos="276" w:val="left"/>
        </w:tabs>
        <w:numPr>
          <w:ilvl w:val="0"/>
          <w:numId w:val="8"/>
        </w:numPr>
        <w:rPr>
          <w:rFonts w:ascii="Arial" w:cs="Arial" w:eastAsia="Arial" w:hAnsi="Arial"/>
          <w:sz w:val="12"/>
          <w:szCs w:val="12"/>
          <w:color w:val="auto"/>
        </w:rPr>
      </w:pPr>
      <w:r>
        <w:rPr>
          <w:rFonts w:ascii="Arial" w:cs="Arial" w:eastAsia="Arial" w:hAnsi="Arial"/>
          <w:sz w:val="12"/>
          <w:szCs w:val="12"/>
          <w:color w:val="auto"/>
        </w:rPr>
        <w:t>Interactive data files are furnished and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8" w:name="page39"/>
    <w:bookmarkEnd w:id="3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06" w:lineRule="exact"/>
        <w:rPr>
          <w:sz w:val="20"/>
          <w:szCs w:val="20"/>
          <w:color w:val="auto"/>
        </w:rPr>
      </w:pPr>
    </w:p>
    <w:p>
      <w:pPr>
        <w:ind w:left="4600"/>
        <w:spacing w:after="0"/>
        <w:rPr>
          <w:sz w:val="20"/>
          <w:szCs w:val="20"/>
          <w:color w:val="auto"/>
        </w:rPr>
      </w:pPr>
      <w:r>
        <w:rPr>
          <w:rFonts w:ascii="Arial" w:cs="Arial" w:eastAsia="Arial" w:hAnsi="Arial"/>
          <w:sz w:val="12"/>
          <w:szCs w:val="12"/>
          <w:b w:val="1"/>
          <w:bCs w:val="1"/>
          <w:color w:val="auto"/>
        </w:rPr>
        <w:t>CLEAN HARBORS, INC. AND SUBSIDIARIES</w:t>
      </w:r>
    </w:p>
    <w:p>
      <w:pPr>
        <w:spacing w:after="0" w:line="105" w:lineRule="exact"/>
        <w:rPr>
          <w:sz w:val="20"/>
          <w:szCs w:val="20"/>
          <w:color w:val="auto"/>
        </w:rPr>
      </w:pPr>
    </w:p>
    <w:p>
      <w:pPr>
        <w:ind w:left="5260"/>
        <w:spacing w:after="0"/>
        <w:rPr>
          <w:sz w:val="20"/>
          <w:szCs w:val="20"/>
          <w:color w:val="auto"/>
        </w:rPr>
      </w:pPr>
      <w:r>
        <w:rPr>
          <w:rFonts w:ascii="Arial" w:cs="Arial" w:eastAsia="Arial" w:hAnsi="Arial"/>
          <w:sz w:val="12"/>
          <w:szCs w:val="12"/>
          <w:b w:val="1"/>
          <w:bCs w:val="1"/>
          <w:color w:val="auto"/>
        </w:rPr>
        <w:t>SIGNATURES</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0" w:type="dxa"/>
            <w:vAlign w:val="bottom"/>
          </w:tcPr>
          <w:p>
            <w:pPr>
              <w:spacing w:after="0"/>
              <w:rPr>
                <w:sz w:val="13"/>
                <w:szCs w:val="13"/>
                <w:color w:val="auto"/>
              </w:rPr>
            </w:pPr>
          </w:p>
        </w:tc>
        <w:tc>
          <w:tcPr>
            <w:tcW w:w="6640" w:type="dxa"/>
            <w:vAlign w:val="bottom"/>
            <w:gridSpan w:val="2"/>
          </w:tcPr>
          <w:p>
            <w:pPr>
              <w:ind w:left="5100"/>
              <w:spacing w:after="0"/>
              <w:rPr>
                <w:sz w:val="20"/>
                <w:szCs w:val="20"/>
                <w:color w:val="auto"/>
              </w:rPr>
            </w:pPr>
            <w:r>
              <w:rPr>
                <w:rFonts w:ascii="Arial" w:cs="Arial" w:eastAsia="Arial" w:hAnsi="Arial"/>
                <w:sz w:val="12"/>
                <w:szCs w:val="12"/>
                <w:color w:val="auto"/>
              </w:rPr>
              <w:t>CLEAN HARBORS, INC.</w:t>
            </w:r>
          </w:p>
        </w:tc>
        <w:tc>
          <w:tcPr>
            <w:tcW w:w="4220" w:type="dxa"/>
            <w:vAlign w:val="bottom"/>
          </w:tcPr>
          <w:p>
            <w:pPr>
              <w:spacing w:after="0"/>
              <w:rPr>
                <w:sz w:val="13"/>
                <w:szCs w:val="13"/>
                <w:color w:val="auto"/>
              </w:rPr>
            </w:pPr>
          </w:p>
        </w:tc>
      </w:tr>
      <w:tr>
        <w:trPr>
          <w:trHeight w:val="153"/>
        </w:trPr>
        <w:tc>
          <w:tcPr>
            <w:tcW w:w="440" w:type="dxa"/>
            <w:vAlign w:val="bottom"/>
          </w:tcPr>
          <w:p>
            <w:pPr>
              <w:spacing w:after="0"/>
              <w:rPr>
                <w:sz w:val="13"/>
                <w:szCs w:val="13"/>
                <w:color w:val="auto"/>
              </w:rPr>
            </w:pPr>
          </w:p>
        </w:tc>
        <w:tc>
          <w:tcPr>
            <w:tcW w:w="6640" w:type="dxa"/>
            <w:vAlign w:val="bottom"/>
            <w:gridSpan w:val="2"/>
          </w:tcPr>
          <w:p>
            <w:pPr>
              <w:jc w:val="right"/>
              <w:ind w:right="1040"/>
              <w:spacing w:after="0"/>
              <w:rPr>
                <w:sz w:val="20"/>
                <w:szCs w:val="20"/>
                <w:color w:val="auto"/>
              </w:rPr>
            </w:pPr>
            <w:r>
              <w:rPr>
                <w:rFonts w:ascii="Arial" w:cs="Arial" w:eastAsia="Arial" w:hAnsi="Arial"/>
                <w:sz w:val="12"/>
                <w:szCs w:val="12"/>
                <w:color w:val="auto"/>
              </w:rPr>
              <w:t>Registrant</w:t>
            </w:r>
          </w:p>
        </w:tc>
        <w:tc>
          <w:tcPr>
            <w:tcW w:w="4220" w:type="dxa"/>
            <w:vAlign w:val="bottom"/>
          </w:tcPr>
          <w:p>
            <w:pPr>
              <w:spacing w:after="0"/>
              <w:rPr>
                <w:sz w:val="13"/>
                <w:szCs w:val="13"/>
                <w:color w:val="auto"/>
              </w:rPr>
            </w:pPr>
          </w:p>
        </w:tc>
      </w:tr>
      <w:tr>
        <w:trPr>
          <w:trHeight w:val="189"/>
        </w:trPr>
        <w:tc>
          <w:tcPr>
            <w:tcW w:w="440" w:type="dxa"/>
            <w:vAlign w:val="bottom"/>
          </w:tcPr>
          <w:p>
            <w:pPr>
              <w:spacing w:after="0"/>
              <w:rPr>
                <w:sz w:val="16"/>
                <w:szCs w:val="16"/>
                <w:color w:val="auto"/>
              </w:rPr>
            </w:pPr>
          </w:p>
        </w:tc>
        <w:tc>
          <w:tcPr>
            <w:tcW w:w="6640" w:type="dxa"/>
            <w:vAlign w:val="bottom"/>
            <w:gridSpan w:val="2"/>
          </w:tcPr>
          <w:p>
            <w:pPr>
              <w:jc w:val="right"/>
              <w:ind w:right="1040"/>
              <w:spacing w:after="0"/>
              <w:rPr>
                <w:sz w:val="20"/>
                <w:szCs w:val="20"/>
                <w:color w:val="auto"/>
              </w:rPr>
            </w:pPr>
            <w:r>
              <w:rPr>
                <w:rFonts w:ascii="Arial" w:cs="Arial" w:eastAsia="Arial" w:hAnsi="Arial"/>
                <w:sz w:val="12"/>
                <w:szCs w:val="12"/>
                <w:color w:val="auto"/>
              </w:rPr>
              <w:t>By:</w:t>
            </w:r>
          </w:p>
        </w:tc>
        <w:tc>
          <w:tcPr>
            <w:tcW w:w="4220" w:type="dxa"/>
            <w:vAlign w:val="bottom"/>
          </w:tcPr>
          <w:p>
            <w:pPr>
              <w:jc w:val="center"/>
              <w:ind w:right="960"/>
              <w:spacing w:after="0"/>
              <w:rPr>
                <w:sz w:val="20"/>
                <w:szCs w:val="20"/>
                <w:color w:val="auto"/>
              </w:rPr>
            </w:pPr>
            <w:r>
              <w:rPr>
                <w:rFonts w:ascii="Arial" w:cs="Arial" w:eastAsia="Arial" w:hAnsi="Arial"/>
                <w:sz w:val="12"/>
                <w:szCs w:val="12"/>
                <w:color w:val="auto"/>
                <w:w w:val="98"/>
              </w:rPr>
              <w:t>/s/ ALAN S. MCKIM</w:t>
            </w:r>
          </w:p>
        </w:tc>
      </w:tr>
      <w:tr>
        <w:trPr>
          <w:trHeight w:val="138"/>
        </w:trPr>
        <w:tc>
          <w:tcPr>
            <w:tcW w:w="44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220" w:type="dxa"/>
            <w:vAlign w:val="bottom"/>
            <w:tcBorders>
              <w:top w:val="single" w:sz="8" w:color="auto"/>
            </w:tcBorders>
          </w:tcPr>
          <w:p>
            <w:pPr>
              <w:jc w:val="center"/>
              <w:ind w:right="960"/>
              <w:spacing w:after="0"/>
              <w:rPr>
                <w:sz w:val="20"/>
                <w:szCs w:val="20"/>
                <w:color w:val="auto"/>
              </w:rPr>
            </w:pPr>
            <w:r>
              <w:rPr>
                <w:rFonts w:ascii="Arial" w:cs="Arial" w:eastAsia="Arial" w:hAnsi="Arial"/>
                <w:sz w:val="12"/>
                <w:szCs w:val="12"/>
                <w:b w:val="1"/>
                <w:bCs w:val="1"/>
                <w:color w:val="auto"/>
                <w:w w:val="95"/>
              </w:rPr>
              <w:t>Alan S. McKim</w:t>
            </w:r>
          </w:p>
        </w:tc>
      </w:tr>
      <w:tr>
        <w:trPr>
          <w:trHeight w:val="157"/>
        </w:trPr>
        <w:tc>
          <w:tcPr>
            <w:tcW w:w="44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20" w:type="dxa"/>
            <w:vAlign w:val="bottom"/>
          </w:tcPr>
          <w:p>
            <w:pPr>
              <w:jc w:val="center"/>
              <w:ind w:right="960"/>
              <w:spacing w:after="0"/>
              <w:rPr>
                <w:sz w:val="20"/>
                <w:szCs w:val="20"/>
                <w:color w:val="auto"/>
              </w:rPr>
            </w:pPr>
            <w:r>
              <w:rPr>
                <w:rFonts w:ascii="Arial" w:cs="Arial" w:eastAsia="Arial" w:hAnsi="Arial"/>
                <w:sz w:val="12"/>
                <w:szCs w:val="12"/>
                <w:b w:val="1"/>
                <w:bCs w:val="1"/>
                <w:color w:val="auto"/>
                <w:w w:val="91"/>
              </w:rPr>
              <w:t>Chairman, President and Chief Executive Officer</w:t>
            </w:r>
          </w:p>
        </w:tc>
      </w:tr>
      <w:tr>
        <w:trPr>
          <w:trHeight w:val="189"/>
        </w:trPr>
        <w:tc>
          <w:tcPr>
            <w:tcW w:w="440" w:type="dxa"/>
            <w:vAlign w:val="bottom"/>
          </w:tcPr>
          <w:p>
            <w:pPr>
              <w:spacing w:after="0"/>
              <w:rPr>
                <w:sz w:val="20"/>
                <w:szCs w:val="20"/>
                <w:color w:val="auto"/>
              </w:rPr>
            </w:pPr>
            <w:r>
              <w:rPr>
                <w:rFonts w:ascii="Arial" w:cs="Arial" w:eastAsia="Arial" w:hAnsi="Arial"/>
                <w:sz w:val="12"/>
                <w:szCs w:val="12"/>
                <w:color w:val="auto"/>
              </w:rPr>
              <w:t>Date:</w:t>
            </w:r>
          </w:p>
        </w:tc>
        <w:tc>
          <w:tcPr>
            <w:tcW w:w="6640" w:type="dxa"/>
            <w:vAlign w:val="bottom"/>
            <w:gridSpan w:val="2"/>
          </w:tcPr>
          <w:p>
            <w:pPr>
              <w:ind w:left="200"/>
              <w:spacing w:after="0"/>
              <w:rPr>
                <w:sz w:val="20"/>
                <w:szCs w:val="20"/>
                <w:color w:val="auto"/>
              </w:rPr>
            </w:pPr>
            <w:r>
              <w:rPr>
                <w:rFonts w:ascii="Arial" w:cs="Arial" w:eastAsia="Arial" w:hAnsi="Arial"/>
                <w:sz w:val="12"/>
                <w:szCs w:val="12"/>
                <w:color w:val="auto"/>
              </w:rPr>
              <w:t>August 4, 2021</w:t>
            </w:r>
          </w:p>
        </w:tc>
        <w:tc>
          <w:tcPr>
            <w:tcW w:w="4220" w:type="dxa"/>
            <w:vAlign w:val="bottom"/>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6640" w:type="dxa"/>
            <w:vAlign w:val="bottom"/>
            <w:gridSpan w:val="2"/>
          </w:tcPr>
          <w:p>
            <w:pPr>
              <w:jc w:val="right"/>
              <w:ind w:right="1040"/>
              <w:spacing w:after="0"/>
              <w:rPr>
                <w:sz w:val="20"/>
                <w:szCs w:val="20"/>
                <w:color w:val="auto"/>
              </w:rPr>
            </w:pPr>
            <w:r>
              <w:rPr>
                <w:rFonts w:ascii="Arial" w:cs="Arial" w:eastAsia="Arial" w:hAnsi="Arial"/>
                <w:sz w:val="12"/>
                <w:szCs w:val="12"/>
                <w:color w:val="auto"/>
              </w:rPr>
              <w:t>By:</w:t>
            </w:r>
          </w:p>
        </w:tc>
        <w:tc>
          <w:tcPr>
            <w:tcW w:w="4220" w:type="dxa"/>
            <w:vAlign w:val="bottom"/>
          </w:tcPr>
          <w:p>
            <w:pPr>
              <w:jc w:val="center"/>
              <w:ind w:right="960"/>
              <w:spacing w:after="0"/>
              <w:rPr>
                <w:sz w:val="20"/>
                <w:szCs w:val="20"/>
                <w:color w:val="auto"/>
              </w:rPr>
            </w:pPr>
            <w:r>
              <w:rPr>
                <w:rFonts w:ascii="Arial" w:cs="Arial" w:eastAsia="Arial" w:hAnsi="Arial"/>
                <w:sz w:val="12"/>
                <w:szCs w:val="12"/>
                <w:color w:val="auto"/>
                <w:w w:val="97"/>
              </w:rPr>
              <w:t>/s/ MICHAEL L. BATTLES</w:t>
            </w:r>
          </w:p>
        </w:tc>
      </w:tr>
      <w:tr>
        <w:trPr>
          <w:trHeight w:val="138"/>
        </w:trPr>
        <w:tc>
          <w:tcPr>
            <w:tcW w:w="44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220" w:type="dxa"/>
            <w:vAlign w:val="bottom"/>
            <w:tcBorders>
              <w:top w:val="single" w:sz="8" w:color="auto"/>
            </w:tcBorders>
          </w:tcPr>
          <w:p>
            <w:pPr>
              <w:jc w:val="center"/>
              <w:ind w:right="980"/>
              <w:spacing w:after="0"/>
              <w:rPr>
                <w:sz w:val="20"/>
                <w:szCs w:val="20"/>
                <w:color w:val="auto"/>
              </w:rPr>
            </w:pPr>
            <w:r>
              <w:rPr>
                <w:rFonts w:ascii="Arial" w:cs="Arial" w:eastAsia="Arial" w:hAnsi="Arial"/>
                <w:sz w:val="12"/>
                <w:szCs w:val="12"/>
                <w:b w:val="1"/>
                <w:bCs w:val="1"/>
                <w:color w:val="auto"/>
                <w:w w:val="92"/>
              </w:rPr>
              <w:t>Michael L. Battles</w:t>
            </w:r>
          </w:p>
        </w:tc>
      </w:tr>
      <w:tr>
        <w:trPr>
          <w:trHeight w:val="157"/>
        </w:trPr>
        <w:tc>
          <w:tcPr>
            <w:tcW w:w="44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20" w:type="dxa"/>
            <w:vAlign w:val="bottom"/>
          </w:tcPr>
          <w:p>
            <w:pPr>
              <w:jc w:val="center"/>
              <w:ind w:right="980"/>
              <w:spacing w:after="0"/>
              <w:rPr>
                <w:sz w:val="20"/>
                <w:szCs w:val="20"/>
                <w:color w:val="auto"/>
              </w:rPr>
            </w:pPr>
            <w:r>
              <w:rPr>
                <w:rFonts w:ascii="Arial" w:cs="Arial" w:eastAsia="Arial" w:hAnsi="Arial"/>
                <w:sz w:val="12"/>
                <w:szCs w:val="12"/>
                <w:b w:val="1"/>
                <w:bCs w:val="1"/>
                <w:color w:val="auto"/>
                <w:w w:val="90"/>
              </w:rPr>
              <w:t>Executive Vice President and Chief Financial Officer</w:t>
            </w:r>
          </w:p>
        </w:tc>
      </w:tr>
      <w:tr>
        <w:trPr>
          <w:trHeight w:val="189"/>
        </w:trPr>
        <w:tc>
          <w:tcPr>
            <w:tcW w:w="440" w:type="dxa"/>
            <w:vAlign w:val="bottom"/>
          </w:tcPr>
          <w:p>
            <w:pPr>
              <w:spacing w:after="0"/>
              <w:rPr>
                <w:sz w:val="20"/>
                <w:szCs w:val="20"/>
                <w:color w:val="auto"/>
              </w:rPr>
            </w:pPr>
            <w:r>
              <w:rPr>
                <w:rFonts w:ascii="Arial" w:cs="Arial" w:eastAsia="Arial" w:hAnsi="Arial"/>
                <w:sz w:val="12"/>
                <w:szCs w:val="12"/>
                <w:color w:val="auto"/>
              </w:rPr>
              <w:t>Date:</w:t>
            </w:r>
          </w:p>
        </w:tc>
        <w:tc>
          <w:tcPr>
            <w:tcW w:w="6640" w:type="dxa"/>
            <w:vAlign w:val="bottom"/>
            <w:gridSpan w:val="2"/>
          </w:tcPr>
          <w:p>
            <w:pPr>
              <w:ind w:left="200"/>
              <w:spacing w:after="0"/>
              <w:rPr>
                <w:sz w:val="20"/>
                <w:szCs w:val="20"/>
                <w:color w:val="auto"/>
              </w:rPr>
            </w:pPr>
            <w:r>
              <w:rPr>
                <w:rFonts w:ascii="Arial" w:cs="Arial" w:eastAsia="Arial" w:hAnsi="Arial"/>
                <w:sz w:val="12"/>
                <w:szCs w:val="12"/>
                <w:color w:val="auto"/>
              </w:rPr>
              <w:t>August 4, 2021</w:t>
            </w:r>
          </w:p>
        </w:tc>
        <w:tc>
          <w:tcPr>
            <w:tcW w:w="4220" w:type="dxa"/>
            <w:vAlign w:val="bottom"/>
          </w:tcPr>
          <w:p>
            <w:pPr>
              <w:spacing w:after="0"/>
              <w:rPr>
                <w:sz w:val="16"/>
                <w:szCs w:val="16"/>
                <w:color w:val="auto"/>
              </w:rPr>
            </w:pPr>
          </w:p>
        </w:tc>
      </w:tr>
      <w:tr>
        <w:trPr>
          <w:trHeight w:val="873"/>
        </w:trPr>
        <w:tc>
          <w:tcPr>
            <w:tcW w:w="440" w:type="dxa"/>
            <w:vAlign w:val="bottom"/>
          </w:tcPr>
          <w:p>
            <w:pPr>
              <w:spacing w:after="0"/>
              <w:rPr>
                <w:sz w:val="24"/>
                <w:szCs w:val="24"/>
                <w:color w:val="auto"/>
              </w:rPr>
            </w:pPr>
          </w:p>
        </w:tc>
        <w:tc>
          <w:tcPr>
            <w:tcW w:w="5620" w:type="dxa"/>
            <w:vAlign w:val="bottom"/>
          </w:tcPr>
          <w:p>
            <w:pPr>
              <w:jc w:val="right"/>
              <w:ind w:right="300"/>
              <w:spacing w:after="0"/>
              <w:rPr>
                <w:sz w:val="20"/>
                <w:szCs w:val="20"/>
                <w:color w:val="auto"/>
              </w:rPr>
            </w:pPr>
            <w:r>
              <w:rPr>
                <w:rFonts w:ascii="Arial" w:cs="Arial" w:eastAsia="Arial" w:hAnsi="Arial"/>
                <w:sz w:val="12"/>
                <w:szCs w:val="12"/>
                <w:color w:val="auto"/>
              </w:rPr>
              <w:t>37</w:t>
            </w:r>
          </w:p>
        </w:tc>
        <w:tc>
          <w:tcPr>
            <w:tcW w:w="1020" w:type="dxa"/>
            <w:vAlign w:val="bottom"/>
          </w:tcPr>
          <w:p>
            <w:pPr>
              <w:spacing w:after="0"/>
              <w:rPr>
                <w:sz w:val="24"/>
                <w:szCs w:val="24"/>
                <w:color w:val="auto"/>
              </w:rPr>
            </w:pPr>
          </w:p>
        </w:tc>
        <w:tc>
          <w:tcPr>
            <w:tcW w:w="4220" w:type="dxa"/>
            <w:vAlign w:val="bottom"/>
          </w:tcPr>
          <w:p>
            <w:pPr>
              <w:spacing w:after="0"/>
              <w:rPr>
                <w:sz w:val="24"/>
                <w:szCs w:val="24"/>
                <w:color w:val="auto"/>
              </w:rPr>
            </w:pPr>
          </w:p>
        </w:tc>
      </w:tr>
    </w:tbl>
    <w:p>
      <w:pPr>
        <w:sectPr>
          <w:pgSz w:w="11900" w:h="16838" w:orient="portrait"/>
          <w:cols w:equalWidth="0" w:num="1">
            <w:col w:w="11300"/>
          </w:cols>
          <w:pgMar w:left="300" w:top="131" w:right="299" w:bottom="1440" w:gutter="0" w:footer="0" w:header="0"/>
        </w:sectPr>
      </w:pPr>
    </w:p>
    <w:bookmarkStart w:id="39" w:name="page40"/>
    <w:bookmarkEnd w:id="39"/>
    <w:p>
      <w:pPr>
        <w:jc w:val="right"/>
        <w:spacing w:after="0"/>
        <w:rPr>
          <w:sz w:val="20"/>
          <w:szCs w:val="20"/>
          <w:color w:val="auto"/>
        </w:rPr>
      </w:pPr>
      <w:r>
        <w:rPr>
          <w:rFonts w:ascii="Arial" w:cs="Arial" w:eastAsia="Arial" w:hAnsi="Arial"/>
          <w:sz w:val="12"/>
          <w:szCs w:val="12"/>
          <w:b w:val="1"/>
          <w:bCs w:val="1"/>
          <w:color w:val="auto"/>
        </w:rPr>
        <w:t>EXHIBIT 31.1</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OF CHIEF EXECUTIVE OFFICER</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I, Alan S. McKim, certify that:</w:t>
      </w:r>
    </w:p>
    <w:p>
      <w:pPr>
        <w:spacing w:after="0" w:line="168" w:lineRule="exact"/>
        <w:rPr>
          <w:sz w:val="20"/>
          <w:szCs w:val="20"/>
          <w:color w:val="auto"/>
        </w:rPr>
      </w:pPr>
    </w:p>
    <w:p>
      <w:pPr>
        <w:ind w:left="128" w:hanging="128"/>
        <w:spacing w:after="0"/>
        <w:tabs>
          <w:tab w:leader="none" w:pos="128" w:val="left"/>
        </w:tabs>
        <w:numPr>
          <w:ilvl w:val="0"/>
          <w:numId w:val="9"/>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Clean Harbors, Inc.;</w:t>
      </w:r>
    </w:p>
    <w:p>
      <w:pPr>
        <w:spacing w:after="0" w:line="168" w:lineRule="exact"/>
        <w:rPr>
          <w:rFonts w:ascii="Arial" w:cs="Arial" w:eastAsia="Arial" w:hAnsi="Arial"/>
          <w:sz w:val="12"/>
          <w:szCs w:val="12"/>
          <w:color w:val="auto"/>
        </w:rPr>
      </w:pPr>
    </w:p>
    <w:p>
      <w:pPr>
        <w:ind w:left="8" w:right="280" w:hanging="8"/>
        <w:spacing w:after="0" w:line="276" w:lineRule="auto"/>
        <w:tabs>
          <w:tab w:leader="none" w:pos="134" w:val="left"/>
        </w:tabs>
        <w:numPr>
          <w:ilvl w:val="0"/>
          <w:numId w:val="9"/>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2"/>
          <w:szCs w:val="12"/>
          <w:color w:val="auto"/>
        </w:rPr>
      </w:pPr>
    </w:p>
    <w:p>
      <w:pPr>
        <w:ind w:left="8" w:right="180" w:hanging="8"/>
        <w:spacing w:after="0" w:line="276" w:lineRule="auto"/>
        <w:tabs>
          <w:tab w:leader="none" w:pos="134" w:val="left"/>
        </w:tabs>
        <w:numPr>
          <w:ilvl w:val="0"/>
          <w:numId w:val="9"/>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2"/>
          <w:szCs w:val="12"/>
          <w:color w:val="auto"/>
        </w:rPr>
      </w:pPr>
    </w:p>
    <w:p>
      <w:pPr>
        <w:ind w:left="8" w:right="300" w:hanging="8"/>
        <w:spacing w:after="0" w:line="276" w:lineRule="auto"/>
        <w:tabs>
          <w:tab w:leader="none" w:pos="134"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sz w:val="20"/>
          <w:szCs w:val="20"/>
          <w:color w:val="auto"/>
        </w:rPr>
      </w:pPr>
    </w:p>
    <w:p>
      <w:pPr>
        <w:ind w:left="8" w:right="280" w:hanging="8"/>
        <w:spacing w:after="0" w:line="276" w:lineRule="auto"/>
        <w:tabs>
          <w:tab w:leader="none" w:pos="177" w:val="left"/>
        </w:tabs>
        <w:numPr>
          <w:ilvl w:val="0"/>
          <w:numId w:val="1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2"/>
          <w:szCs w:val="12"/>
          <w:color w:val="auto"/>
        </w:rPr>
      </w:pPr>
    </w:p>
    <w:p>
      <w:pPr>
        <w:ind w:left="8" w:right="200" w:hanging="8"/>
        <w:spacing w:after="0" w:line="276" w:lineRule="auto"/>
        <w:tabs>
          <w:tab w:leader="none" w:pos="184" w:val="left"/>
        </w:tabs>
        <w:numPr>
          <w:ilvl w:val="0"/>
          <w:numId w:val="1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2"/>
          <w:szCs w:val="12"/>
          <w:color w:val="auto"/>
        </w:rPr>
      </w:pPr>
    </w:p>
    <w:p>
      <w:pPr>
        <w:ind w:left="8" w:right="140" w:hanging="8"/>
        <w:spacing w:after="0" w:line="276" w:lineRule="auto"/>
        <w:tabs>
          <w:tab w:leader="none" w:pos="177" w:val="left"/>
        </w:tabs>
        <w:numPr>
          <w:ilvl w:val="0"/>
          <w:numId w:val="10"/>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2"/>
          <w:szCs w:val="12"/>
          <w:color w:val="auto"/>
        </w:rPr>
      </w:pPr>
    </w:p>
    <w:p>
      <w:pPr>
        <w:ind w:left="8" w:right="180" w:hanging="8"/>
        <w:spacing w:after="0" w:line="276" w:lineRule="auto"/>
        <w:tabs>
          <w:tab w:leader="none" w:pos="184" w:val="left"/>
        </w:tabs>
        <w:numPr>
          <w:ilvl w:val="0"/>
          <w:numId w:val="10"/>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3" w:lineRule="exact"/>
        <w:rPr>
          <w:sz w:val="20"/>
          <w:szCs w:val="20"/>
          <w:color w:val="auto"/>
        </w:rPr>
      </w:pPr>
    </w:p>
    <w:p>
      <w:pPr>
        <w:ind w:left="8" w:right="80" w:hanging="8"/>
        <w:spacing w:after="0" w:line="276" w:lineRule="auto"/>
        <w:tabs>
          <w:tab w:leader="none" w:pos="134"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sz w:val="20"/>
          <w:szCs w:val="20"/>
          <w:color w:val="auto"/>
        </w:rPr>
      </w:pPr>
    </w:p>
    <w:p>
      <w:pPr>
        <w:ind w:left="8" w:right="300" w:hanging="8"/>
        <w:spacing w:after="0" w:line="276" w:lineRule="auto"/>
        <w:tabs>
          <w:tab w:leader="none" w:pos="177" w:val="left"/>
        </w:tabs>
        <w:numPr>
          <w:ilvl w:val="0"/>
          <w:numId w:val="12"/>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2"/>
          <w:szCs w:val="12"/>
          <w:color w:val="auto"/>
        </w:rPr>
      </w:pPr>
    </w:p>
    <w:p>
      <w:pPr>
        <w:ind w:left="168" w:hanging="168"/>
        <w:spacing w:after="0"/>
        <w:tabs>
          <w:tab w:leader="none" w:pos="168" w:val="left"/>
        </w:tabs>
        <w:numPr>
          <w:ilvl w:val="0"/>
          <w:numId w:val="12"/>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3" w:lineRule="exact"/>
        <w:rPr>
          <w:sz w:val="20"/>
          <w:szCs w:val="20"/>
          <w:color w:val="auto"/>
        </w:rPr>
      </w:pPr>
    </w:p>
    <w:p>
      <w:pPr>
        <w:ind w:left="8008"/>
        <w:spacing w:after="0"/>
        <w:rPr>
          <w:sz w:val="20"/>
          <w:szCs w:val="20"/>
          <w:color w:val="auto"/>
        </w:rPr>
      </w:pPr>
      <w:r>
        <w:rPr>
          <w:rFonts w:ascii="Arial" w:cs="Arial" w:eastAsia="Arial" w:hAnsi="Arial"/>
          <w:sz w:val="12"/>
          <w:szCs w:val="12"/>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9525</wp:posOffset>
            </wp:positionV>
            <wp:extent cx="357759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77590" cy="5715"/>
                    </a:xfrm>
                    <a:prstGeom prst="rect">
                      <a:avLst/>
                    </a:prstGeom>
                    <a:noFill/>
                  </pic:spPr>
                </pic:pic>
              </a:graphicData>
            </a:graphic>
          </wp:anchor>
        </w:drawing>
      </w:r>
    </w:p>
    <w:p>
      <w:pPr>
        <w:ind w:left="8068"/>
        <w:spacing w:after="0"/>
        <w:rPr>
          <w:sz w:val="20"/>
          <w:szCs w:val="20"/>
          <w:color w:val="auto"/>
        </w:rPr>
      </w:pPr>
      <w:r>
        <w:rPr>
          <w:rFonts w:ascii="Arial" w:cs="Arial" w:eastAsia="Arial" w:hAnsi="Arial"/>
          <w:sz w:val="12"/>
          <w:szCs w:val="12"/>
          <w:b w:val="1"/>
          <w:bCs w:val="1"/>
          <w:color w:val="auto"/>
        </w:rPr>
        <w:t>Alan S. McKim</w:t>
      </w:r>
    </w:p>
    <w:p>
      <w:pPr>
        <w:spacing w:after="0" w:line="19" w:lineRule="exact"/>
        <w:rPr>
          <w:sz w:val="20"/>
          <w:szCs w:val="20"/>
          <w:color w:val="auto"/>
        </w:rPr>
      </w:pPr>
    </w:p>
    <w:p>
      <w:pPr>
        <w:ind w:left="7248"/>
        <w:spacing w:after="0"/>
        <w:rPr>
          <w:sz w:val="20"/>
          <w:szCs w:val="20"/>
          <w:color w:val="auto"/>
        </w:rPr>
      </w:pPr>
      <w:r>
        <w:rPr>
          <w:rFonts w:ascii="Arial" w:cs="Arial" w:eastAsia="Arial" w:hAnsi="Arial"/>
          <w:sz w:val="12"/>
          <w:szCs w:val="12"/>
          <w:b w:val="1"/>
          <w:bCs w:val="1"/>
          <w:i w:val="1"/>
          <w:iCs w:val="1"/>
          <w:color w:val="auto"/>
        </w:rPr>
        <w:t>Chairman, President and Chief Executive Officer</w:t>
      </w:r>
    </w:p>
    <w:p>
      <w:pPr>
        <w:spacing w:after="0" w:line="231"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August 4, 2021</w:t>
      </w:r>
    </w:p>
    <w:p>
      <w:pPr>
        <w:sectPr>
          <w:pgSz w:w="11900" w:h="16838" w:orient="portrait"/>
          <w:cols w:equalWidth="0" w:num="1">
            <w:col w:w="11308"/>
          </w:cols>
          <w:pgMar w:left="292" w:top="640" w:right="299" w:bottom="1440" w:gutter="0" w:footer="0" w:header="0"/>
        </w:sectPr>
      </w:pPr>
    </w:p>
    <w:bookmarkStart w:id="40" w:name="page41"/>
    <w:bookmarkEnd w:id="40"/>
    <w:p>
      <w:pPr>
        <w:jc w:val="right"/>
        <w:spacing w:after="0"/>
        <w:rPr>
          <w:sz w:val="20"/>
          <w:szCs w:val="20"/>
          <w:color w:val="auto"/>
        </w:rPr>
      </w:pPr>
      <w:r>
        <w:rPr>
          <w:rFonts w:ascii="Arial" w:cs="Arial" w:eastAsia="Arial" w:hAnsi="Arial"/>
          <w:sz w:val="12"/>
          <w:szCs w:val="12"/>
          <w:b w:val="1"/>
          <w:bCs w:val="1"/>
          <w:color w:val="auto"/>
        </w:rPr>
        <w:t>EXHIBIT 31.2</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OF CHIEF FINANCIAL OFFICER</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I, Michael L. Battles, certify that:</w:t>
      </w:r>
    </w:p>
    <w:p>
      <w:pPr>
        <w:spacing w:after="0" w:line="168" w:lineRule="exact"/>
        <w:rPr>
          <w:sz w:val="20"/>
          <w:szCs w:val="20"/>
          <w:color w:val="auto"/>
        </w:rPr>
      </w:pPr>
    </w:p>
    <w:p>
      <w:pPr>
        <w:ind w:left="128" w:hanging="128"/>
        <w:spacing w:after="0"/>
        <w:tabs>
          <w:tab w:leader="none" w:pos="128" w:val="left"/>
        </w:tabs>
        <w:numPr>
          <w:ilvl w:val="0"/>
          <w:numId w:val="13"/>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Clean Harbors, Inc.;</w:t>
      </w:r>
    </w:p>
    <w:p>
      <w:pPr>
        <w:spacing w:after="0" w:line="168" w:lineRule="exact"/>
        <w:rPr>
          <w:rFonts w:ascii="Arial" w:cs="Arial" w:eastAsia="Arial" w:hAnsi="Arial"/>
          <w:sz w:val="12"/>
          <w:szCs w:val="12"/>
          <w:color w:val="auto"/>
        </w:rPr>
      </w:pPr>
    </w:p>
    <w:p>
      <w:pPr>
        <w:ind w:left="8" w:right="280" w:hanging="8"/>
        <w:spacing w:after="0" w:line="276" w:lineRule="auto"/>
        <w:tabs>
          <w:tab w:leader="none" w:pos="134" w:val="left"/>
        </w:tabs>
        <w:numPr>
          <w:ilvl w:val="0"/>
          <w:numId w:val="13"/>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2"/>
          <w:szCs w:val="12"/>
          <w:color w:val="auto"/>
        </w:rPr>
      </w:pPr>
    </w:p>
    <w:p>
      <w:pPr>
        <w:ind w:left="8" w:right="180" w:hanging="8"/>
        <w:spacing w:after="0" w:line="276" w:lineRule="auto"/>
        <w:tabs>
          <w:tab w:leader="none" w:pos="134" w:val="left"/>
        </w:tabs>
        <w:numPr>
          <w:ilvl w:val="0"/>
          <w:numId w:val="13"/>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2"/>
          <w:szCs w:val="12"/>
          <w:color w:val="auto"/>
        </w:rPr>
      </w:pPr>
    </w:p>
    <w:p>
      <w:pPr>
        <w:ind w:left="8" w:right="300" w:hanging="8"/>
        <w:spacing w:after="0" w:line="276" w:lineRule="auto"/>
        <w:tabs>
          <w:tab w:leader="none" w:pos="134"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sz w:val="20"/>
          <w:szCs w:val="20"/>
          <w:color w:val="auto"/>
        </w:rPr>
      </w:pPr>
    </w:p>
    <w:p>
      <w:pPr>
        <w:ind w:left="8" w:right="280" w:hanging="8"/>
        <w:spacing w:after="0" w:line="276" w:lineRule="auto"/>
        <w:tabs>
          <w:tab w:leader="none" w:pos="177" w:val="left"/>
        </w:tabs>
        <w:numPr>
          <w:ilvl w:val="0"/>
          <w:numId w:val="1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2"/>
          <w:szCs w:val="12"/>
          <w:color w:val="auto"/>
        </w:rPr>
      </w:pPr>
    </w:p>
    <w:p>
      <w:pPr>
        <w:ind w:left="8" w:right="200" w:hanging="8"/>
        <w:spacing w:after="0" w:line="276" w:lineRule="auto"/>
        <w:tabs>
          <w:tab w:leader="none" w:pos="184" w:val="left"/>
        </w:tabs>
        <w:numPr>
          <w:ilvl w:val="0"/>
          <w:numId w:val="1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2"/>
          <w:szCs w:val="12"/>
          <w:color w:val="auto"/>
        </w:rPr>
      </w:pPr>
    </w:p>
    <w:p>
      <w:pPr>
        <w:ind w:left="8" w:right="140" w:hanging="8"/>
        <w:spacing w:after="0" w:line="276" w:lineRule="auto"/>
        <w:tabs>
          <w:tab w:leader="none" w:pos="177" w:val="left"/>
        </w:tabs>
        <w:numPr>
          <w:ilvl w:val="0"/>
          <w:numId w:val="14"/>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2"/>
          <w:szCs w:val="12"/>
          <w:color w:val="auto"/>
        </w:rPr>
      </w:pPr>
    </w:p>
    <w:p>
      <w:pPr>
        <w:ind w:left="8" w:right="180" w:hanging="8"/>
        <w:spacing w:after="0" w:line="276" w:lineRule="auto"/>
        <w:tabs>
          <w:tab w:leader="none" w:pos="184" w:val="left"/>
        </w:tabs>
        <w:numPr>
          <w:ilvl w:val="0"/>
          <w:numId w:val="14"/>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3" w:lineRule="exact"/>
        <w:rPr>
          <w:sz w:val="20"/>
          <w:szCs w:val="20"/>
          <w:color w:val="auto"/>
        </w:rPr>
      </w:pPr>
    </w:p>
    <w:p>
      <w:pPr>
        <w:ind w:left="8" w:right="80" w:hanging="8"/>
        <w:spacing w:after="0" w:line="276" w:lineRule="auto"/>
        <w:tabs>
          <w:tab w:leader="none" w:pos="134"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sz w:val="20"/>
          <w:szCs w:val="20"/>
          <w:color w:val="auto"/>
        </w:rPr>
      </w:pPr>
    </w:p>
    <w:p>
      <w:pPr>
        <w:ind w:left="8" w:right="300" w:hanging="8"/>
        <w:spacing w:after="0" w:line="276" w:lineRule="auto"/>
        <w:tabs>
          <w:tab w:leader="none" w:pos="177" w:val="left"/>
        </w:tabs>
        <w:numPr>
          <w:ilvl w:val="0"/>
          <w:numId w:val="16"/>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2"/>
          <w:szCs w:val="12"/>
          <w:color w:val="auto"/>
        </w:rPr>
      </w:pPr>
    </w:p>
    <w:p>
      <w:pPr>
        <w:ind w:left="168" w:hanging="168"/>
        <w:spacing w:after="0"/>
        <w:tabs>
          <w:tab w:leader="none" w:pos="168" w:val="left"/>
        </w:tabs>
        <w:numPr>
          <w:ilvl w:val="0"/>
          <w:numId w:val="16"/>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3" w:lineRule="exact"/>
        <w:rPr>
          <w:sz w:val="20"/>
          <w:szCs w:val="20"/>
          <w:color w:val="auto"/>
        </w:rPr>
      </w:pPr>
    </w:p>
    <w:p>
      <w:pPr>
        <w:ind w:left="7948"/>
        <w:spacing w:after="0"/>
        <w:rPr>
          <w:sz w:val="20"/>
          <w:szCs w:val="20"/>
          <w:color w:val="auto"/>
        </w:rPr>
      </w:pPr>
      <w:r>
        <w:rPr>
          <w:rFonts w:ascii="Arial" w:cs="Arial" w:eastAsia="Arial" w:hAnsi="Arial"/>
          <w:sz w:val="12"/>
          <w:szCs w:val="12"/>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9525</wp:posOffset>
            </wp:positionV>
            <wp:extent cx="357759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77590" cy="5715"/>
                    </a:xfrm>
                    <a:prstGeom prst="rect">
                      <a:avLst/>
                    </a:prstGeom>
                    <a:noFill/>
                  </pic:spPr>
                </pic:pic>
              </a:graphicData>
            </a:graphic>
          </wp:anchor>
        </w:drawing>
      </w:r>
    </w:p>
    <w:p>
      <w:pPr>
        <w:ind w:left="8008"/>
        <w:spacing w:after="0"/>
        <w:rPr>
          <w:sz w:val="20"/>
          <w:szCs w:val="20"/>
          <w:color w:val="auto"/>
        </w:rPr>
      </w:pPr>
      <w:r>
        <w:rPr>
          <w:rFonts w:ascii="Arial" w:cs="Arial" w:eastAsia="Arial" w:hAnsi="Arial"/>
          <w:sz w:val="12"/>
          <w:szCs w:val="12"/>
          <w:b w:val="1"/>
          <w:bCs w:val="1"/>
          <w:color w:val="auto"/>
        </w:rPr>
        <w:t>Michael L. Battles</w:t>
      </w:r>
    </w:p>
    <w:p>
      <w:pPr>
        <w:spacing w:after="0" w:line="19" w:lineRule="exact"/>
        <w:rPr>
          <w:sz w:val="20"/>
          <w:szCs w:val="20"/>
          <w:color w:val="auto"/>
        </w:rPr>
      </w:pPr>
    </w:p>
    <w:p>
      <w:pPr>
        <w:ind w:left="7148"/>
        <w:spacing w:after="0"/>
        <w:rPr>
          <w:sz w:val="20"/>
          <w:szCs w:val="20"/>
          <w:color w:val="auto"/>
        </w:rPr>
      </w:pPr>
      <w:r>
        <w:rPr>
          <w:rFonts w:ascii="Arial" w:cs="Arial" w:eastAsia="Arial" w:hAnsi="Arial"/>
          <w:sz w:val="12"/>
          <w:szCs w:val="12"/>
          <w:b w:val="1"/>
          <w:bCs w:val="1"/>
          <w:i w:val="1"/>
          <w:iCs w:val="1"/>
          <w:color w:val="auto"/>
        </w:rPr>
        <w:t>Executive Vice President and Chief Financial Officer</w:t>
      </w:r>
    </w:p>
    <w:p>
      <w:pPr>
        <w:spacing w:after="0" w:line="231"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August 4, 2021</w:t>
      </w:r>
    </w:p>
    <w:p>
      <w:pPr>
        <w:sectPr>
          <w:pgSz w:w="11900" w:h="16838" w:orient="portrait"/>
          <w:cols w:equalWidth="0" w:num="1">
            <w:col w:w="11308"/>
          </w:cols>
          <w:pgMar w:left="292" w:top="640" w:right="299" w:bottom="1440" w:gutter="0" w:footer="0" w:header="0"/>
        </w:sectPr>
      </w:pPr>
    </w:p>
    <w:bookmarkStart w:id="41" w:name="page42"/>
    <w:bookmarkEnd w:id="41"/>
    <w:p>
      <w:pPr>
        <w:jc w:val="right"/>
        <w:spacing w:after="0"/>
        <w:rPr>
          <w:sz w:val="20"/>
          <w:szCs w:val="20"/>
          <w:color w:val="auto"/>
        </w:rPr>
      </w:pPr>
      <w:r>
        <w:rPr>
          <w:rFonts w:ascii="Arial" w:cs="Arial" w:eastAsia="Arial" w:hAnsi="Arial"/>
          <w:sz w:val="12"/>
          <w:szCs w:val="12"/>
          <w:b w:val="1"/>
          <w:bCs w:val="1"/>
          <w:color w:val="auto"/>
        </w:rPr>
        <w:t>EXHIBIT 32</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CLEAN HARBORS, INC. AND SUBSIDIARIES</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SECTION 1350, CHAPTER 63 OF TITLE 18, UNITED STATES CODE,</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 OXLEY ACT OF 2002</w:t>
      </w:r>
    </w:p>
    <w:p>
      <w:pPr>
        <w:spacing w:after="0" w:line="159" w:lineRule="exact"/>
        <w:rPr>
          <w:sz w:val="20"/>
          <w:szCs w:val="20"/>
          <w:color w:val="auto"/>
        </w:rPr>
      </w:pPr>
    </w:p>
    <w:p>
      <w:pPr>
        <w:ind w:right="140" w:firstLine="432"/>
        <w:spacing w:after="0" w:line="298" w:lineRule="auto"/>
        <w:rPr>
          <w:sz w:val="20"/>
          <w:szCs w:val="20"/>
          <w:color w:val="auto"/>
        </w:rPr>
      </w:pPr>
      <w:r>
        <w:rPr>
          <w:rFonts w:ascii="Arial" w:cs="Arial" w:eastAsia="Arial" w:hAnsi="Arial"/>
          <w:sz w:val="11"/>
          <w:szCs w:val="11"/>
          <w:color w:val="auto"/>
        </w:rPr>
        <w:t>Pursuant to 18 U.S.C. §1350, each of the undersigned certifies that, to his knowledge, this Quarterly Report on Form 10-Q for the period ended June 30, 2021 fully complies with the requirements of Section 13(a) or 15(d) of the Securities Exchange Act of 1934 and the information contained in this report fairly presents, in all material respects, the financial condition and results of operations of Clean Harbors, Inc.</w:t>
      </w:r>
    </w:p>
    <w:p>
      <w:pPr>
        <w:spacing w:after="0" w:line="1" w:lineRule="exact"/>
        <w:rPr>
          <w:sz w:val="20"/>
          <w:szCs w:val="20"/>
          <w:color w:val="auto"/>
        </w:rPr>
      </w:pPr>
    </w:p>
    <w:p>
      <w:pPr>
        <w:ind w:left="6020"/>
        <w:spacing w:after="0"/>
        <w:tabs>
          <w:tab w:leader="none" w:pos="82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ALAN S. MCKIM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9525</wp:posOffset>
            </wp:positionV>
            <wp:extent cx="322326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23260" cy="5715"/>
                    </a:xfrm>
                    <a:prstGeom prst="rect">
                      <a:avLst/>
                    </a:prstGeom>
                    <a:noFill/>
                  </pic:spPr>
                </pic:pic>
              </a:graphicData>
            </a:graphic>
          </wp:anchor>
        </w:drawing>
      </w:r>
    </w:p>
    <w:p>
      <w:pPr>
        <w:jc w:val="center"/>
        <w:ind w:left="6200"/>
        <w:spacing w:after="0"/>
        <w:rPr>
          <w:sz w:val="20"/>
          <w:szCs w:val="20"/>
          <w:color w:val="auto"/>
        </w:rPr>
      </w:pPr>
      <w:r>
        <w:rPr>
          <w:rFonts w:ascii="Arial" w:cs="Arial" w:eastAsia="Arial" w:hAnsi="Arial"/>
          <w:sz w:val="12"/>
          <w:szCs w:val="12"/>
          <w:b w:val="1"/>
          <w:bCs w:val="1"/>
          <w:color w:val="auto"/>
        </w:rPr>
        <w:t>Alan S. McKim</w:t>
      </w:r>
    </w:p>
    <w:p>
      <w:pPr>
        <w:spacing w:after="0" w:line="19" w:lineRule="exact"/>
        <w:rPr>
          <w:sz w:val="20"/>
          <w:szCs w:val="20"/>
          <w:color w:val="auto"/>
        </w:rPr>
      </w:pPr>
    </w:p>
    <w:p>
      <w:pPr>
        <w:jc w:val="center"/>
        <w:ind w:left="6200"/>
        <w:spacing w:after="0"/>
        <w:rPr>
          <w:sz w:val="20"/>
          <w:szCs w:val="20"/>
          <w:color w:val="auto"/>
        </w:rPr>
      </w:pPr>
      <w:r>
        <w:rPr>
          <w:rFonts w:ascii="Arial" w:cs="Arial" w:eastAsia="Arial" w:hAnsi="Arial"/>
          <w:sz w:val="12"/>
          <w:szCs w:val="12"/>
          <w:b w:val="1"/>
          <w:bCs w:val="1"/>
          <w:color w:val="auto"/>
        </w:rPr>
        <w:t>Chairman, President and Chief Executive Officer</w:t>
      </w:r>
    </w:p>
    <w:p>
      <w:pPr>
        <w:spacing w:after="0" w:line="168" w:lineRule="exact"/>
        <w:rPr>
          <w:sz w:val="20"/>
          <w:szCs w:val="20"/>
          <w:color w:val="auto"/>
        </w:rPr>
      </w:pPr>
    </w:p>
    <w:p>
      <w:pPr>
        <w:ind w:left="400"/>
        <w:spacing w:after="0"/>
        <w:rPr>
          <w:sz w:val="20"/>
          <w:szCs w:val="20"/>
          <w:color w:val="auto"/>
        </w:rPr>
      </w:pPr>
      <w:r>
        <w:rPr>
          <w:rFonts w:ascii="Arial" w:cs="Arial" w:eastAsia="Arial" w:hAnsi="Arial"/>
          <w:sz w:val="12"/>
          <w:szCs w:val="12"/>
          <w:color w:val="auto"/>
        </w:rPr>
        <w:t>Date: August 4, 2021</w:t>
      </w:r>
    </w:p>
    <w:p>
      <w:pPr>
        <w:spacing w:after="0" w:line="168" w:lineRule="exact"/>
        <w:rPr>
          <w:sz w:val="20"/>
          <w:szCs w:val="20"/>
          <w:color w:val="auto"/>
        </w:rPr>
      </w:pPr>
    </w:p>
    <w:p>
      <w:pPr>
        <w:ind w:left="6020"/>
        <w:spacing w:after="0"/>
        <w:tabs>
          <w:tab w:leader="none" w:pos="804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9525</wp:posOffset>
            </wp:positionV>
            <wp:extent cx="322326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23260" cy="5715"/>
                    </a:xfrm>
                    <a:prstGeom prst="rect">
                      <a:avLst/>
                    </a:prstGeom>
                    <a:noFill/>
                  </pic:spPr>
                </pic:pic>
              </a:graphicData>
            </a:graphic>
          </wp:anchor>
        </w:drawing>
      </w:r>
    </w:p>
    <w:p>
      <w:pPr>
        <w:jc w:val="center"/>
        <w:ind w:left="6200"/>
        <w:spacing w:after="0"/>
        <w:rPr>
          <w:sz w:val="20"/>
          <w:szCs w:val="20"/>
          <w:color w:val="auto"/>
        </w:rPr>
      </w:pPr>
      <w:r>
        <w:rPr>
          <w:rFonts w:ascii="Arial" w:cs="Arial" w:eastAsia="Arial" w:hAnsi="Arial"/>
          <w:sz w:val="12"/>
          <w:szCs w:val="12"/>
          <w:b w:val="1"/>
          <w:bCs w:val="1"/>
          <w:color w:val="auto"/>
        </w:rPr>
        <w:t>Michael L. Battles</w:t>
      </w:r>
    </w:p>
    <w:p>
      <w:pPr>
        <w:spacing w:after="0" w:line="19" w:lineRule="exact"/>
        <w:rPr>
          <w:sz w:val="20"/>
          <w:szCs w:val="20"/>
          <w:color w:val="auto"/>
        </w:rPr>
      </w:pPr>
    </w:p>
    <w:p>
      <w:pPr>
        <w:ind w:left="7460"/>
        <w:spacing w:after="0"/>
        <w:rPr>
          <w:sz w:val="20"/>
          <w:szCs w:val="20"/>
          <w:color w:val="auto"/>
        </w:rPr>
      </w:pPr>
      <w:r>
        <w:rPr>
          <w:rFonts w:ascii="Arial" w:cs="Arial" w:eastAsia="Arial" w:hAnsi="Arial"/>
          <w:sz w:val="11"/>
          <w:szCs w:val="11"/>
          <w:b w:val="1"/>
          <w:bCs w:val="1"/>
          <w:color w:val="auto"/>
        </w:rPr>
        <w:t>Executive Vice President and Chief Financial Officer</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2"/>
          <w:szCs w:val="12"/>
          <w:color w:val="auto"/>
        </w:rPr>
        <w:t>Date: August 4, 2021</w:t>
      </w:r>
    </w:p>
    <w:sectPr>
      <w:pgSz w:w="11900" w:h="16838" w:orient="portrait"/>
      <w:cols w:equalWidth="0" w:num="1">
        <w:col w:w="11300"/>
      </w:cols>
      <w:pgMar w:left="300" w:top="6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2"/>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decimal"/>
      <w:start w:val="5"/>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decimal"/>
      <w:start w:val="5"/>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2021-08-04T09:47:43Z</dcterms:created>
  <dcterms:modified xsi:type="dcterms:W3CDTF">2021-08-04T09:47:43Z</dcterms:modified>
</cp:coreProperties>
</file>