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4" w:lineRule="exact"/>
        <w:rPr>
          <w:sz w:val="24"/>
          <w:szCs w:val="24"/>
          <w:color w:val="auto"/>
        </w:rPr>
      </w:pPr>
    </w:p>
    <w:p>
      <w:pPr>
        <w:ind w:left="1220" w:hanging="357"/>
        <w:spacing w:after="0"/>
        <w:tabs>
          <w:tab w:leader="none" w:pos="1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5" w:lineRule="exact"/>
        <w:rPr>
          <w:sz w:val="24"/>
          <w:szCs w:val="24"/>
          <w:color w:val="auto"/>
        </w:rPr>
      </w:pPr>
    </w:p>
    <w:p>
      <w:pPr>
        <w:ind w:left="1220" w:hanging="357"/>
        <w:spacing w:after="0"/>
        <w:tabs>
          <w:tab w:leader="none" w:pos="12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00"/>
          </w:cols>
          <w:pgMar w:left="320" w:top="229" w:right="379" w:bottom="1440" w:gutter="0" w:footer="0" w:header="0"/>
        </w:sectPr>
      </w:pPr>
    </w:p>
    <w:p>
      <w:pPr>
        <w:spacing w:after="0" w:line="16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6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40005</wp:posOffset>
            </wp:positionV>
            <wp:extent cx="213423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4235" cy="6515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719" w:lineRule="exact"/>
        <w:rPr>
          <w:sz w:val="24"/>
          <w:szCs w:val="24"/>
          <w:color w:val="auto"/>
        </w:rPr>
      </w:pPr>
    </w:p>
    <w:p>
      <w:pPr>
        <w:sectPr>
          <w:pgSz w:w="11900" w:h="16838" w:orient="portrait"/>
          <w:cols w:equalWidth="0" w:num="2">
            <w:col w:w="7020" w:space="180"/>
            <w:col w:w="4000"/>
          </w:cols>
          <w:pgMar w:left="320" w:top="229" w:right="3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CLEAN HARBORS, INC.</w:t>
      </w:r>
    </w:p>
    <w:p>
      <w:pPr>
        <w:spacing w:after="0" w:line="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7"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4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04-2997780</w:t>
            </w:r>
          </w:p>
        </w:tc>
      </w:t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54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02061-9149</w:t>
            </w:r>
          </w:p>
        </w:tc>
      </w:tr>
      <w:tr>
        <w:trPr>
          <w:trHeight w:val="234"/>
        </w:trPr>
        <w:tc>
          <w:tcPr>
            <w:tcW w:w="5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3220" w:type="dxa"/>
            <w:vAlign w:val="bottom"/>
            <w:gridSpan w:val="2"/>
            <w:vMerge w:val="continue"/>
          </w:tcPr>
          <w:p>
            <w:pPr>
              <w:spacing w:after="0"/>
              <w:rPr>
                <w:sz w:val="21"/>
                <w:szCs w:val="21"/>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0" w:type="dxa"/>
            <w:vAlign w:val="bottom"/>
          </w:tcPr>
          <w:p>
            <w:pPr>
              <w:spacing w:after="0"/>
              <w:rPr>
                <w:sz w:val="1"/>
                <w:szCs w:val="1"/>
                <w:color w:val="auto"/>
              </w:rPr>
            </w:pPr>
          </w:p>
        </w:tc>
      </w:tr>
      <w:tr>
        <w:trPr>
          <w:trHeight w:val="228"/>
        </w:trPr>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CLH</w:t>
            </w:r>
          </w:p>
        </w:tc>
        <w:tc>
          <w:tcPr>
            <w:tcW w:w="12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229" w:right="379" w:bottom="1440" w:gutter="0" w:footer="0" w:header="0"/>
          <w:type w:val="continuous"/>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760"/>
        <w:spacing w:after="0" w:line="190"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9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178" w:lineRule="exact"/>
        <w:rPr>
          <w:sz w:val="24"/>
          <w:szCs w:val="24"/>
          <w:color w:val="auto"/>
        </w:rPr>
      </w:pPr>
    </w:p>
    <w:p>
      <w:pPr>
        <w:sectPr>
          <w:pgSz w:w="11900" w:h="16838" w:orient="portrait"/>
          <w:cols w:equalWidth="0" w:num="3">
            <w:col w:w="3400" w:space="100"/>
            <w:col w:w="3260" w:space="720"/>
            <w:col w:w="3720"/>
          </w:cols>
          <w:pgMar w:left="320" w:top="229" w:right="379" w:bottom="1440" w:gutter="0" w:footer="0" w:header="0"/>
          <w:type w:val="continuous"/>
        </w:sectPr>
      </w:pPr>
    </w:p>
    <w:p>
      <w:pPr>
        <w:ind w:right="1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340" w:right="16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of the registrant outstanding at May 1, 2026 was 52,846,032.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80" w:type="dxa"/>
            <w:vAlign w:val="bottom"/>
            <w:gridSpan w:val="10"/>
            <w:vMerge w:val="restart"/>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80" w:type="dxa"/>
            <w:vAlign w:val="bottom"/>
            <w:gridSpan w:val="10"/>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1: Unaudited Consolidated Financial Statements</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Consolidated Balance Sheets</w:t>
            </w:r>
          </w:p>
        </w:tc>
        <w:tc>
          <w:tcPr>
            <w:tcW w:w="2080" w:type="dxa"/>
            <w:vAlign w:val="bottom"/>
            <w:tcBorders>
              <w:top w:val="single" w:sz="8" w:color="0000FF"/>
            </w:tcBorders>
            <w:gridSpan w:val="8"/>
          </w:tcPr>
          <w:p>
            <w:pPr>
              <w:spacing w:after="0"/>
              <w:rPr>
                <w:sz w:val="18"/>
                <w:szCs w:val="18"/>
                <w:color w:val="auto"/>
              </w:rPr>
            </w:pPr>
          </w:p>
        </w:tc>
        <w:tc>
          <w:tcPr>
            <w:tcW w:w="6100" w:type="dxa"/>
            <w:vAlign w:val="bottom"/>
            <w:gridSpan w:val="8"/>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w:t>
            </w:r>
          </w:p>
        </w:tc>
        <w:tc>
          <w:tcPr>
            <w:tcW w:w="6620" w:type="dxa"/>
            <w:vAlign w:val="bottom"/>
            <w:gridSpan w:val="12"/>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Comprehensive Income</w:t>
            </w: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380" w:type="dxa"/>
            <w:vAlign w:val="bottom"/>
            <w:gridSpan w:val="3"/>
          </w:tcPr>
          <w:p>
            <w:pPr>
              <w:spacing w:after="0"/>
              <w:rPr>
                <w:sz w:val="18"/>
                <w:szCs w:val="18"/>
                <w:color w:val="auto"/>
              </w:rPr>
            </w:pPr>
          </w:p>
        </w:tc>
        <w:tc>
          <w:tcPr>
            <w:tcW w:w="5900" w:type="dxa"/>
            <w:vAlign w:val="bottom"/>
            <w:gridSpan w:val="7"/>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5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5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3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496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360" w:type="dxa"/>
            <w:vAlign w:val="bottom"/>
            <w:gridSpan w:val="3"/>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8220" w:type="dxa"/>
            <w:vAlign w:val="bottom"/>
            <w:gridSpan w:val="17"/>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22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8"/>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506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600" w:type="dxa"/>
            <w:vAlign w:val="bottom"/>
            <w:gridSpan w:val="2"/>
          </w:tcPr>
          <w:p>
            <w:pPr>
              <w:spacing w:after="0"/>
              <w:rPr>
                <w:sz w:val="18"/>
                <w:szCs w:val="18"/>
                <w:color w:val="auto"/>
              </w:rPr>
            </w:pPr>
          </w:p>
        </w:tc>
        <w:tc>
          <w:tcPr>
            <w:tcW w:w="7180" w:type="dxa"/>
            <w:vAlign w:val="bottom"/>
            <w:gridSpan w:val="13"/>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7780" w:type="dxa"/>
            <w:vAlign w:val="bottom"/>
            <w:gridSpan w:val="1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180" w:type="dxa"/>
            <w:vAlign w:val="bottom"/>
            <w:gridSpan w:val="1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6: Exhibits</w:t>
            </w:r>
          </w:p>
        </w:tc>
        <w:tc>
          <w:tcPr>
            <w:tcW w:w="800" w:type="dxa"/>
            <w:vAlign w:val="bottom"/>
            <w:gridSpan w:val="3"/>
          </w:tcPr>
          <w:p>
            <w:pPr>
              <w:spacing w:after="0"/>
              <w:rPr>
                <w:sz w:val="18"/>
                <w:szCs w:val="18"/>
                <w:color w:val="auto"/>
              </w:rPr>
            </w:pPr>
          </w:p>
        </w:tc>
        <w:tc>
          <w:tcPr>
            <w:tcW w:w="818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980" w:type="dxa"/>
            <w:vAlign w:val="bottom"/>
            <w:gridSpan w:val="1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980" w:type="dxa"/>
            <w:vAlign w:val="bottom"/>
            <w:gridSpan w:val="19"/>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8"/>
        </w:trPr>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826,315</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127,363</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aggregating $37,645 and $35,991, respectively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1,044,137</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160,888</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372,088</w:t>
            </w: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116,452</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2,443,132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2,647,243</w:t>
            </w:r>
          </w:p>
        </w:tc>
      </w:tr>
      <w:tr>
        <w:trPr>
          <w:trHeight w:val="22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2,562,156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2,541,067</w:t>
            </w: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255,084</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1,479,050</w:t>
            </w: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653,027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48,585</w:t>
            </w:r>
          </w:p>
        </w:tc>
      </w:tr>
      <w:tr>
        <w:trPr>
          <w:trHeight w:val="223"/>
        </w:trPr>
        <w:tc>
          <w:tcPr>
            <w:tcW w:w="8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other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2,547,278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2,435,746</w:t>
            </w:r>
          </w:p>
        </w:tc>
      </w:tr>
      <w:tr>
        <w:trPr>
          <w:trHeight w:val="248"/>
        </w:trPr>
        <w:tc>
          <w:tcPr>
            <w:tcW w:w="8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7,624,056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506,592</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81,529</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441,788</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75,226</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1,136,847</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$12,132 and $10,290, respectively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125,038</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Remedial liabilities, less current portion of $8,997 and $8,822, respectively</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2,763,563</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184,308</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384,207</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197,886</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3,734,104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3,741,549</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contingent liabilities (See Note 15)</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80,000,000 shares; issued and outstanding 52,833,291 and 52,870,599 shares, respectively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193,896</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(204,616)</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2,819,052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2,755,851</w:t>
            </w:r>
          </w:p>
        </w:tc>
      </w:tr>
      <w:tr>
        <w:trPr>
          <w:trHeight w:val="223"/>
        </w:trPr>
        <w:tc>
          <w:tcPr>
            <w:tcW w:w="8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2,745,660</w:t>
            </w:r>
          </w:p>
        </w:tc>
      </w:tr>
      <w:tr>
        <w:trPr>
          <w:trHeight w:val="223"/>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7,552,566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7,624,056</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1,247,434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1,201,454</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230,496</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1,459,537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1,431,950</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839,744</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182,140</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1,021,884</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182,847</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111,980</w:t>
            </w:r>
          </w:p>
        </w:tc>
        <w:tc>
          <w:tcPr>
            <w:tcW w:w="0" w:type="dxa"/>
            <w:vAlign w:val="bottom"/>
          </w:tcPr>
          <w:p>
            <w:pPr>
              <w:spacing w:after="0"/>
              <w:rPr>
                <w:sz w:val="1"/>
                <w:szCs w:val="1"/>
                <w:color w:val="auto"/>
              </w:rPr>
            </w:pPr>
          </w:p>
        </w:tc>
      </w:tr>
      <w:tr>
        <w:trPr>
          <w:trHeight w:val="223"/>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111,619</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 of $6,413 and $5,628, respectively</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(36,077)</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74,610</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53,759</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72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52,992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53,993</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r>
      <w:tr>
        <w:trPr>
          <w:trHeight w:val="23"/>
        </w:trPr>
        <w:tc>
          <w:tcPr>
            <w:tcW w:w="8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58,680</w:t>
            </w:r>
          </w:p>
        </w:tc>
      </w:tr>
      <w:tr>
        <w:trPr>
          <w:trHeight w:val="229"/>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on fair value of interest rate hedges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 income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adjustments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3"/>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w:t>
            </w:r>
          </w:p>
        </w:tc>
      </w:tr>
      <w:tr>
        <w:trPr>
          <w:trHeight w:val="248"/>
        </w:trPr>
        <w:tc>
          <w:tcPr>
            <w:tcW w:w="8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53,748</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r>
      <w:tr>
        <w:trPr>
          <w:trHeight w:val="23"/>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8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63,201</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58,680</w:t>
            </w:r>
          </w:p>
        </w:tc>
      </w:tr>
      <w:tr>
        <w:trPr>
          <w:trHeight w:val="21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111,980</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(9,863)</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expense,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7,635</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8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(74,576)</w:t>
            </w:r>
          </w:p>
        </w:tc>
      </w:tr>
      <w:tr>
        <w:trPr>
          <w:trHeight w:val="213"/>
        </w:trPr>
        <w:tc>
          <w:tcPr>
            <w:tcW w:w="8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Inventories and supplies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8,670</w:t>
            </w:r>
          </w:p>
        </w:tc>
      </w:tr>
      <w:tr>
        <w:trPr>
          <w:trHeight w:val="219"/>
        </w:trPr>
        <w:tc>
          <w:tcPr>
            <w:tcW w:w="8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(6,983)</w:t>
            </w:r>
          </w:p>
        </w:tc>
      </w:tr>
      <w:tr>
        <w:trPr>
          <w:trHeight w:val="213"/>
        </w:trPr>
        <w:tc>
          <w:tcPr>
            <w:tcW w:w="8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(10,989)</w:t>
            </w:r>
          </w:p>
        </w:tc>
      </w:tr>
      <w:tr>
        <w:trPr>
          <w:trHeight w:val="219"/>
        </w:trPr>
        <w:tc>
          <w:tcPr>
            <w:tcW w:w="8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(89,401)</w:t>
            </w:r>
          </w:p>
        </w:tc>
      </w:tr>
      <w:tr>
        <w:trPr>
          <w:trHeight w:val="207"/>
        </w:trPr>
        <w:tc>
          <w:tcPr>
            <w:tcW w:w="8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w:t>
            </w:r>
          </w:p>
        </w:tc>
      </w:tr>
      <w:tr>
        <w:trPr>
          <w:trHeight w:val="19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(118,695)</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(24,186)</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21,456</w:t>
            </w:r>
          </w:p>
        </w:tc>
      </w:tr>
      <w:tr>
        <w:trPr>
          <w:trHeight w:val="207"/>
        </w:trPr>
        <w:tc>
          <w:tcPr>
            <w:tcW w:w="8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(222,723)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(120,330)</w:t>
            </w:r>
          </w:p>
        </w:tc>
      </w:tr>
      <w:tr>
        <w:trPr>
          <w:trHeight w:val="19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(8,688)</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(10,081)</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(3,776)</w:t>
            </w:r>
          </w:p>
        </w:tc>
      </w:tr>
      <w:tr>
        <w:trPr>
          <w:trHeight w:val="207"/>
        </w:trPr>
        <w:tc>
          <w:tcPr>
            <w:tcW w:w="8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(58,253)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(79,259)</w:t>
            </w:r>
          </w:p>
        </w:tc>
      </w:tr>
      <w:tr>
        <w:trPr>
          <w:trHeight w:val="212"/>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07"/>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(197,775)</w:t>
            </w:r>
          </w:p>
        </w:tc>
      </w:tr>
      <w:tr>
        <w:trPr>
          <w:trHeight w:val="216"/>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826,315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687,192</w:t>
            </w:r>
          </w:p>
        </w:tc>
      </w:tr>
      <w:tr>
        <w:trPr>
          <w:trHeight w:val="212"/>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547,994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489,417</w:t>
            </w: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Supplemental information: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3"/>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56,671</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9,280</w:t>
            </w:r>
          </w:p>
        </w:tc>
      </w:tr>
      <w:tr>
        <w:trPr>
          <w:trHeight w:val="21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12,462</w:t>
            </w:r>
          </w:p>
        </w:tc>
      </w:tr>
      <w:tr>
        <w:trPr>
          <w:trHeight w:val="21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operating lease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15,638</w:t>
            </w:r>
          </w:p>
        </w:tc>
      </w:tr>
      <w:tr>
        <w:trPr>
          <w:trHeight w:val="210"/>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finance lease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27,181</w:t>
            </w: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ind w:left="372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5"/>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 w:type="dxa"/>
            <w:vAlign w:val="bottom"/>
          </w:tcPr>
          <w:p>
            <w:pPr>
              <w:spacing w:after="0"/>
              <w:rPr>
                <w:sz w:val="12"/>
                <w:szCs w:val="12"/>
                <w:color w:val="auto"/>
              </w:rPr>
            </w:pPr>
          </w:p>
        </w:tc>
        <w:tc>
          <w:tcPr>
            <w:tcW w:w="74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74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2,745,660</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2,819,052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2,775,503</w:t>
            </w:r>
          </w:p>
        </w:tc>
        <w:tc>
          <w:tcPr>
            <w:tcW w:w="0" w:type="dxa"/>
            <w:vAlign w:val="bottom"/>
          </w:tcPr>
          <w:p>
            <w:pPr>
              <w:spacing w:after="0"/>
              <w:rPr>
                <w:sz w:val="1"/>
                <w:szCs w:val="1"/>
                <w:color w:val="auto"/>
              </w:rPr>
            </w:pPr>
          </w:p>
        </w:tc>
      </w:tr>
      <w:tr>
        <w:trPr>
          <w:trHeight w:val="787"/>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5"/>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gridSpan w:val="2"/>
            <w:vMerge w:val="restart"/>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20" w:type="dxa"/>
            <w:vAlign w:val="bottom"/>
          </w:tcPr>
          <w:p>
            <w:pPr>
              <w:spacing w:after="0"/>
              <w:rPr>
                <w:sz w:val="12"/>
                <w:szCs w:val="12"/>
                <w:color w:val="auto"/>
              </w:rPr>
            </w:pPr>
          </w:p>
        </w:tc>
        <w:tc>
          <w:tcPr>
            <w:tcW w:w="740" w:type="dxa"/>
            <w:vAlign w:val="bottom"/>
          </w:tcPr>
          <w:p>
            <w:pPr>
              <w:jc w:val="center"/>
              <w:ind w:left="282"/>
              <w:spacing w:after="0" w:line="146"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74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2,573,529</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0" w:type="dxa"/>
            <w:vAlign w:val="bottom"/>
          </w:tcPr>
          <w:p>
            <w:pPr>
              <w:spacing w:after="0"/>
              <w:rPr>
                <w:sz w:val="1"/>
                <w:szCs w:val="1"/>
                <w:color w:val="auto"/>
              </w:rPr>
            </w:pPr>
          </w:p>
        </w:tc>
      </w:tr>
      <w:tr>
        <w:trPr>
          <w:trHeight w:val="184"/>
        </w:trPr>
        <w:tc>
          <w:tcPr>
            <w:tcW w:w="37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365,698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2,423,557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2,571,224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interim financial statements are unaudited and include the accounts of Clean Harbors, Inc. and its subsidiaries (collectively, “Clean Harbors” or the “Company”) and have been prepared pursuant to the rules and regulations of the Securities and Exchange Commission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in the Company's Annual Report on Form 10-K for the year ended December 31, 2025. There have been no material changes in these policies or their application during the periods presented.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4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Company generates revenues through the following operating segments: Environmental Services and Safety-Kleen Sustainability Solutions, or SKSS. The Company’s Environmental Services operating segment generally has four sources of revenue and the SKSS operating segment has two sources of revenue. The Company disaggregates third-party revenues by geographic location and source of revenue as management believes these categories depict how revenue and cash flows are affected by economic factors. The tables below present revenue to outside customers by a particular segment. When necessary, the Company records intercompany transactions to present the direct revenues in the appropriate segment results. The Company’s significant sources of revenue include:</w:t>
      </w:r>
    </w:p>
    <w:p>
      <w:pPr>
        <w:spacing w:after="0" w:line="11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fees charged for waste material management and disposal services including onsite environmental management services, remediation projects, collection and transportation, packaging, recycling, treatment and disposal of waste. These services handle hazardous and/or non-hazardous waste, including per- and polyfluoroalkyl substances, or PFAS. Revenue is primarily generated by short-term projects, most of which are governed by master service agreements that are long-term in nature and outline the pricing and legal frameworks for such arrangements. Services are provided based on purchase orders or agreements with the customer and include prices based upon units of volume of waste, material and personnel costs,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Industrial Services</w:t>
      </w:r>
      <w:r>
        <w:rPr>
          <w:rFonts w:ascii="Times New Roman" w:cs="Times New Roman" w:eastAsia="Times New Roman" w:hAnsi="Times New Roman"/>
          <w:sz w:val="18"/>
          <w:szCs w:val="18"/>
          <w:color w:val="auto"/>
        </w:rPr>
        <w:t>—Industrial Services contribute to the revenues of the Environmental Services operating segment. These revenues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industrial and specialty 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completed to date. The Company uses the input method to recognize revenue over time, based on time and materials incurred.</w:t>
      </w:r>
    </w:p>
    <w:p>
      <w:pPr>
        <w:spacing w:after="0" w:line="15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contribute to the revenues of the Environmental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environmental remediation, railcar cleaning, manhole/vault clean outs, product recovery and transfer and vacuum services. Additional services include filtration, water treatment services and wetland restoration. Emergency Response Services for environmental emergencies of any scale range from man-made disasters such as oil spills to natural disasters like hurricanes. These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1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SKSS operating segment.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SKSS operating segment. Due to the complementary nature of these products and services and their customer base, there are some cross-overs of Safety-Kleen Environmental Services revenue streams between the Environmental Services and SKSS operating segments.</w:t>
      </w:r>
    </w:p>
    <w:p>
      <w:pPr>
        <w:spacing w:after="0" w:line="11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1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SKSS segment. These revenues are generated from bulk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high-quality base and blended lubricating oils to many industries, including major oil brands, lubricant blenders and manufacturers, blended lubricant distributors and government agencies. The business also sells recycled fuel oil to asphalt plants, industrial plants and pulp and paper companies. The used oil is also processed into vacuum gas oil, which can be further re-refined into lubricant base oils or sold directly into the marine diesel oil fuel market. By-products coming off the refinery are a mixture of light-end distillates and asphalt flux that are sold into various markets. The Company recognizes revenue for oil products at a point in time, upon the transfer of control. Generally, control transfers when the products are delivered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total and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Services and SKSS operating segments and Corporate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11"/>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1,151,108</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200,273</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1,351,381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217,089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1,459,537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448,313</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77,973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139,116</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217,089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1,459,537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1,116,267</w:t>
            </w:r>
          </w:p>
        </w:tc>
        <w:tc>
          <w:tcPr>
            <w:tcW w:w="20" w:type="dxa"/>
            <w:vAlign w:val="bottom"/>
          </w:tcPr>
          <w:p>
            <w:pPr>
              <w:spacing w:after="0"/>
              <w:rPr>
                <w:sz w:val="19"/>
                <w:szCs w:val="19"/>
                <w:color w:val="auto"/>
              </w:rPr>
            </w:pP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200,019</w:t>
            </w:r>
          </w:p>
        </w:tc>
        <w:tc>
          <w:tcPr>
            <w:tcW w:w="20" w:type="dxa"/>
            <w:vAlign w:val="bottom"/>
          </w:tcPr>
          <w:p>
            <w:pPr>
              <w:spacing w:after="0"/>
              <w:rPr>
                <w:sz w:val="19"/>
                <w:szCs w:val="19"/>
                <w:color w:val="auto"/>
              </w:rPr>
            </w:pP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1,316,383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24,796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224,815</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1,431,950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426,205</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159,914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224,815</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1,431,950</w:t>
            </w: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5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45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1,113,163</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192,241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solely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are generally fully recognized in the subsequent three-month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Acquisition</w:t>
      </w:r>
    </w:p>
    <w:p>
      <w:pPr>
        <w:spacing w:after="0" w:line="14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On March 20, 2026, the Company acquired certain environmental businesses of Depot Connect International for an all-cash purchase price of $131.8 million, subject to final settlement adjustments. The operations of the acquired businesses expanded the Environmental Services segment’s Technical and Field Services businesses and included two permitted waste treatment facilities. The acquisition did not include working capital balances held by the seller other than those shown in the table below.</w:t>
      </w:r>
    </w:p>
    <w:p>
      <w:pPr>
        <w:spacing w:after="0" w:line="11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fair value of assets acquired and liabilities assumed as of March 20, 2026.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determinations and recognition of assets acquired and liabilities assumed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At March 20, 2026</w:t>
            </w:r>
          </w:p>
        </w:tc>
      </w:tr>
      <w:tr>
        <w:trPr>
          <w:trHeight w:val="24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57"/>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5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 assets</w:t>
            </w: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57"/>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r>
      <w:tr>
        <w:trPr>
          <w:trHeight w:val="257"/>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57"/>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5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r>
      <w:tr>
        <w:trPr>
          <w:trHeight w:val="22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54,997</w:t>
            </w:r>
          </w:p>
        </w:tc>
      </w:tr>
      <w:tr>
        <w:trPr>
          <w:trHeight w:val="22"/>
        </w:trPr>
        <w:tc>
          <w:tcPr>
            <w:tcW w:w="9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7"/>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76,823</w:t>
            </w:r>
          </w:p>
        </w:tc>
      </w:tr>
      <w:tr>
        <w:trPr>
          <w:trHeight w:val="25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131,820</w:t>
            </w:r>
          </w:p>
        </w:tc>
      </w:tr>
      <w:tr>
        <w:trPr>
          <w:trHeight w:val="20"/>
        </w:trPr>
        <w:tc>
          <w:tcPr>
            <w:tcW w:w="9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Other intangible assets acquired are customer relationships anticipated to have estimated useful lives of 14 years. The Company recorded the excess of the total purchase price, which includes the aggregate cash consideration paid in excess of the fair value of the tangible and intangible assets acquired and liabilities assumed, as goodwill. The goodwill recognized is attributable to the operating synergies, assembled workforce and growth potential that the Company expects to realize from the acquisition. Goodwill generated from the acquisition is deductible for tax purposes.</w:t>
      </w:r>
    </w:p>
    <w:p>
      <w:pPr>
        <w:spacing w:after="0" w:line="11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Pro forma revenue and earnings amounts on a combined basis as if this acquisition had been completed on January 1, 2025 are immaterial to the consolidated financial statements of the Company. The results of operations of the acquired business from the acquisition date through the end of the reporting period were not material to the Company’s unaudited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AND SUPPLIES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220,055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217,028</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123,883</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372,088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Supplies inventories consist primarily of critical spare parts to support the Company’s incinerator, refurbishment center and re-refinery operations and other general supplies used in normal day-to-day operations. Stocking crucial spare parts, largely for the sustained functioning of the Company’s incinerator facilities, has resulted in significant supplies inventory balances. Oil and oil related products inventory has decreased due to lower volumes of oil inventory on hand at March 31, 2026 when compared to December 31, 2025. Other inventories consist primarily of parts washer components, cleaning fluids, absorbents and automotive fluids, such as windshield washer fluid and antifreeze.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193,438</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40,232</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278,700</w:t>
            </w: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753,404</w:t>
            </w:r>
          </w:p>
        </w:tc>
      </w:tr>
      <w:tr>
        <w:trPr>
          <w:trHeight w:val="229"/>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1,583,387</w:t>
            </w:r>
          </w:p>
        </w:tc>
      </w:tr>
      <w:tr>
        <w:trPr>
          <w:trHeight w:val="229"/>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2,682,335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2,652,027</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90,182</w:t>
            </w:r>
          </w:p>
        </w:tc>
      </w:tr>
      <w:tr>
        <w:trPr>
          <w:trHeight w:val="223"/>
        </w:trPr>
        <w:tc>
          <w:tcPr>
            <w:tcW w:w="7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5,676,127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5,591,370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3,113,971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3,050,303</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2,562,156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2,541,067</w:t>
            </w:r>
          </w:p>
        </w:tc>
      </w:tr>
      <w:tr>
        <w:trPr>
          <w:trHeight w:val="21"/>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58"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right-of-use (“ROU”), assets classified as finance leases of $8.0 million in each period.</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$296.1 million and $294.2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$17.4 million in each period.</w:t>
      </w:r>
    </w:p>
    <w:p>
      <w:pPr>
        <w:spacing w:after="0" w:line="12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$102.1 million and $98.7 million for the three months ended March 31, 2026 and March 31,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three months ended March 31, 2026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1,479,050</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76,823</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1,373,725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181,337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1,555,062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for impairment on an annual basis as of December 31 or at an interim date when it is more likely than not that events or changes in the business environment (“triggering events”) would reduce the fair value of a reporting unit below its carrying value. During the period ended March 31, 2026, no such triggering events were identified.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December 31, 2025, the Company’s intangible assets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3"/>
                <w:szCs w:val="13"/>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3"/>
                <w:szCs w:val="13"/>
                <w:color w:val="auto"/>
              </w:rPr>
            </w:pPr>
          </w:p>
        </w:tc>
        <w:tc>
          <w:tcPr>
            <w:tcW w:w="8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195,724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63,916</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405,568</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63,592</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1,037,247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1,015,635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533,076</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119,951</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1,157,045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679,081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1,135,586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653,027</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was $13.7 million and $13.3 million in the three months ended March 31, 2026 and March 31, 2025,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March 31, 2026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Amortization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(nine months)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41,795</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54,184</w:t>
            </w: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52,816</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51,738</w:t>
            </w: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317,587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559,283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24"/>
                <w:szCs w:val="24"/>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384,130</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decrease in accrued compensation and benefits is due to payments of accrued incentive compensation in the first quarter of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CLOSURE AND POST-CLOSURE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2026 through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Non-Landfill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340" w:type="dxa"/>
            <w:vAlign w:val="bottom"/>
          </w:tcPr>
          <w:p>
            <w:pPr>
              <w:spacing w:after="0"/>
              <w:rPr>
                <w:sz w:val="14"/>
                <w:szCs w:val="14"/>
                <w:color w:val="auto"/>
              </w:rPr>
            </w:pPr>
          </w:p>
        </w:tc>
        <w:tc>
          <w:tcPr>
            <w:tcW w:w="114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135,328</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135,466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there were no significant benefits or charges resulting from changes in estimates for closure and post-closure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REMEDIAL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2026 through March 31, 2026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Superfund) for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Non-Landfill</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Landfill Sites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Inactive Sites</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94,006</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8260" w:firstLine="8"/>
        <w:spacing w:after="0" w:line="417" w:lineRule="auto"/>
        <w:tabs>
          <w:tab w:leader="none" w:pos="3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7760" w:type="dxa"/>
            <w:vAlign w:val="bottom"/>
            <w:tcBorders>
              <w:top w:val="single" w:sz="8" w:color="CCEEFF"/>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2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Secured senior term loans</w:t>
            </w:r>
          </w:p>
        </w:tc>
        <w:tc>
          <w:tcPr>
            <w:tcW w:w="4920" w:type="dxa"/>
            <w:vAlign w:val="bottom"/>
            <w:tcBorders>
              <w:top w:val="single" w:sz="8" w:color="CCEEFF"/>
            </w:tcBorders>
          </w:tcPr>
          <w:p>
            <w:pPr>
              <w:spacing w:after="0"/>
              <w:rPr>
                <w:sz w:val="19"/>
                <w:szCs w:val="19"/>
                <w:color w:val="auto"/>
              </w:rPr>
            </w:pPr>
          </w:p>
        </w:tc>
        <w:tc>
          <w:tcPr>
            <w:tcW w:w="220" w:type="dxa"/>
            <w:vAlign w:val="bottom"/>
            <w:tcBorders>
              <w:top w:val="single" w:sz="8" w:color="CCEEFF"/>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 due October 9, 2032 (“2032 Term Loans”)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1,247,400</w:t>
            </w: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6.375%, due February 1, 2031 (“2031 Notes”)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5.750%, due October 15, 2033 (“2033 Notes”)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745,000</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2,792,400</w:t>
            </w:r>
          </w:p>
        </w:tc>
      </w:tr>
      <w:tr>
        <w:trPr>
          <w:trHeight w:val="230"/>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 net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2,761,417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62" w:lineRule="exact"/>
        <w:rPr>
          <w:sz w:val="20"/>
          <w:szCs w:val="20"/>
          <w:color w:val="auto"/>
        </w:rPr>
      </w:pPr>
    </w:p>
    <w:p>
      <w:pPr>
        <w:ind w:right="380" w:firstLine="648"/>
        <w:spacing w:after="0" w:line="312" w:lineRule="auto"/>
        <w:rPr>
          <w:sz w:val="20"/>
          <w:szCs w:val="20"/>
          <w:color w:val="auto"/>
        </w:rPr>
      </w:pPr>
      <w:r>
        <w:rPr>
          <w:rFonts w:ascii="Times New Roman" w:cs="Times New Roman" w:eastAsia="Times New Roman" w:hAnsi="Times New Roman"/>
          <w:sz w:val="17"/>
          <w:szCs w:val="17"/>
          <w:color w:val="auto"/>
        </w:rPr>
        <w:t>The Company’s significant financing arrangements are described in Note 11, “Financing Arrangements,” in the Company’s Annual Report on Form 10-K for the year ended December 31, 2025. There have been no material changes to the arrangements described therein as of March 31, 2026.</w:t>
      </w:r>
    </w:p>
    <w:p>
      <w:pPr>
        <w:spacing w:after="0" w:line="5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estimated fair value of the Company's outstanding long-term debt, including the current portion, was $2.8 billion in both periods. The Company's estimates of fair value of its long-term debt, including the current portion, are based on quoted market prices or other available market data that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11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$600.0 million revolving credit facility under which the Company had no outstanding loan balance as of March 31, 2026 or December 31, 2025. As of March 31, 2026, the Company had $454.7 million available to borrow under the revolving credit facility, and outstanding letters of credit were $145.3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pacing w:after="0" w:line="15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2022, the Company entered into interest rate swap agreements with a notional amount of $600.0 million (the “2022 Swaps”) to effectively fix the interest rate on $600.0 million principal of variable debt (initially term loans due in 2028 and now the 2032 Term Loans, both of which had SOFR based variable interest payments). Under the terms of the 2022 Swaps,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receives interest based upon the variable rates and pays a fixed amount of interest. The 2022 Swaps expire on September 30, 2027. As of March 31, 2026 the effective annual interest rate of the fixed portion of the Term Loan Agreement as a result of the 2022 Swaps was 3.46%.</w:t>
      </w:r>
    </w:p>
    <w:p>
      <w:pPr>
        <w:spacing w:after="0" w:line="9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designated the 2022 Swaps as a cash flow hedge at the inception of the agreements. As of March 31, 2026 and December 31, 2025, the Company has recorded a derivative asset with a fair value of $14.8 million and $13.6 million, respectively.</w:t>
      </w:r>
    </w:p>
    <w:p>
      <w:pPr>
        <w:spacing w:after="0" w:line="8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2022 Swaps and, therefore, the change in fair value is recorded in stockholders’ equity as a component of accumulated other comprehensive loss. Amounts are reclassified from accumulated other comprehensive loss into interest expense on the unaudited consolidated statement of operations in the same period or periods during which the hedged transactions affect earnings.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4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per share (“EPS”) is based on the weighted average number of the Company’s common shares outstanding. The computation of diluted EPS is based on the weighted average number of the Company’s common shares outstanding and potential dilutive common shares during the period as determined by using the treasury stock method.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63,201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58,680</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52,821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53,759</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impact of equity awards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52,992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53,993</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3"/>
        </w:trPr>
        <w:tc>
          <w:tcPr>
            <w:tcW w:w="81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 earnings per share:</w:t>
            </w:r>
          </w:p>
        </w:tc>
        <w:tc>
          <w:tcPr>
            <w:tcW w:w="940" w:type="dxa"/>
            <w:vAlign w:val="bottom"/>
            <w:tcBorders>
              <w:bottom w:val="single" w:sz="8" w:color="auto"/>
            </w:tcBorders>
          </w:tcPr>
          <w:p>
            <w:pPr>
              <w:jc w:val="right"/>
              <w:ind w:right="734"/>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the table above, potentially dilutive shares outstanding include the dilutive effect of unvested restricted stock awards and Employee Stock Purchase Plan (“ESPP”), rights (collectively referred to as “equity awards”). Potentially dilutive shares whose effect would have been antidilutive have been excluded from the computation of diluted earnings per share. The Company included all outstanding performance awards, restricted stock awards and ESPP rights in the calculation of diluted earnings per share except as shown in the table below (in thousands):</w:t>
      </w:r>
    </w:p>
    <w:p>
      <w:pPr>
        <w:spacing w:after="0" w:line="16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restricted stock awards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stock awards for which performance criteria was not attained at reporting date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three months ended March 31, 2026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Unrealized Gain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(Loss) on</w:t>
            </w:r>
          </w:p>
        </w:tc>
        <w:tc>
          <w:tcPr>
            <w:tcW w:w="13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on Fair Value of</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Sale Securities</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on Pension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(204,616)</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(213,249)</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amount realized in the unaudited consolidated statement of operations during the three months ended March 31, 2026, which was reclassified out of accumulated other comprehensive loss,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Component of Accumulated Other Comprehensive Loss</w:t>
            </w:r>
          </w:p>
        </w:tc>
        <w:tc>
          <w:tcPr>
            <w:tcW w:w="140" w:type="dxa"/>
            <w:vAlign w:val="bottom"/>
          </w:tcPr>
          <w:p>
            <w:pPr>
              <w:spacing w:after="0"/>
              <w:rPr>
                <w:sz w:val="16"/>
                <w:szCs w:val="16"/>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52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0" w:type="dxa"/>
            <w:vAlign w:val="bottom"/>
          </w:tcPr>
          <w:p>
            <w:pPr>
              <w:spacing w:after="0"/>
              <w:rPr>
                <w:sz w:val="1"/>
                <w:szCs w:val="1"/>
                <w:color w:val="auto"/>
              </w:rPr>
            </w:pPr>
          </w:p>
        </w:tc>
      </w:tr>
      <w:tr>
        <w:trPr>
          <w:trHeight w:val="214"/>
        </w:trPr>
        <w:tc>
          <w:tcPr>
            <w:tcW w:w="5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Fair Value of Interest Rate Hedges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48"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Total stock-based compensation cost recognized for the three months ended March 31, 2026 and March 31, 2025 was $9.6 million and $7.6 million, respectively. The total income tax benefit recognized in the unaudited consolidated statements of operations from stock-based compensation expense for the three months ended March 31, 2026 and March 31, 2025 was $1.9 million and $1.3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three months ended March 31,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186.63</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298,322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there was $45.3 million of total unrecognized compensation cost arising from restricted stock awards. This cost is expected to be recognized over a weighted average period of 2.7 years. The total fair value of restricted stock vested during the three months ended March 31, 2026 and March 31, 2025 was $18.4 million and $15.0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Performance stock awards are subject to performance criteria established by the Compensation and Human Capital Committee of the Company’s Board of Directors prior to or at the date of grant. The performance stock awards are earned based on achieving certain Adjusted EBITDA and Adjusted EBITDA Margin targets set forth in the applicable award agreements. Performance stock awards include continued service conditions through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three months ended March 31, 2026: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Forfeited </w:t>
            </w:r>
            <w:r>
              <w:rPr>
                <w:rFonts w:ascii="Times New Roman" w:cs="Times New Roman" w:eastAsia="Times New Roman" w:hAnsi="Times New Roman"/>
                <w:sz w:val="23"/>
                <w:szCs w:val="23"/>
                <w:color w:val="auto"/>
                <w:vertAlign w:val="superscript"/>
              </w:rPr>
              <w:t>(2)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174.70</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660" w:right="180" w:hanging="328"/>
        <w:spacing w:after="0" w:line="260" w:lineRule="auto"/>
        <w:tabs>
          <w:tab w:leader="none" w:pos="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granted activity for performance stock awards is recorded based on the target performance level of 100%. The actual number of performance share awards earned for the 2026 performance stock grants could range from 0% to 200% of target depending on the achievement of the pre-established performance goals.</w:t>
      </w:r>
    </w:p>
    <w:p>
      <w:pPr>
        <w:spacing w:after="0" w:line="113" w:lineRule="exact"/>
        <w:rPr>
          <w:rFonts w:ascii="Times New Roman" w:cs="Times New Roman" w:eastAsia="Times New Roman" w:hAnsi="Times New Roman"/>
          <w:sz w:val="18"/>
          <w:szCs w:val="18"/>
          <w:color w:val="auto"/>
        </w:rPr>
      </w:pPr>
    </w:p>
    <w:p>
      <w:pPr>
        <w:ind w:left="660" w:right="960" w:hanging="328"/>
        <w:spacing w:after="0" w:line="282" w:lineRule="auto"/>
        <w:tabs>
          <w:tab w:leader="none" w:pos="7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forfeiture of 32,918 shares related to the 2024 performance share awards that were not achieved at the threshold level of achievement. These awards were forfeited on March 13, 2026.</w:t>
      </w:r>
    </w:p>
    <w:p>
      <w:pPr>
        <w:spacing w:after="0" w:line="8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there was $33.1 million of total unrecognized compensation cost arising from performance stock awards achieved or deemed probable of vesting. This cost is expected to be recognized over a weighted average period of 2.6 years. The total fair value of performance awards vested during the three months ended March 31, 2026 and March 31, 2025 was $4.0 million and $6.6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6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and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At March 31, 2026 and December 31, 2025, the Company had recorded reserves of $16.0 million and $16.2 million, respectively, for actual or probable liabilities related to the legal and administrative proceedings in which the Company was then involved, the principal of which are described below. As of March 31, 2026 and December 31, 2025, the $16.0 million and $16.2 million, respectively, of reserves consisted of (i) $10.7 million and $11.4 million, respectively, related to pending legal or administrative proceedings, including Superfund liabilities, which were included in remedial liabilities on the consolidated balance sheets, and (ii) $5.3 million and $4.8 million, respectively, primarily related to federal, state and provincial enforcement actions, which were included in accrued expenses on the consolidated balance sheets.</w:t>
      </w:r>
    </w:p>
    <w:p>
      <w:pPr>
        <w:spacing w:after="0" w:line="1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w:t>
      </w:r>
    </w:p>
    <w:p>
      <w:pPr>
        <w:spacing w:after="0" w:line="14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principal legal and administrative proceedings in which the Company was involved, or which had been terminated during 2026, relate to Safety-Kleen, (Inc. (“Safety-Kleen”) product liability cases and Superfund proceedings.</w:t>
      </w:r>
    </w:p>
    <w:p>
      <w:pPr>
        <w:spacing w:after="0" w:line="92"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Safety-Kleen Product Liability Cases: </w:t>
      </w:r>
      <w:r>
        <w:rPr>
          <w:rFonts w:ascii="Times New Roman" w:cs="Times New Roman" w:eastAsia="Times New Roman" w:hAnsi="Times New Roman"/>
          <w:sz w:val="18"/>
          <w:szCs w:val="18"/>
          <w:color w:val="auto"/>
        </w:rPr>
        <w:t>Safety-Kleen, which is a legal entity acquired by the Company in 2012, has been named as a defendant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product liability cases that are currently pending in various courts and jurisdictions throughout the United States. As of March 31, 2026, there were approximately 83 proceedings (excluding cases that have been settled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11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March 31, 2026. From January 1, 2026 to March 31, 2026, six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10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Superfund Proceedings: </w:t>
      </w:r>
      <w:r>
        <w:rPr>
          <w:rFonts w:ascii="Times New Roman" w:cs="Times New Roman" w:eastAsia="Times New Roman" w:hAnsi="Times New Roman"/>
          <w:sz w:val="18"/>
          <w:szCs w:val="18"/>
          <w:color w:val="auto"/>
        </w:rPr>
        <w:t>The Company has been notified that either the Company or the prior owners of certain facilities the Company has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have been identified as potentially responsible parties (“PRPs”), or potential PRPs of indemnification obligations in connection with 132 sites that are subject to or are proposed to become subject to proceedings under federal or state Superfund laws. Of the 132 Superfund-related sites, six involve facilities that are now owned or leased by the Company and 126 involve third-party sites that received waste potentially shipped by the Company or the prior owners of certain facilities the Company has since acquired. Of the 126 third-party sites, 30 are now settled, 11 are currently requiring expenditures on remediation and 85 are not currently requiring expenditures on remediation.</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and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132 Superfund related sites.</w:t>
      </w:r>
    </w:p>
    <w:p>
      <w:pPr>
        <w:spacing w:after="0" w:line="12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Of the 126 third-party sites at which the Company has been notified it is a PRP or potential PRP or may have indemnification obligations, the Company has indemnification agreements at a total of 18 sites. These agreements indemnify the Company with respect to any liability at the 18 sites for waste disposed prior to the Company’s acquisition of the former subsidiaries of Waste Management, Inc. and McKesson Corporation, which had shipped waste to those sites. Accordingly, the indemnifying parties are paying all costs of defending those subsidiaries in those 18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126 third-party sites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March 31, 2026 and December 31, 2025, there was one proceeding for which the Company believed it was possible that the sanctions could equal or exceed $1.0 million. As of the date of these financial statements, the Company believes that the fines or other penalties in these or any of the other regulatory proceedings will, individually or in the aggregate, not have a material effect on its financial condition, results of operations or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4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operating decision maker (the “CODM”), which is a committee composed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Although such transactions are excluded from the business segment results, they are included in reported consolidated earnings.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reconcile third-party revenues to direct revenues by reportable segment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6"/>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2026</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1,459,537</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1,459,537</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1,459,537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224,815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1,431,853</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1,431,950</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1,431,950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primary financial measure by which the CODM evaluates the performance of its segments is Adjusted EBITDA, which consists of net income plus accretion of environmental liabilities, stock-based compensation, depreciation and amortization, net interest expense and provision for income taxes and excludes other transactions not deemed representative of fundamental segment results and other expense, net. Transactions between the segments are accounted for at the Company’s best estimate based on similar transactions with outside customers.</w:t>
      </w:r>
    </w:p>
    <w:p>
      <w:pPr>
        <w:spacing w:after="0" w:line="11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CODM uses Adjusted EBITDA to enhance their understanding of segment operating performance, which represents the Company’s performance in the ordinary, ongoing and customary course of operations. The reportable segment operating performance measure, Adjusted EBITDA, is used by the CODM to make key operating decisions such as the allocation of resources. Total assets by segment are not used by the CODM to assess the performance of, or allocate resources to, the Company’s segments. Therefore total assets by segment are not disclosed.</w:t>
      </w:r>
    </w:p>
    <w:p>
      <w:pPr>
        <w:spacing w:after="0" w:line="9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total Reportable Segment Adjusted EBITDA and the relevant significant segment expenses provided to the CODM by reported segment (in thousands):</w:t>
      </w:r>
    </w:p>
    <w:p>
      <w:pPr>
        <w:spacing w:after="0" w:line="13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7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46"/>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3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1,459,537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1,007,016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129,139</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290,401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323,382</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7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46"/>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3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1,209,113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222,740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1,431,853</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1,017,380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274,591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302,843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Reportable Segment Adjusted EBITDA reconciled to income from operations before provision for income taxes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290,401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274,591</w:t>
            </w: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28,252</w:t>
            </w:r>
          </w:p>
        </w:tc>
      </w:tr>
      <w:tr>
        <w:trPr>
          <w:trHeight w:val="223"/>
        </w:trPr>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302,843</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4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Costs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67,989</w:t>
            </w: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111,980</w:t>
            </w:r>
          </w:p>
        </w:tc>
      </w:tr>
      <w:tr>
        <w:trPr>
          <w:trHeight w:val="223"/>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111,619</w:t>
            </w: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36,077</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 before provision for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660" w:right="140" w:hanging="328"/>
        <w:spacing w:after="0" w:line="260" w:lineRule="auto"/>
        <w:tabs>
          <w:tab w:leader="none" w:pos="7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Costs include certain revenue, cost of revenues and selling, general and administrative expenses not managed through the Company’s operating segments. These costs are not captured within the Company’s Reportable Segment Adjusted EBITDA, but are included in the Company’s total Adjusted EBITDA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1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 use of the words “believes,” “expects,” “intends,” “anticipates,” “plans to,” “aims,” “will,” “seeks,” “should,” “estimates,” “projects,” “may,” “likely,” “potential” or similar expressions. Such statements may include, but are not limited to, statements about our future financial and operating results, plans, strategy, objectives and goals, cost management initiatives, pricing and productivity initiatives, contingent liabilities, liquidity, business, economic and market conditions, trends, customer demand, impacts of tariffs and new legislation, acquisitions, capital spending, growth opportunities, expectations, challenges and other statements that are not historical facts. Such statements are based upon the beliefs and expectations of our management as of the date of this report only and are subject to certain risks and uncertainties that could cause actual results, performance or achievements to differ materially, including, without limitation: operational and safety risks; risks relating to the failure of new or existing technologies;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our business; negative economic, industry or other developments, including market volatility or economic downturns; risks associated with our assumptions relating to expansion of our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we serve; changes in statutory and regulatory requirements and risks relating to extensive environmental laws and regulations; risks associated with existing and potential litigation; risks associated with our identification and execution of strategic capital expenditures, acquisitions and divestitures and their related liabilities; risks relating to the availability and sufficiency of our insurance coverage, self-insurance, surety bonds, letters of credit and other forms of financial assurance; impact of new tax legislation or changes in tax regulations and interpretations; the imposition of trade sanctions or tariffs; fluctuations in interest rates and foreign currency exchange rates; risks relating to our indebtedness and covenants in our debt agreements; risks associated with certain anti-takeover provisions under the Massachusetts Business Corporation Act and our By-Laws; and those items discussed elsewhere in this report or identified as “Risk Factors” in our Annual Report on Form 10-K filed with the Securities and Exchange Commission, or SEC, on February 18, 2026, and in other documents we file from time to time with the SEC. Therefore,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sustainable services and products that protect and restore North America’s natural environment. We believe we operate, in the aggregate, the largest number of hazardous waste incinerators, landfills and treatment, storage and disposal facilities, or TSDFs, in North America. We serve over 350,000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the largest re-refiner and recycler of used oil in North America.</w:t>
      </w:r>
    </w:p>
    <w:p>
      <w:pPr>
        <w:spacing w:after="0" w:line="121"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earnings before interest, taxes, depreciation, and amortization, or Adjusted EBITDA, a non-GAAP measure that is reconciled to our GAAP net income and described more fully below. The following is a discussion of how management evaluates our segments in regards to other factors including key performance indicators that management uses to assess the segments’ results, as well as certain macroeconomic trends and influences that impact each reportable segment:</w:t>
      </w:r>
    </w:p>
    <w:p>
      <w:pPr>
        <w:spacing w:after="0" w:line="95" w:lineRule="exact"/>
        <w:rPr>
          <w:sz w:val="20"/>
          <w:szCs w:val="20"/>
          <w:color w:val="auto"/>
        </w:rPr>
      </w:pPr>
    </w:p>
    <w:p>
      <w:pPr>
        <w:ind w:left="980" w:right="60" w:hanging="324"/>
        <w:spacing w:after="0" w:line="25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The Environmental Services segment results are driven by customer demand for our wide variety of services,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pricing and mix of waste managed and project work requiring responsible waste handling and disposal. Environmental Services results are also impacted by the demand for planned and unplanned industrial related cleaning and maintenance services at customer sites and environmental cleanup services on a scheduled or emergency basis, including response to large-scale events such as major chemical spills, natural disasters,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North American GDP; U.S. industrial production; economic conditions in the general manufacturing, chemical and automotive markets; efforts and economic incentives to increase domestic operations; available capacity at waste disposal outlets; demand for industrial cleaning and related industrial services; weather conditions; efficiency of our operations; technology, including the increased use of artificial intelligence; changing regulations; competition; market pricing of our services; costs incurred to deliver our services; and the management of our related operating costs.</w:t>
      </w:r>
    </w:p>
    <w:p>
      <w:pPr>
        <w:spacing w:after="0" w:line="118" w:lineRule="exact"/>
        <w:rPr>
          <w:sz w:val="20"/>
          <w:szCs w:val="20"/>
          <w:color w:val="auto"/>
        </w:rPr>
      </w:pPr>
    </w:p>
    <w:p>
      <w:pPr>
        <w:ind w:left="980" w:hanging="324"/>
        <w:spacing w:after="0" w:line="252" w:lineRule="auto"/>
        <w:tabs>
          <w:tab w:leader="none" w:pos="97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The Safety-Kleen Sustainability Solutions, or SKSS, segment results are impacted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demand for high-quality, environmentally responsible recycled oil products and their demand for our related service and product offerings. SKSS provides collection services for used oil, used oil filters and other automotive related fluids, which allows customers to manage these wastes in a responsible and compliant way while also converting these waste streams into high-quality products for re-use. SKSS offers high-quality recycled base and blended oil products and other automotive and industrial lubricants to end users, including fleet customers, distributors, manufacturers of oil products and industrial plants. Segment results are impacted by market pricing, overall demand and the mix of our oil products sales. Segment results are also predicated on the demand for other SKSS product and service offerings, including collection services for used oil, used oil filters and other automotive fluids. The used oil collected is used as feedstock in our oil re-refining process to produce our base and blended oil products and other hydraulic oils, lubricants and recycled fuel oil or are integrated into our recycling and disposal network. In operating the business and evaluating performance, management tracks the volumes of used oil and other waste streams collected and relative percentages of base and blended oil sales along with various pricing metrics associated with the commodity driven margin between product pricing and the overall revenue generation along with related costs. Levels of activity and ultimate performance associated with this segment can be impacted by economic conditions in the manufacturing and automotive services markets; efficiency of our operations; technology, including the increased use of artificial intelligence; weather conditions; changing regulations; competition; and the management of our related operating costs. Overall product pricing as well as revenues generated and/or costs incurred in connection with the collection of used oil and other raw materials associated with the segment’s oil-related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Total direct revenues for the three months ended March 31, 2026 were $1,459.5 million, compared with $1,432.0 million for the three months ended March 31, 2025. For the three months ended March 31, 2026, our Environmental Services segment direct revenues increased $43.4 million or 3.6% from the comparable period in 2025, driven by growth in Technical Services, Safety-Kleen core services and Field and Emergency Response Services, offset by lower contributions from our Industrial Services organization. For the three months ended March 31, 2026, our SKSS segment direct revenues decreased $15.7 million or 7.1%, from the comparable period in 2025, driven predominantly by lower pricing of base and blended oil products, partially offset by higher volumes of base oil sold and higher charge for oil revenue for the three months ended March 31, 2026.</w:t>
      </w:r>
    </w:p>
    <w:p>
      <w:pPr>
        <w:spacing w:after="0" w:line="12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Income from operations for the three months ended March 31, 2026 was $118.9 million, compared with $111.6 million in the three months ended March 31, 2025. Depreciation and amortization expense for the three months ended March 31, 2026 was $3.8 million higher than the comparable period in 2025. Net income for the three months ended March 31, 2026 was $63.2 million, an increase of $4.5 million, or 7.7%, as compared with net income of $58.7 million in the three months ended March 31, 2025.</w:t>
      </w:r>
    </w:p>
    <w:p>
      <w:pPr>
        <w:spacing w:after="0" w:line="9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Adjusted EBITDA, which is the primary financial measure by which we evaluate the operating performance of our segments, increased $13.0 million, or 5.5%, from $234.9 million in the three months ended March 31, 2025 to $247.9 million in the three months ended March 31, 2026. Additional information regarding Adjusted EBITDA, which is a non-GAAP measure, including a reconciliation of net income to Adjusted EBITDA, appears below under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xml:space="preserve"> Growth in Adjusted EBITDA versus the comparable period in 2025 was driven by a $15.8 million increase in the Environmental Services segment’s Adjusted EBITDA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well as a $4.7 million increase in the SKSS segment’s Adjusted EBITDA. As a result of the growth discussed above, Adjusted EBITDA Margin for the Environmental Services and SKSS segments increased 50 basis points and 320 basis points respectively, which drove a 60 basis point increase in total Company Adjusted EBITDA Margin.</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Net cash from operating activities for the three months ended March 31, 2026 increased $4.7 million from $1.6 million in 2025 to $6.3 million in 2026 primarily due to lower cash paid for interest partially offset by higher working capital impacts in 2026 as compared to the prior year period. Adjusted free cash flow, which management uses to measure our financial strength and ability to generate cash, was an outflow of $75.8 million in the three months ended March 31, 2026, as compared to an outflow of $115.7 million in the comparable period of 2025, an improvement of $39.9 million, primarily driven by lower cash paid for additions to property, plant and equipment. Additional information regarding adjusted free cash flow, which is a non-GAAP measure, including a reconciliation of net cash from operating activities to adjusted free cash flow, appears below under </w:t>
      </w:r>
      <w:r>
        <w:rPr>
          <w:rFonts w:ascii="Times New Roman" w:cs="Times New Roman" w:eastAsia="Times New Roman" w:hAnsi="Times New Roman"/>
          <w:sz w:val="18"/>
          <w:szCs w:val="18"/>
          <w:i w:val="1"/>
          <w:iCs w:val="1"/>
          <w:color w:val="auto"/>
        </w:rPr>
        <w:t>“Adjusted Free Cash Flow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primary financial measure by which we evaluate the performance of our segments is Adjusted EBITDA. The following table sets forth certain financial information associated with our results of operations (in thousands, except 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1"/>
        </w:trPr>
        <w:tc>
          <w:tcPr>
            <w:tcW w:w="5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52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Direct Revenues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1,252,526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1,209,113</w:t>
            </w:r>
          </w:p>
        </w:tc>
        <w:tc>
          <w:tcPr>
            <w:tcW w:w="8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43,413</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207,011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222,740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(15,729)</w:t>
            </w:r>
          </w:p>
        </w:tc>
        <w:tc>
          <w:tcPr>
            <w:tcW w:w="10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7"/>
              </w:rPr>
              <w:t>(7.1)</w:t>
            </w:r>
          </w:p>
        </w:tc>
      </w:tr>
      <w:tr>
        <w:trPr>
          <w:trHeight w:val="213"/>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3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r>
      <w:tr>
        <w:trPr>
          <w:trHeight w:val="212"/>
        </w:trPr>
        <w:tc>
          <w:tcPr>
            <w:tcW w:w="52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1,459,537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1,431,950</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27,587</w:t>
            </w:r>
          </w:p>
        </w:tc>
        <w:tc>
          <w:tcPr>
            <w:tcW w:w="1080" w:type="dxa"/>
            <w:vAlign w:val="bottom"/>
            <w:tcBorders>
              <w:top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1.9</w:t>
            </w:r>
          </w:p>
        </w:tc>
      </w:tr>
      <w:tr>
        <w:trPr>
          <w:trHeight w:val="210"/>
        </w:trPr>
        <w:tc>
          <w:tcPr>
            <w:tcW w:w="524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Cost of Revenues </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852,380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839,942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12,438</w:t>
            </w:r>
          </w:p>
        </w:tc>
        <w:tc>
          <w:tcPr>
            <w:tcW w:w="10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1.5</w:t>
            </w:r>
          </w:p>
        </w:tc>
      </w:tr>
      <w:tr>
        <w:trPr>
          <w:trHeight w:val="213"/>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34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154,636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177,438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(22,802)</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(12.9)</w:t>
            </w:r>
          </w:p>
        </w:tc>
      </w:tr>
      <w:tr>
        <w:trPr>
          <w:trHeight w:val="219"/>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r>
      <w:tr>
        <w:trPr>
          <w:trHeight w:val="208"/>
        </w:trPr>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1,014,120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1,021,884</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(7,764)</w:t>
            </w:r>
          </w:p>
        </w:tc>
        <w:tc>
          <w:tcPr>
            <w:tcW w:w="10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(0.8)</w:t>
            </w:r>
          </w:p>
        </w:tc>
      </w:tr>
      <w:tr>
        <w:trPr>
          <w:trHeight w:val="211"/>
        </w:trPr>
        <w:tc>
          <w:tcPr>
            <w:tcW w:w="524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 xml:space="preserve">Selling, General &amp; Administrative Expenses </w:t>
            </w: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34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109,745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94,580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15,165</w:t>
            </w:r>
          </w:p>
        </w:tc>
        <w:tc>
          <w:tcPr>
            <w:tcW w:w="10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16.0</w:t>
            </w:r>
          </w:p>
        </w:tc>
      </w:tr>
      <w:tr>
        <w:trPr>
          <w:trHeight w:val="219"/>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19,394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17,050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2,344</w:t>
            </w:r>
          </w:p>
        </w:tc>
        <w:tc>
          <w:tcPr>
            <w:tcW w:w="10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13.7</w:t>
            </w:r>
          </w:p>
        </w:tc>
      </w:tr>
      <w:tr>
        <w:trPr>
          <w:trHeight w:val="213"/>
        </w:trPr>
        <w:tc>
          <w:tcPr>
            <w:tcW w:w="5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68,424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63,582</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4,842</w:t>
            </w:r>
          </w:p>
        </w:tc>
        <w:tc>
          <w:tcPr>
            <w:tcW w:w="108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7.6</w:t>
            </w:r>
          </w:p>
        </w:tc>
      </w:tr>
      <w:tr>
        <w:trPr>
          <w:trHeight w:val="212"/>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197,563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175,212</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22,351</w:t>
            </w:r>
          </w:p>
        </w:tc>
        <w:tc>
          <w:tcPr>
            <w:tcW w:w="10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12.8</w:t>
            </w:r>
          </w:p>
        </w:tc>
      </w:tr>
      <w:tr>
        <w:trPr>
          <w:trHeight w:val="20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290,401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274,591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15,810</w:t>
            </w:r>
          </w:p>
        </w:tc>
        <w:tc>
          <w:tcPr>
            <w:tcW w:w="10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5.8</w:t>
            </w:r>
          </w:p>
        </w:tc>
      </w:tr>
      <w:tr>
        <w:trPr>
          <w:trHeight w:val="213"/>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34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32,981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28,252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4,729</w:t>
            </w:r>
          </w:p>
        </w:tc>
        <w:tc>
          <w:tcPr>
            <w:tcW w:w="10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16.7</w:t>
            </w:r>
          </w:p>
        </w:tc>
      </w:tr>
      <w:tr>
        <w:trPr>
          <w:trHeight w:val="219"/>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(75,528)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(67,989)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(7,539)</w:t>
            </w:r>
          </w:p>
        </w:tc>
        <w:tc>
          <w:tcPr>
            <w:tcW w:w="10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8"/>
              </w:rPr>
              <w:t>(11.1)</w:t>
            </w:r>
          </w:p>
        </w:tc>
      </w:tr>
      <w:tr>
        <w:trPr>
          <w:trHeight w:val="208"/>
        </w:trPr>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247,854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234,854</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13,000</w:t>
            </w:r>
          </w:p>
        </w:tc>
        <w:tc>
          <w:tcPr>
            <w:tcW w:w="108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5.5%</w:t>
            </w:r>
          </w:p>
        </w:tc>
      </w:tr>
      <w:tr>
        <w:trPr>
          <w:trHeight w:val="198"/>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as a % of Direct Revenues: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2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Environmental Services </w:t>
            </w:r>
            <w:r>
              <w:rPr>
                <w:rFonts w:ascii="Times New Roman" w:cs="Times New Roman" w:eastAsia="Times New Roman" w:hAnsi="Times New Roman"/>
                <w:sz w:val="21"/>
                <w:szCs w:val="21"/>
                <w:color w:val="auto"/>
                <w:vertAlign w:val="superscript"/>
              </w:rPr>
              <w:t>(4)</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Safety-Kleen Sustainability Solutions </w:t>
            </w:r>
            <w:r>
              <w:rPr>
                <w:rFonts w:ascii="Times New Roman" w:cs="Times New Roman" w:eastAsia="Times New Roman" w:hAnsi="Times New Roman"/>
                <w:sz w:val="21"/>
                <w:szCs w:val="21"/>
                <w:color w:val="auto"/>
                <w:vertAlign w:val="superscript"/>
              </w:rPr>
              <w:t>(4)</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2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Corporate </w:t>
            </w:r>
            <w:r>
              <w:rPr>
                <w:rFonts w:ascii="Times New Roman" w:cs="Times New Roman" w:eastAsia="Times New Roman" w:hAnsi="Times New Roman"/>
                <w:sz w:val="21"/>
                <w:szCs w:val="21"/>
                <w:color w:val="auto"/>
                <w:vertAlign w:val="superscript"/>
              </w:rPr>
              <w:t>(5)</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16.4 %</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8"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is revenue allocated to the segment performing the provided service or selling the product.</w:t>
      </w:r>
    </w:p>
    <w:p>
      <w:pPr>
        <w:spacing w:after="0" w:line="9"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is shown exclusive of (i) accretion of environmental liabilities and (ii) depreciation and amortization which are presented separately on the Consolidated Statements of Operations.</w:t>
      </w:r>
    </w:p>
    <w:p>
      <w:pPr>
        <w:ind w:left="660" w:right="40" w:hanging="328"/>
        <w:spacing w:after="0" w:line="25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Selling, general and administrative or SG&amp;A expenses is shown exclusive of stock-based compensation, which is presented in SG&amp;A expenses on our Consolidated Statements of Operations, but is not included in our measurement of Adjusted EBITDA. See </w:t>
      </w: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xml:space="preserve"> section below for a reconciliation of net income to Adjusted EBITDA.</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individual segment direct revenue.</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our total direct revenue.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are many factors that can impact our revenues including, but not limited to, macroeconomic conditions, overall levels of industrial activity and economic growth in North America, competitive industry pricing, commodity pricing, overall market incineration capacity including captive incineration closures, changes in the regulatory environment including those related to per- and polyfluoroalkyl substances, or PFAS, impacts of acquisitions and divestitures, the level of emergency response services, government infrastructure investment, reshoring of domestic manufacturing, existence or non-existence of large-scale environmental waste and remediation projects, weather-related events, the number of parts washers placed at customer sites, miles driven and related lubricant demand, base and blended oil pricing, market supply for base oil products, market changes relative to the collection of used oil and foreign currency fluctuations. In addition, customer efforts to minimize hazardous waste and changes in regulation can impact our revenues.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4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8"/>
                <w:szCs w:val="18"/>
                <w:color w:val="auto"/>
              </w:rPr>
            </w:pPr>
          </w:p>
        </w:tc>
        <w:tc>
          <w:tcPr>
            <w:tcW w:w="2020" w:type="dxa"/>
            <w:vAlign w:val="bottom"/>
            <w:gridSpan w:val="3"/>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2026 over 2025</w:t>
            </w:r>
          </w:p>
        </w:tc>
      </w:tr>
      <w:tr>
        <w:trPr>
          <w:trHeight w:val="21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1,252,526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1,209,113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21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three months ended March 31, 2026 increased $43.4 million from the comparable period in 2025. Technical Services revenues increased $22.1 million from the comparable prior year period driven primarily by stronger volumes at our landfill facilities and higher revenues from remediation projects. Revenues from Safety-Kleen core service offerings for the three months ended March 31, 2026 grew by $17.4 million from the comparable period in 2025 due to improved pricing and volumes for our containerized waste, vacuum and parts washer services. Utilization at our incinerators was 80% in the first three months of 2026 as compared to 81% in the same period in 2025. Utilization rates at our incinerator facilities in each period include the impact of our Kimball incinerator, which was placed in service in late 2024. Field and Emergency Response Services revenues increased $15.7 million for the three months ended March 31, 2026 from the comparable period in 2025 driven by incremental revenues from emergency response projects during the current period, including a large scale emergency response event. Partially offsetting this growth from prior year is a $19.8 million reduction in revenues from our Industrial Services operations due to lower demand for industrial maintenance and turnaround services as compared to 2025.</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4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bottom w:val="single" w:sz="8" w:color="auto"/>
            </w:tcBorders>
            <w:gridSpan w:val="3"/>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2026 over 2025</w:t>
            </w:r>
          </w:p>
        </w:tc>
      </w:tr>
      <w:tr>
        <w:trPr>
          <w:trHeight w:val="21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Pr>
          <w:p>
            <w:pPr>
              <w:spacing w:after="0"/>
              <w:rPr>
                <w:sz w:val="18"/>
                <w:szCs w:val="18"/>
                <w:color w:val="auto"/>
              </w:rPr>
            </w:pPr>
          </w:p>
        </w:tc>
        <w:tc>
          <w:tcPr>
            <w:tcW w:w="8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222,740</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(15,729)</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1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2026, SKSS direct revenues decreased $15.7 million compared to the same period in 2025. Revenues from the sale of blended oil products decreased $12.3 million due to lower volumes sold. Revenues from the sale of base oil products decreased $9.3 million as lower pricing was partially offset by higher volumes sold. Additionally, revenues from the sale of vacuum gas oil and specialty refinery products decreased $6.1 million from the same period in 2025. These decreases were partially offset by a $13.9 million increase in revenues from the collection of used oil attributed to the higher pricing for these waste oil collection services.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believe disciplined management of operating costs is vital to our ability to remain price competitive. We experience cost pressures across several categories, most notably internal and external labor and benefits, insurance, transportation, maintenance, fuel and other energy related costs. In addition, we are subject to uncertainty and potential cost increases arising from evolving regulatory and macroeconomic conditions. We aim to manage these increases through constant cost monitoring and a focus on cost savings areas, including lowering employee turnover, as well as our overall customer pricing strategies designed to offset the inflationary impacts on our margins.</w:t>
      </w:r>
    </w:p>
    <w:p>
      <w:pPr>
        <w:spacing w:after="0" w:line="1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upgrade the quality and efficiency of our services through the development of new technology, including through the increased use of artificial intelligence, and continued modifications and expansion at our facilities while also leveraging certain fixed costs of our operating infrastructure. We invest in new business opportunities and aggressively implement strategic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400" w:hanging="647"/>
        <w:spacing w:after="0" w:line="361" w:lineRule="auto"/>
        <w:rPr>
          <w:sz w:val="20"/>
          <w:szCs w:val="20"/>
          <w:color w:val="auto"/>
        </w:rPr>
      </w:pPr>
      <w:r>
        <w:rPr>
          <w:rFonts w:ascii="Times New Roman" w:cs="Times New Roman" w:eastAsia="Times New Roman" w:hAnsi="Times New Roman"/>
          <w:sz w:val="18"/>
          <w:szCs w:val="18"/>
          <w:color w:val="auto"/>
        </w:rPr>
        <w:t xml:space="preserve">sourcing and logistics solutions, while also continuing to optimize our workforce and operating structure in an effort to manage our operating margins. </w:t>
      </w:r>
      <w:r>
        <w:rPr>
          <w:rFonts w:ascii="Times New Roman" w:cs="Times New Roman" w:eastAsia="Times New Roman" w:hAnsi="Times New Roman"/>
          <w:sz w:val="18"/>
          <w:szCs w:val="18"/>
          <w:i w:val="1"/>
          <w:iCs w:val="1"/>
          <w:color w:val="auto"/>
        </w:rPr>
        <w:t>Environmental Services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2026 over 2025</w:t>
            </w:r>
          </w:p>
        </w:tc>
      </w:tr>
      <w:tr>
        <w:trPr>
          <w:trHeight w:val="21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852,380</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839,942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12,438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cost of revenues for the three months ended March 31, 2026 increased $12.4 million from the comparable period in 2025, but improved as a percentage of revenues as we attained greater leverage of our fixed costs while growing total revenue. Commensurate with the revenue growth in the business discussed above, labor and benefit related costs increased $6.9 million and equipment and supply costs increased $4.6 million for the three months ended March 31, 2026 as compared to the three months ended March 31, 2025.</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0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2026 over 2025</w:t>
            </w:r>
          </w:p>
        </w:tc>
      </w:tr>
      <w:tr>
        <w:trPr>
          <w:trHeight w:val="21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154,636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177,438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(22,802)</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20"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SKSS cost of revenues for the three months ended March 31, 2026 decreased $22.8 million from the comparable period in 2025, and improved 5.0% as a percentage of revenues. The decrease both in dollars and as a percentage of revenue was primarily driven by lower acquisition costs of used oil feedstock and lower labor and benefit related costs of $2.5 million due to strategic headcount management actions executed in the second quarter of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aim to manage our SG&amp;A expenses in line with the overall performance of our segments and corresponding revenue levels. Our goal is to achieve this through efficient use of labor resources, enhanced technology, including the increased use of artificial intelligence, process improvements and strategic expense management. Expanding our support functions globally has led to both profitability and productivity improvements. We believe our ability to properly align these costs with business performance is reflective of our strong management of the businesses and further promotes our ability to remain competitive in the marketplace.</w:t>
      </w:r>
    </w:p>
    <w:p>
      <w:pPr>
        <w:spacing w:after="0" w:line="11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SG&amp;A expenses set forth below exclude stock-based compensation expense, which is presented in SG&amp;A on our Consolidated Statement of Operations, but is not included in our measurement of Adjusted EBITDA.</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2026 over 2025</w:t>
            </w:r>
          </w:p>
        </w:tc>
      </w:tr>
      <w:tr>
        <w:trPr>
          <w:trHeight w:val="21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109,745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94,580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15,165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3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SG&amp;A expenses for the three months ended March 31, 2026 increased $15.2 million from the comparable period in 2025 and remained relatively consistent as a percentage of revenue. The results for the three months ended March 31, 2025 include the impact of reducing the estimated costs to remediate a site by approximately $10 million in the first quarter of 2025. Absent this benefit in 2025, which accounted for 80 basis points as a percentage of revenues, the remaining $5.1 million increase was spread across various cost categories and the costs as a percentage of revenues were flat.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2026 over 2025</w:t>
            </w:r>
          </w:p>
        </w:tc>
      </w:tr>
      <w:tr>
        <w:trPr>
          <w:trHeight w:val="214"/>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80" w:type="dxa"/>
            <w:vAlign w:val="bottom"/>
          </w:tcPr>
          <w:p>
            <w:pPr>
              <w:spacing w:after="0"/>
              <w:rPr>
                <w:sz w:val="18"/>
                <w:szCs w:val="18"/>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19,394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17,050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34"/>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6"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SKSS SG&amp;A expenses for the three months ended March 31, 2026 increased $2.3 million as compared to the same period in 2025 primarily driven by a $1.2 million increase in labor and benefit related costs, mainly resulting from higher incentive compensation. As a percentage of revenues, these costs increased 1.7% both due to the increase in labor and benefit related costs and the overall decline in segment revenues discussed above.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2026 over 2025</w:t>
            </w:r>
          </w:p>
        </w:tc>
      </w:tr>
      <w:tr>
        <w:trPr>
          <w:trHeight w:val="21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68,424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63,582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Total Company Direct revenues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20"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manage our Corporate SG&amp;A expenses commensurate with our overall total performance and direct revenue levels. Corporate SG&amp;A expenses for the three months ended March 31, 2026 increased $4.8 million as compared to the same period in the prior year and remained relatively consistent as a percentage of our total revenues. The increase in Corporate SG&amp;A expenses was primarily attributable to a $5.9 million increase in labor and benefits related costs driven by higher incentive compensation partially offset by lower salary costs. For the year, we anticipate that the Corporate SG&amp;A expenses will trend slightly higher than the prior year but will remain flat as a percentage of revenue.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that provides useful information to both management and investors. Adjusted EBITDA should not be considered an alternative to net income or other measurements under generally accepted accounting principles, or GAAP. As reflected in the reconciliation below, we define Adjusted EBITDA as net income plus accretion of environmental liabilities, stock-based compensation, depreciation and amortization, net other expense, net interest expense and provision for income taxes. Adjusted EBITDA also excludes impacts from certain transactions that are not deemed representative of fundamental segment results.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9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our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11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8"/>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6"/>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4"/>
        </w:trPr>
        <w:tc>
          <w:tcPr>
            <w:tcW w:w="6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63,201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58,680</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w w:val="98"/>
              </w:rPr>
              <w:t>3,542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3,620</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98"/>
              </w:rPr>
              <w:t>9,578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7,635</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4"/>
          </w:tcPr>
          <w:p>
            <w:pPr>
              <w:jc w:val="right"/>
              <w:ind w:right="135"/>
              <w:spacing w:after="0"/>
              <w:rPr>
                <w:sz w:val="20"/>
                <w:szCs w:val="20"/>
                <w:color w:val="auto"/>
              </w:rPr>
            </w:pPr>
            <w:r>
              <w:rPr>
                <w:rFonts w:ascii="Times New Roman" w:cs="Times New Roman" w:eastAsia="Times New Roman" w:hAnsi="Times New Roman"/>
                <w:sz w:val="18"/>
                <w:szCs w:val="18"/>
                <w:color w:val="auto"/>
              </w:rPr>
              <w:t>115,799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111,980</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4"/>
          </w:tcPr>
          <w:p>
            <w:pPr>
              <w:jc w:val="right"/>
              <w:ind w:right="135"/>
              <w:spacing w:after="0"/>
              <w:rPr>
                <w:sz w:val="20"/>
                <w:szCs w:val="20"/>
                <w:color w:val="auto"/>
              </w:rPr>
            </w:pPr>
            <w:r>
              <w:rPr>
                <w:rFonts w:ascii="Times New Roman" w:cs="Times New Roman" w:eastAsia="Times New Roman" w:hAnsi="Times New Roman"/>
                <w:sz w:val="18"/>
                <w:szCs w:val="18"/>
                <w:color w:val="auto"/>
              </w:rPr>
              <w:t>33,854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36,077</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4"/>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15,930</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8"/>
                <w:szCs w:val="18"/>
                <w:color w:val="auto"/>
              </w:rPr>
              <w:t>247,854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234,854</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44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6"/>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6"/>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2026 over 2025</w:t>
            </w:r>
          </w:p>
        </w:tc>
      </w:tr>
      <w:tr>
        <w:trPr>
          <w:trHeight w:val="21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fixed assets and amortization of landfills and finance leases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98,667</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3,458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 amortization</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40" w:type="dxa"/>
            <w:vAlign w:val="bottom"/>
            <w:tcBorders>
              <w:bottom w:val="single" w:sz="8" w:color="CCEEFF"/>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111,980</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3,819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ind w:right="24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the three months ended March 31, 2026 increased by $3.8 million from the comparable period in 2025 due to incremental depreciation for assets placed in service to support the growth of the business and higher finance lease amortization.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of Interest Income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4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2026 over 2025</w:t>
            </w:r>
          </w:p>
        </w:tc>
      </w:tr>
      <w:tr>
        <w:trPr>
          <w:trHeight w:val="214"/>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of interest income for the three months ended March 31, 2026 decreased $2.2 million from the comparable period in 2025 primarily due to lower interest rates on outstanding debt during the period resulting from the debt refinancing transactions executed in October 2025 and lower variable interest rates on our SOFR-based debt.</w:t>
      </w:r>
    </w:p>
    <w:p>
      <w:pPr>
        <w:spacing w:after="0" w:line="9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effective interest rate on our debt was 5.2%. For the remainder of 2026, we expect interest expense, net of interest income to continue to be lower than the prior year assuming current rates and our current debt portfolio. For additional information regarding our current portfolio of long-term debt, see Note 11, “Financing Arrangements,” to the accompanying unaudited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2026 over 2025</w:t>
            </w:r>
          </w:p>
        </w:tc>
      </w:tr>
      <w:tr>
        <w:trPr>
          <w:trHeight w:val="21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15,930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3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provision for income taxes increased $5.2 million compared to the same period in 2025. This increase was driven by both higher pre-tax income as well as a higher effective tax rate in 2026. In the first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20"/>
        <w:spacing w:after="0" w:line="414" w:lineRule="auto"/>
        <w:rPr>
          <w:sz w:val="20"/>
          <w:szCs w:val="20"/>
          <w:color w:val="auto"/>
        </w:rPr>
      </w:pPr>
      <w:r>
        <w:rPr>
          <w:rFonts w:ascii="Times New Roman" w:cs="Times New Roman" w:eastAsia="Times New Roman" w:hAnsi="Times New Roman"/>
          <w:sz w:val="18"/>
          <w:szCs w:val="18"/>
          <w:color w:val="auto"/>
        </w:rPr>
        <w:t xml:space="preserve">quarter of 2025, our effective tax rate was favorably impacted by a one-time tax benefit related to a change in estimate for a remedial liability. </w:t>
      </w:r>
      <w:r>
        <w:rPr>
          <w:rFonts w:ascii="Times New Roman" w:cs="Times New Roman" w:eastAsia="Times New Roman" w:hAnsi="Times New Roman"/>
          <w:sz w:val="18"/>
          <w:szCs w:val="18"/>
          <w:b w:val="1"/>
          <w:bCs w:val="1"/>
          <w:i w:val="1"/>
          <w:iCs w:val="1"/>
          <w:color w:val="auto"/>
        </w:rPr>
        <w:t>Liquidity and Capital Resources</w:t>
      </w:r>
    </w:p>
    <w:p>
      <w:pPr>
        <w:spacing w:after="0" w:line="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as of the date of this report.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3"/>
          </w:tcPr>
          <w:p>
            <w:pPr>
              <w:jc w:val="center"/>
              <w:ind w:left="5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60" w:type="dxa"/>
            <w:vAlign w:val="bottom"/>
          </w:tcPr>
          <w:p>
            <w:pPr>
              <w:spacing w:after="0"/>
              <w:rPr>
                <w:sz w:val="18"/>
                <w:szCs w:val="18"/>
                <w:color w:val="auto"/>
              </w:rPr>
            </w:pPr>
          </w:p>
        </w:tc>
      </w:tr>
      <w:tr>
        <w:trPr>
          <w:trHeight w:val="216"/>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left="55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60" w:type="dxa"/>
            <w:vAlign w:val="bottom"/>
            <w:tcBorders>
              <w:bottom w:val="single" w:sz="8" w:color="auto"/>
            </w:tcBorders>
          </w:tcPr>
          <w:p>
            <w:pPr>
              <w:spacing w:after="0"/>
              <w:rPr>
                <w:sz w:val="18"/>
                <w:szCs w:val="18"/>
                <w:color w:val="auto"/>
              </w:rPr>
            </w:pPr>
          </w:p>
        </w:tc>
      </w:tr>
      <w:tr>
        <w:trPr>
          <w:trHeight w:val="21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5"/>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(222,723)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(120,330)</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(79,259)</w:t>
            </w: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6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for the three months ended March 31, 2026 was $6.3 million as compared to $1.6 million in the same period of 2025. This $4.7 million increase in operating cash flows was primarily driven by lower cash paid for interest partially offset by higher working capital balances for the three months ended March 31, 2026 compared to the same period in 2025.</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6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was $222.7 million, an increase of $102.4 million from the comparable period in 2025. This increase was driven by $131.8 million of cash paid in 2026 to acquire certain businesses from Depot Connect International. This higher cash outflow was partially offset by a $20.4 million decrease in additions to property, plant and equipment, net of proceeds from sale and disposal of fixed assets and $6.2 million net sale of marketable securities for the three months ended March 31, 2026, as compared to a $2.7 net purchase of marketable securities in the comparable period in 2025.</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4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2026 was $58.3 million, as compared to $79.3 million for the three months ended March 31, 2025. This decrease compared to the prior period was primarily due to a decrease in repurchases of common stock of $30.0 million. The reduction in cash outflows was partially offset by an incremental outflow of $5.8 million from the change in uncashed checks and an increase in payments on finance lease liabilities of $2.5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Management considers adjusted free cash flow, a non-GAAP measure, to be a measure of liquidity that provides useful information to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When necessary, management adjusts for the cash impact of items derived from non-operating activities. Additionally, adjusted free cash flow excludes significant one-time growth investments, as they are not indicative of free cash flow generation for the current period. For 2026, these significant strategic growth investments include current year spend on the multi-year construction of a Solvent De-Asphalting unit, or SDA, adjacent to our East Chicago, Indiana re-refinery and current year spend on our multi-year vacuum truck fleet expansion project. We expect to spend approximately $85 million and $25 million, respectively, in 2026 for these projects from which we expect to realize future long-term benefits. In 2025, significant strategic growth investments included spend on the SDA project and the acquisition and build out of a hub facility in Phoenix, Arizona, which we refer to as our Phoenix Hub. No amounts were spent on these projects in the first quarter of 2025, but spending did occur later in 2025.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titled measures reported by other companies.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cash from operating activities to adjusted free cash flow for the following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6"/>
        </w:trPr>
        <w:tc>
          <w:tcPr>
            <w:tcW w:w="8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1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(118,695)</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investments in strategic growth projects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660" w:right="120" w:hanging="328"/>
        <w:spacing w:after="0" w:line="270" w:lineRule="auto"/>
        <w:tabs>
          <w:tab w:leader="none" w:pos="7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$12.4 million and $2.4 million of capital investments in the SDA unit and fleet expansion project, respectively, during the three months ended March 31, 2026.</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At March 31, 2026, cash and cash equivalents and marketable securities totaled $669.0 million, compared to $953.7 million at December 31, 2025. At March 31, 2026, cash and cash equivalents held by our Canadian subsidiaries totaled $207.7 million. The cash and cash equivalents and marketable securities balance for our U.S. operations was $461.3 million at March 31, 2026. Our U.S. operations had net operating cash inflows of $14.3 million for the three months ended March 31, 2026.</w:t>
      </w:r>
    </w:p>
    <w:p>
      <w:pPr>
        <w:spacing w:after="0" w:line="11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maintain a $600.0 million revolving credit facility, of which, as of March 31, 2026, approximately $454.7 million was available to borrow under the facility, with letters of credit of $145.3 million outstanding.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60"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Capital expenditures during the first three months of 2026 were $98.4 million, including the investments in strategic growth investments outlined in the table below. We anticipate 2026 capital spending, net of disposals, will be in the range of $460.0 million to $520.0 million. This range also includes the strategic growth investment spend in 2026 outlined in the table below.</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key strategic growth investments, including 2025 and 2026 expenditures through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Pr>
          <w:p>
            <w:pPr>
              <w:spacing w:after="0"/>
              <w:rPr>
                <w:sz w:val="16"/>
                <w:szCs w:val="16"/>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2026 Expected</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Expected Full</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w:t>
            </w:r>
          </w:p>
        </w:tc>
        <w:tc>
          <w:tcPr>
            <w:tcW w:w="0" w:type="dxa"/>
            <w:vAlign w:val="bottom"/>
          </w:tcPr>
          <w:p>
            <w:pPr>
              <w:spacing w:after="0"/>
              <w:rPr>
                <w:sz w:val="1"/>
                <w:szCs w:val="1"/>
                <w:color w:val="auto"/>
              </w:rPr>
            </w:pPr>
          </w:p>
        </w:tc>
      </w:tr>
      <w:tr>
        <w:trPr>
          <w:trHeight w:val="162"/>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 except dates)</w:t>
            </w: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Completion</w:t>
            </w:r>
          </w:p>
        </w:tc>
        <w:tc>
          <w:tcPr>
            <w:tcW w:w="0" w:type="dxa"/>
            <w:vAlign w:val="bottom"/>
          </w:tcPr>
          <w:p>
            <w:pPr>
              <w:spacing w:after="0"/>
              <w:rPr>
                <w:sz w:val="1"/>
                <w:szCs w:val="1"/>
                <w:color w:val="auto"/>
              </w:rPr>
            </w:pPr>
          </w:p>
        </w:tc>
      </w:tr>
      <w:tr>
        <w:trPr>
          <w:trHeight w:val="214"/>
        </w:trPr>
        <w:tc>
          <w:tcPr>
            <w:tcW w:w="4980" w:type="dxa"/>
            <w:vAlign w:val="bottom"/>
            <w:gridSpan w:val="2"/>
            <w:vMerge w:val="continue"/>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Expenditures</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Expenditures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Expenditures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Project Cost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225"/>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SDA unit</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$210 - 220</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3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Fleet expansion project</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80" w:type="dxa"/>
            <w:vAlign w:val="bottom"/>
          </w:tcPr>
          <w:p>
            <w:pPr>
              <w:spacing w:after="0"/>
              <w:rPr>
                <w:sz w:val="20"/>
                <w:szCs w:val="20"/>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two strategic growth investments outlined in the table above are considered projects from which we expect to realize future long-term benefits once placed in service. These are incremental to the capital expenditures needed to maintain current operations.</w:t>
      </w:r>
    </w:p>
    <w:p>
      <w:pPr>
        <w:spacing w:after="0" w:line="9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the remaining 2026 capital spending and future spending for key strategic growth investments will be funded by cash from our operations. Unanticipated changes in environmental regulations could require us to make significant capital expenditures for our facilities and adversely affect our results of operations and cash flow.</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6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our financing arrangements included (i) $1.3 billion of secured senior term loans due 2032, (ii) $300.0 million of 5.125% unsecured senior notes due 2029, (iii) $500.0 million of 6.375% unsecured senior notes due 2031, and (iv) $745.0 million of 5.750% unsecured senior notes due 2033. As noted above, we also maintain our $600.0 million revolving credit facility with no amounts owed as of March 31, 2026.</w:t>
      </w:r>
    </w:p>
    <w:p>
      <w:pPr>
        <w:spacing w:after="0" w:line="108"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11, “Financing Arrangements,” to the accompanying unaudited consolidated financial statements. We expect that future payments of interest will continue to be funded through cash flows from operations and any principal payments will either be funded through available cash from operations or through available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financing alternatives. We will continue to monitor our debt instruments and evaluate opportunities where it may be beneficial to refinance or reallocate the portfolio.</w:t>
      </w:r>
    </w:p>
    <w:p>
      <w:pPr>
        <w:spacing w:after="0" w:line="9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we were in compliance with the covenants of all of our debt agreements, and we believe we will continue to meet such covenants.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Stock Repurchases Pursuant to Publicly Announced Plan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and March 31, 2025, we repurchased and retired 87,166 and 256,473 shares, respectively,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for total expenditures of $25.0 million and $55.0 million, respectively. On February 18, 2026, our Board of Directors authorized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 million expansion of our share repurchase program. As of March 31, 2026, an additional $574.4 million remained available for the repurchase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40" w:type="dxa"/>
            <w:vAlign w:val="bottom"/>
          </w:tcPr>
          <w:p>
            <w:pPr>
              <w:spacing w:after="0"/>
              <w:rPr>
                <w:sz w:val="18"/>
                <w:szCs w:val="18"/>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84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94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Total environmental liabilities as of March 31, 2026 were $229.5 million, a decrease of $1.2 million compared to December 31, 2025. During the three months ended March 31, 2026, the environmental liability balance decreased due to expenditures of $4.1 million and reductions in environmental liability estimates of $1.4 million. These decreases were partially offset by accretion of $3.5 million and new environmental liabilities of $0.9 million.</w:t>
      </w:r>
    </w:p>
    <w:p>
      <w:pPr>
        <w:spacing w:after="0" w:line="7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94"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that may reduce amounts ultimately paid.</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4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March 31, 2026, there were $145.3 million outstanding letters of credit. See Note 11, “Financing Arrangements,” to the accompanying unaudited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the first three months of 2026, there were no material changes to the information provided under the heading “Critical Accounting Estimates” included in our Annual Report on Form 10-K for the year ended December 31, 2025. For more information regarding our accounting policies, please refer to Note 2, “Significant Accounting Policies” to the accompanying unaudited consolidated financial statements.</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In the first three months of 2026, there were no material changes to the information provided under Item 7A. “Quantitative and Qualitative Disclosures about Market Risk,” in our Annual Report on Form 10-K for the year ended December 31, 2025.</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Co-Chief Executive Officers and Chief Financial Officer, as of the end of the period covered by this Quarterly Report on Form 10-Q, our Co-Chief Executive Officers and Chief Financial Officer have concluded that our disclosure controls and procedures (as defined under Rule 13a-15(e) and 15d-15(e)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Securities Exchange Act of 1934, as amended (the “Exchange Act”)) were effective as of March 31, 2026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Exchange Act Rules 13a-15 or 15d-15 that was conducted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15, “Commitments and Contingencies,” to the unaudited consolidated financial statements included in Item 1 of this report, which description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from the information provided in Item 1A. in our Annual Report on Form 10-K for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4080" w:type="dxa"/>
            <w:vAlign w:val="bottom"/>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4080" w:type="dxa"/>
            <w:vAlign w:val="bottom"/>
            <w:vMerge w:val="continue"/>
          </w:tcPr>
          <w:p>
            <w:pPr>
              <w:spacing w:after="0"/>
              <w:rPr>
                <w:sz w:val="18"/>
                <w:szCs w:val="18"/>
                <w:color w:val="auto"/>
              </w:rPr>
            </w:pPr>
          </w:p>
        </w:tc>
        <w:tc>
          <w:tcPr>
            <w:tcW w:w="15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Purchased </w:t>
            </w:r>
            <w:r>
              <w:rPr>
                <w:rFonts w:ascii="Times New Roman" w:cs="Times New Roman" w:eastAsia="Times New Roman" w:hAnsi="Times New Roman"/>
                <w:sz w:val="21"/>
                <w:szCs w:val="21"/>
                <w:color w:val="auto"/>
                <w:w w:val="97"/>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color w:val="auto"/>
                <w:vertAlign w:val="superscript"/>
              </w:rPr>
              <w:t>(2)</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94"/>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 thousands) </w:t>
            </w:r>
            <w:r>
              <w:rPr>
                <w:rFonts w:ascii="Times New Roman" w:cs="Times New Roman" w:eastAsia="Times New Roman" w:hAnsi="Times New Roman"/>
                <w:sz w:val="21"/>
                <w:szCs w:val="21"/>
                <w:color w:val="auto"/>
                <w:w w:val="98"/>
                <w:vertAlign w:val="superscript"/>
              </w:rPr>
              <w:t>(3)</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through January 31, 2026</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249,384</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599,384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through March 31, 2026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574,384</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122,283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660" w:right="640" w:hanging="328"/>
        <w:spacing w:after="0" w:line="255" w:lineRule="auto"/>
        <w:tabs>
          <w:tab w:leader="none" w:pos="7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35,117 shares withheld by us from employees to satisfy employee tax obligations upon vesting of restricted stock granted to our employees under our equity incentive plans.</w:t>
      </w:r>
    </w:p>
    <w:p>
      <w:pPr>
        <w:ind w:left="720" w:hanging="388"/>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our stock repurchase program includes the commissions paid to brokers.</w:t>
      </w:r>
    </w:p>
    <w:p>
      <w:pPr>
        <w:spacing w:after="0" w:line="9" w:lineRule="exact"/>
        <w:rPr>
          <w:rFonts w:ascii="Times New Roman" w:cs="Times New Roman" w:eastAsia="Times New Roman" w:hAnsi="Times New Roman"/>
          <w:sz w:val="18"/>
          <w:szCs w:val="18"/>
          <w:color w:val="auto"/>
        </w:rPr>
      </w:pPr>
    </w:p>
    <w:p>
      <w:pPr>
        <w:ind w:left="660" w:hanging="328"/>
        <w:spacing w:after="0" w:line="265" w:lineRule="auto"/>
        <w:tabs>
          <w:tab w:leader="none" w:pos="72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18, 2026, we announced that our Board of Directors had authorized a $350.0 million expansion of our share repurchase program. As of March 31, 2026, the amount available for repurchase under the expanded Board-approved plan was $574.4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As part of our share repurchase program, we maintain a repurchase plan in accordance with Rule</w:t>
      </w:r>
    </w:p>
    <w:p>
      <w:pPr>
        <w:ind w:left="660"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10b5-1 promulgated under the Exchange Act. During the three months ended March 31, 2026, no shares were repurchased under the Rule 10b5-1 plan. We have no obligation to repurchase stock under this program and may suspend or terminate the repurchase program at any time.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right="380" w:firstLine="648"/>
        <w:spacing w:after="0" w:line="312" w:lineRule="auto"/>
        <w:rPr>
          <w:sz w:val="20"/>
          <w:szCs w:val="20"/>
          <w:color w:val="auto"/>
        </w:rPr>
      </w:pPr>
      <w:r>
        <w:rPr>
          <w:rFonts w:ascii="Times New Roman" w:cs="Times New Roman" w:eastAsia="Times New Roman" w:hAnsi="Times New Roman"/>
          <w:sz w:val="17"/>
          <w:szCs w:val="17"/>
          <w:color w:val="auto"/>
        </w:rPr>
        <w:t>During the quarter ended March 31, 2026, no director or “officer” (as defined in Rule 16a-1(f)) of Clean Harbors, Inc.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580" w:type="dxa"/>
            <w:vAlign w:val="bottom"/>
            <w:gridSpan w:val="4"/>
          </w:tcPr>
          <w:p>
            <w:pPr>
              <w:ind w:left="2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23"/>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Co-CEO Michael L. Battles</w:t>
            </w:r>
          </w:p>
        </w:tc>
        <w:tc>
          <w:tcPr>
            <w:tcW w:w="4340" w:type="dxa"/>
            <w:vAlign w:val="bottom"/>
            <w:gridSpan w:val="2"/>
          </w:tcPr>
          <w:p>
            <w:pPr>
              <w:spacing w:after="0"/>
              <w:rPr>
                <w:sz w:val="19"/>
                <w:szCs w:val="19"/>
                <w:color w:val="auto"/>
              </w:rPr>
            </w:pPr>
          </w:p>
        </w:tc>
      </w:tr>
      <w:tr>
        <w:trPr>
          <w:trHeight w:val="263"/>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Co-CEO Eric W. Gerstenberg</w:t>
            </w:r>
          </w:p>
        </w:tc>
      </w:tr>
      <w:tr>
        <w:trPr>
          <w:trHeight w:val="264"/>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CFO Eric J. Dugas</w:t>
            </w:r>
          </w:p>
        </w:tc>
        <w:tc>
          <w:tcPr>
            <w:tcW w:w="4220" w:type="dxa"/>
            <w:vAlign w:val="bottom"/>
          </w:tcPr>
          <w:p>
            <w:pPr>
              <w:spacing w:after="0"/>
              <w:rPr>
                <w:sz w:val="22"/>
                <w:szCs w:val="22"/>
                <w:color w:val="auto"/>
              </w:rPr>
            </w:pPr>
          </w:p>
        </w:tc>
      </w:tr>
      <w:tr>
        <w:trPr>
          <w:trHeight w:val="263"/>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2"/>
                <w:szCs w:val="22"/>
                <w:color w:val="auto"/>
              </w:rPr>
            </w:pPr>
          </w:p>
        </w:tc>
        <w:tc>
          <w:tcPr>
            <w:tcW w:w="4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5000" w:type="dxa"/>
            <w:vAlign w:val="bottom"/>
            <w:gridSpan w:val="3"/>
          </w:tcPr>
          <w:p>
            <w:pPr>
              <w:spacing w:after="0"/>
              <w:rPr>
                <w:sz w:val="22"/>
                <w:szCs w:val="22"/>
                <w:color w:val="auto"/>
              </w:rPr>
            </w:pPr>
          </w:p>
        </w:tc>
      </w:tr>
      <w:tr>
        <w:trPr>
          <w:trHeight w:val="20"/>
        </w:trPr>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r>
      <w:tr>
        <w:trPr>
          <w:trHeight w:val="304"/>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5"/>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bl>
    <w:p>
      <w:pPr>
        <w:ind w:left="1700"/>
        <w:spacing w:after="0"/>
        <w:rPr>
          <w:sz w:val="20"/>
          <w:szCs w:val="20"/>
          <w:color w:val="auto"/>
        </w:rPr>
      </w:pPr>
      <w:r>
        <w:rPr>
          <w:rFonts w:ascii="Times New Roman" w:cs="Times New Roman" w:eastAsia="Times New Roman" w:hAnsi="Times New Roman"/>
          <w:sz w:val="18"/>
          <w:szCs w:val="18"/>
          <w:color w:val="auto"/>
        </w:rPr>
        <w:t>101)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8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77" w:lineRule="exact"/>
        <w:rPr>
          <w:sz w:val="20"/>
          <w:szCs w:val="20"/>
          <w:color w:val="auto"/>
        </w:rPr>
      </w:pPr>
    </w:p>
    <w:p>
      <w:pPr>
        <w:ind w:left="5500"/>
        <w:spacing w:after="0"/>
        <w:tabs>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6, 2026</w:t>
      </w:r>
    </w:p>
    <w:p>
      <w:pPr>
        <w:spacing w:after="0" w:line="77" w:lineRule="exact"/>
        <w:rPr>
          <w:sz w:val="20"/>
          <w:szCs w:val="20"/>
          <w:color w:val="auto"/>
        </w:rPr>
      </w:pPr>
    </w:p>
    <w:p>
      <w:pPr>
        <w:ind w:left="5500"/>
        <w:spacing w:after="0"/>
        <w:tabs>
          <w:tab w:leader="none" w:pos="7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6, 2026</w:t>
      </w:r>
    </w:p>
    <w:p>
      <w:pPr>
        <w:spacing w:after="0" w:line="77" w:lineRule="exact"/>
        <w:rPr>
          <w:sz w:val="20"/>
          <w:szCs w:val="20"/>
          <w:color w:val="auto"/>
        </w:rPr>
      </w:pPr>
    </w:p>
    <w:p>
      <w:pPr>
        <w:ind w:left="550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8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40"/>
          </w:cols>
          <w:pgMar w:left="320" w:top="121" w:right="10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Gerstenberg, certify that:</w:t>
      </w:r>
    </w:p>
    <w:p>
      <w:pPr>
        <w:spacing w:after="0" w:line="252"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Dugas, certify that:</w:t>
      </w:r>
    </w:p>
    <w:p>
      <w:pPr>
        <w:spacing w:after="0" w:line="252"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March 31, 2026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1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340" w:type="dxa"/>
            <w:vAlign w:val="bottom"/>
          </w:tcPr>
          <w:p>
            <w:pPr>
              <w:ind w:left="5060"/>
              <w:spacing w:after="0"/>
              <w:rPr>
                <w:sz w:val="20"/>
                <w:szCs w:val="20"/>
                <w:color w:val="auto"/>
              </w:rPr>
            </w:pPr>
            <w:r>
              <w:rPr>
                <w:rFonts w:ascii="Times New Roman" w:cs="Times New Roman" w:eastAsia="Times New Roman" w:hAnsi="Times New Roman"/>
                <w:sz w:val="18"/>
                <w:szCs w:val="18"/>
                <w:color w:val="auto"/>
                <w:w w:val="99"/>
              </w:rPr>
              <w:t>By:</w:t>
            </w: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L. BATTLES</w:t>
            </w:r>
          </w:p>
        </w:tc>
      </w:tr>
      <w:tr>
        <w:trPr>
          <w:trHeight w:val="214"/>
        </w:trPr>
        <w:tc>
          <w:tcPr>
            <w:tcW w:w="534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Michael L. Battles</w:t>
            </w: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and Co-President</w:t>
            </w:r>
          </w:p>
        </w:tc>
      </w:tr>
      <w:tr>
        <w:trPr>
          <w:trHeight w:val="459"/>
        </w:trPr>
        <w:tc>
          <w:tcPr>
            <w:tcW w:w="5340" w:type="dxa"/>
            <w:vAlign w:val="bottom"/>
          </w:tcPr>
          <w:p>
            <w:pPr>
              <w:ind w:left="5060"/>
              <w:spacing w:after="0"/>
              <w:rPr>
                <w:sz w:val="20"/>
                <w:szCs w:val="20"/>
                <w:color w:val="auto"/>
              </w:rPr>
            </w:pPr>
            <w:r>
              <w:rPr>
                <w:rFonts w:ascii="Times New Roman" w:cs="Times New Roman" w:eastAsia="Times New Roman" w:hAnsi="Times New Roman"/>
                <w:sz w:val="18"/>
                <w:szCs w:val="18"/>
                <w:color w:val="auto"/>
                <w:w w:val="99"/>
              </w:rPr>
              <w:t>By:</w:t>
            </w: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W. GERSTENBERG</w:t>
            </w:r>
          </w:p>
        </w:tc>
      </w:tr>
      <w:tr>
        <w:trPr>
          <w:trHeight w:val="214"/>
        </w:trPr>
        <w:tc>
          <w:tcPr>
            <w:tcW w:w="534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Eric W. Gerstenberg</w:t>
            </w: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and Co-President</w:t>
            </w:r>
          </w:p>
        </w:tc>
      </w:tr>
      <w:tr>
        <w:trPr>
          <w:trHeight w:val="486"/>
        </w:trPr>
        <w:tc>
          <w:tcPr>
            <w:tcW w:w="5340" w:type="dxa"/>
            <w:vAlign w:val="bottom"/>
          </w:tcPr>
          <w:p>
            <w:pPr>
              <w:ind w:left="5060"/>
              <w:spacing w:after="0"/>
              <w:rPr>
                <w:sz w:val="20"/>
                <w:szCs w:val="20"/>
                <w:color w:val="auto"/>
              </w:rPr>
            </w:pPr>
            <w:r>
              <w:rPr>
                <w:rFonts w:ascii="Times New Roman" w:cs="Times New Roman" w:eastAsia="Times New Roman" w:hAnsi="Times New Roman"/>
                <w:sz w:val="18"/>
                <w:szCs w:val="18"/>
                <w:color w:val="auto"/>
                <w:w w:val="99"/>
              </w:rPr>
              <w:t>By:</w:t>
            </w: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ERIC J. DUGAS</w:t>
            </w:r>
          </w:p>
        </w:tc>
      </w:tr>
      <w:tr>
        <w:trPr>
          <w:trHeight w:val="214"/>
        </w:trPr>
        <w:tc>
          <w:tcPr>
            <w:tcW w:w="534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Eric J. Dugas</w:t>
            </w: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5"/>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5"/>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2026-05-06T09:58:32Z</dcterms:created>
  <dcterms:modified xsi:type="dcterms:W3CDTF">2026-05-06T09:58:32Z</dcterms:modified>
</cp:coreProperties>
</file>