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7" w:lineRule="exact"/>
        <w:rPr>
          <w:sz w:val="24"/>
          <w:szCs w:val="24"/>
          <w:color w:val="auto"/>
        </w:rPr>
      </w:pPr>
    </w:p>
    <w:p>
      <w:pPr>
        <w:ind w:left="28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53" w:lineRule="exact"/>
        <w:rPr>
          <w:sz w:val="24"/>
          <w:szCs w:val="24"/>
          <w:color w:val="auto"/>
        </w:rPr>
      </w:pPr>
    </w:p>
    <w:p>
      <w:pPr>
        <w:ind w:left="1840" w:hanging="414"/>
        <w:spacing w:after="0"/>
        <w:tabs>
          <w:tab w:leader="none" w:pos="18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08" w:lineRule="exact"/>
        <w:rPr>
          <w:sz w:val="24"/>
          <w:szCs w:val="24"/>
          <w:color w:val="auto"/>
        </w:rPr>
      </w:pPr>
    </w:p>
    <w:p>
      <w:pPr>
        <w:ind w:left="3180"/>
        <w:spacing w:after="0"/>
        <w:tabs>
          <w:tab w:leader="none" w:pos="6020" w:val="left"/>
        </w:tabs>
        <w:rPr>
          <w:sz w:val="20"/>
          <w:szCs w:val="20"/>
          <w:color w:val="auto"/>
        </w:rPr>
      </w:pPr>
      <w:r>
        <w:rPr>
          <w:rFonts w:ascii="Arial" w:cs="Arial" w:eastAsia="Arial" w:hAnsi="Arial"/>
          <w:sz w:val="16"/>
          <w:szCs w:val="16"/>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2019</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ind w:left="1840" w:hanging="414"/>
        <w:spacing w:after="0"/>
        <w:tabs>
          <w:tab w:leader="none" w:pos="18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NO. 001-34223</w:t>
      </w:r>
    </w:p>
    <w:p>
      <w:pPr>
        <w:spacing w:after="0" w:line="17" w:lineRule="exact"/>
        <w:rPr>
          <w:sz w:val="24"/>
          <w:szCs w:val="24"/>
          <w:color w:val="auto"/>
        </w:rPr>
      </w:pPr>
    </w:p>
    <w:p>
      <w:pPr>
        <w:ind w:left="28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CLEAN HARBORS,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ind w:left="28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159" w:lineRule="exact"/>
        <w:rPr>
          <w:sz w:val="24"/>
          <w:szCs w:val="24"/>
          <w:color w:val="auto"/>
        </w:rPr>
      </w:pPr>
    </w:p>
    <w:tbl>
      <w:tblPr>
        <w:tblLayout w:type="fixed"/>
        <w:tblInd w:w="1380" w:type="dxa"/>
        <w:tblCellMar>
          <w:top w:w="0" w:type="dxa"/>
          <w:left w:w="0" w:type="dxa"/>
          <w:bottom w:w="0" w:type="dxa"/>
          <w:right w:w="0" w:type="dxa"/>
        </w:tblCellMar>
      </w:tblPr>
      <w:tr>
        <w:trPr>
          <w:trHeight w:val="210"/>
        </w:trPr>
        <w:tc>
          <w:tcPr>
            <w:tcW w:w="5100" w:type="dxa"/>
            <w:vAlign w:val="bottom"/>
          </w:tcPr>
          <w:p>
            <w:pPr>
              <w:jc w:val="center"/>
              <w:ind w:right="659"/>
              <w:spacing w:after="0"/>
              <w:rPr>
                <w:sz w:val="20"/>
                <w:szCs w:val="20"/>
                <w:color w:val="auto"/>
              </w:rPr>
            </w:pPr>
            <w:r>
              <w:rPr>
                <w:rFonts w:ascii="Arial" w:cs="Arial" w:eastAsia="Arial" w:hAnsi="Arial"/>
                <w:sz w:val="16"/>
                <w:szCs w:val="16"/>
                <w:b w:val="1"/>
                <w:bCs w:val="1"/>
                <w:color w:val="auto"/>
                <w:w w:val="87"/>
              </w:rPr>
              <w:t>Massachusetts</w:t>
            </w:r>
          </w:p>
        </w:tc>
        <w:tc>
          <w:tcPr>
            <w:tcW w:w="3360" w:type="dxa"/>
            <w:vAlign w:val="bottom"/>
          </w:tcPr>
          <w:p>
            <w:pPr>
              <w:jc w:val="center"/>
              <w:ind w:left="1039"/>
              <w:spacing w:after="0"/>
              <w:rPr>
                <w:sz w:val="20"/>
                <w:szCs w:val="20"/>
                <w:color w:val="auto"/>
              </w:rPr>
            </w:pPr>
            <w:r>
              <w:rPr>
                <w:rFonts w:ascii="Arial" w:cs="Arial" w:eastAsia="Arial" w:hAnsi="Arial"/>
                <w:sz w:val="16"/>
                <w:szCs w:val="16"/>
                <w:b w:val="1"/>
                <w:bCs w:val="1"/>
                <w:color w:val="auto"/>
                <w:w w:val="93"/>
              </w:rPr>
              <w:t>04-2997780</w:t>
            </w: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360" w:type="dxa"/>
            <w:vAlign w:val="bottom"/>
          </w:tcPr>
          <w:p>
            <w:pPr>
              <w:jc w:val="center"/>
              <w:ind w:left="1039"/>
              <w:spacing w:after="0"/>
              <w:rPr>
                <w:sz w:val="20"/>
                <w:szCs w:val="20"/>
                <w:color w:val="auto"/>
              </w:rPr>
            </w:pPr>
            <w:r>
              <w:rPr>
                <w:rFonts w:ascii="Arial" w:cs="Arial" w:eastAsia="Arial" w:hAnsi="Arial"/>
                <w:sz w:val="16"/>
                <w:szCs w:val="16"/>
                <w:color w:val="auto"/>
                <w:w w:val="96"/>
              </w:rPr>
              <w:t>(IRS Employer Identification No.)</w:t>
            </w:r>
          </w:p>
        </w:tc>
      </w:tr>
      <w:tr>
        <w:trPr>
          <w:trHeight w:val="270"/>
        </w:trPr>
        <w:tc>
          <w:tcPr>
            <w:tcW w:w="5100" w:type="dxa"/>
            <w:vAlign w:val="bottom"/>
          </w:tcPr>
          <w:p>
            <w:pPr>
              <w:ind w:left="960"/>
              <w:spacing w:after="0"/>
              <w:rPr>
                <w:sz w:val="20"/>
                <w:szCs w:val="20"/>
                <w:color w:val="auto"/>
              </w:rPr>
            </w:pPr>
            <w:r>
              <w:rPr>
                <w:rFonts w:ascii="Arial" w:cs="Arial" w:eastAsia="Arial" w:hAnsi="Arial"/>
                <w:sz w:val="16"/>
                <w:szCs w:val="16"/>
                <w:b w:val="1"/>
                <w:bCs w:val="1"/>
                <w:color w:val="auto"/>
              </w:rPr>
              <w:t>42 Longwater Drive Norwell  MA</w:t>
            </w:r>
          </w:p>
        </w:tc>
        <w:tc>
          <w:tcPr>
            <w:tcW w:w="3360" w:type="dxa"/>
            <w:vAlign w:val="bottom"/>
          </w:tcPr>
          <w:p>
            <w:pPr>
              <w:jc w:val="center"/>
              <w:ind w:left="1039"/>
              <w:spacing w:after="0"/>
              <w:rPr>
                <w:sz w:val="20"/>
                <w:szCs w:val="20"/>
                <w:color w:val="auto"/>
              </w:rPr>
            </w:pPr>
            <w:r>
              <w:rPr>
                <w:rFonts w:ascii="Arial" w:cs="Arial" w:eastAsia="Arial" w:hAnsi="Arial"/>
                <w:sz w:val="16"/>
                <w:szCs w:val="16"/>
                <w:b w:val="1"/>
                <w:bCs w:val="1"/>
                <w:color w:val="auto"/>
                <w:w w:val="93"/>
              </w:rPr>
              <w:t>02061-9149</w:t>
            </w:r>
          </w:p>
        </w:tc>
      </w:tr>
      <w:tr>
        <w:trPr>
          <w:trHeight w:val="270"/>
        </w:trPr>
        <w:tc>
          <w:tcPr>
            <w:tcW w:w="5100" w:type="dxa"/>
            <w:vAlign w:val="bottom"/>
          </w:tcPr>
          <w:p>
            <w:pPr>
              <w:jc w:val="center"/>
              <w:ind w:right="659"/>
              <w:spacing w:after="0"/>
              <w:rPr>
                <w:sz w:val="20"/>
                <w:szCs w:val="20"/>
                <w:color w:val="auto"/>
              </w:rPr>
            </w:pPr>
            <w:r>
              <w:rPr>
                <w:rFonts w:ascii="Arial" w:cs="Arial" w:eastAsia="Arial" w:hAnsi="Arial"/>
                <w:sz w:val="16"/>
                <w:szCs w:val="16"/>
                <w:color w:val="auto"/>
                <w:w w:val="93"/>
              </w:rPr>
              <w:t>(Address of Principal Executive Offices)</w:t>
            </w:r>
          </w:p>
        </w:tc>
        <w:tc>
          <w:tcPr>
            <w:tcW w:w="3360" w:type="dxa"/>
            <w:vAlign w:val="bottom"/>
          </w:tcPr>
          <w:p>
            <w:pPr>
              <w:jc w:val="center"/>
              <w:ind w:left="1039"/>
              <w:spacing w:after="0"/>
              <w:rPr>
                <w:sz w:val="20"/>
                <w:szCs w:val="20"/>
                <w:color w:val="auto"/>
              </w:rPr>
            </w:pPr>
            <w:r>
              <w:rPr>
                <w:rFonts w:ascii="Arial" w:cs="Arial" w:eastAsia="Arial" w:hAnsi="Arial"/>
                <w:sz w:val="16"/>
                <w:szCs w:val="16"/>
                <w:color w:val="auto"/>
                <w:w w:val="95"/>
              </w:rPr>
              <w:t>(Zip Code)</w:t>
            </w:r>
          </w:p>
        </w:tc>
      </w:tr>
    </w:tbl>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(781) 792-5000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Securities Exchange Act of 1934:</w:t>
      </w:r>
    </w:p>
    <w:p>
      <w:pPr>
        <w:spacing w:after="0" w:line="194"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3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Title of each class</w:t>
            </w:r>
          </w:p>
        </w:tc>
        <w:tc>
          <w:tcPr>
            <w:tcW w:w="3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Trading Symbol</w:t>
            </w: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17"/>
        </w:trPr>
        <w:tc>
          <w:tcPr>
            <w:tcW w:w="34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$0.01 par value</w:t>
            </w:r>
          </w:p>
        </w:tc>
        <w:tc>
          <w:tcPr>
            <w:tcW w:w="35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CLH</w:t>
            </w:r>
          </w:p>
        </w:tc>
        <w:tc>
          <w:tcPr>
            <w:tcW w:w="34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75" w:lineRule="exact"/>
        <w:rPr>
          <w:sz w:val="24"/>
          <w:szCs w:val="24"/>
          <w:color w:val="auto"/>
        </w:rPr>
      </w:pPr>
    </w:p>
    <w:p>
      <w:pPr>
        <w:ind w:left="340"/>
        <w:spacing w:after="0" w:line="20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ind w:left="40" w:right="2180" w:firstLine="284"/>
        <w:spacing w:after="0" w:line="28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93" w:lineRule="exact"/>
        <w:rPr>
          <w:sz w:val="24"/>
          <w:szCs w:val="24"/>
          <w:color w:val="auto"/>
        </w:rPr>
      </w:pPr>
    </w:p>
    <w:p>
      <w:pPr>
        <w:jc w:val="both"/>
        <w:ind w:right="500" w:firstLine="324"/>
        <w:spacing w:after="0" w:line="22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3" w:lineRule="exact"/>
        <w:rPr>
          <w:sz w:val="24"/>
          <w:szCs w:val="24"/>
          <w:color w:val="auto"/>
        </w:rPr>
      </w:pPr>
    </w:p>
    <w:p>
      <w:pPr>
        <w:ind w:right="240" w:firstLine="324"/>
        <w:spacing w:after="0" w:line="22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ind w:right="20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225" w:right="259" w:bottom="1440" w:gutter="0" w:footer="0" w:header="0"/>
        </w:sectPr>
      </w:pPr>
    </w:p>
    <w:p>
      <w:pPr>
        <w:spacing w:after="0" w:line="197" w:lineRule="exact"/>
        <w:rPr>
          <w:sz w:val="24"/>
          <w:szCs w:val="24"/>
          <w:color w:val="auto"/>
        </w:rPr>
      </w:pPr>
    </w:p>
    <w:p>
      <w:pPr>
        <w:ind w:left="18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3260" w:space="120"/>
            <w:col w:w="4680" w:space="720"/>
            <w:col w:w="1080" w:space="60"/>
            <w:col w:w="1480"/>
          </w:cols>
          <w:pgMar w:left="240" w:top="225" w:right="259" w:bottom="1440" w:gutter="0" w:footer="0" w:header="0"/>
          <w:type w:val="continuous"/>
        </w:sectPr>
      </w:pPr>
    </w:p>
    <w:p>
      <w:pPr>
        <w:spacing w:after="0" w:line="30"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3260" w:space="120"/>
            <w:col w:w="3980" w:space="720"/>
            <w:col w:w="1780" w:space="60"/>
            <w:col w:w="1480"/>
          </w:cols>
          <w:pgMar w:left="240" w:top="225" w:right="259" w:bottom="1440" w:gutter="0" w:footer="0" w:header="0"/>
          <w:type w:val="continuous"/>
        </w:sectPr>
      </w:pPr>
    </w:p>
    <w:p>
      <w:pPr>
        <w:spacing w:after="0" w:line="30" w:lineRule="exact"/>
        <w:rPr>
          <w:sz w:val="24"/>
          <w:szCs w:val="24"/>
          <w:color w:val="auto"/>
        </w:rPr>
      </w:pPr>
    </w:p>
    <w:p>
      <w:pPr>
        <w:ind w:left="80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2">
            <w:col w:w="9860" w:space="60"/>
            <w:col w:w="1480"/>
          </w:cols>
          <w:pgMar w:left="240" w:top="225" w:right="259" w:bottom="1440" w:gutter="0" w:footer="0" w:header="0"/>
          <w:type w:val="continuous"/>
        </w:sectPr>
      </w:pPr>
    </w:p>
    <w:p>
      <w:pPr>
        <w:ind w:right="42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left="340"/>
        <w:spacing w:after="0" w:line="184" w:lineRule="exact"/>
        <w:tabs>
          <w:tab w:leader="none" w:pos="82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324"/>
        <w:spacing w:after="0" w:line="261" w:lineRule="auto"/>
        <w:rPr>
          <w:sz w:val="20"/>
          <w:szCs w:val="20"/>
          <w:color w:val="auto"/>
        </w:rPr>
      </w:pPr>
      <w:r>
        <w:rPr>
          <w:rFonts w:ascii="Arial" w:cs="Arial" w:eastAsia="Arial" w:hAnsi="Arial"/>
          <w:sz w:val="16"/>
          <w:szCs w:val="16"/>
          <w:color w:val="auto"/>
        </w:rPr>
        <w:t>On June 28, 2019 (the last business day of the registrant's most recently completed second fiscal quarter), the aggregate market value of the voting and non-voting common stock of the registrant held by non-affiliates of the registrant was approximately $3.7 billion, based on the closing price of such common stock as of that date on the New York Stock Exchange. Reference is made to Part III of this report for the assumptions on which this calculation is based.</w:t>
      </w:r>
    </w:p>
    <w:p>
      <w:pPr>
        <w:spacing w:after="0" w:line="7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On February 19, 2020, there were outstanding 55,829,761 shares of Common Stock, $0.01 par value.</w:t>
      </w:r>
    </w:p>
    <w:p>
      <w:pPr>
        <w:spacing w:after="0" w:line="13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Certain portions of the registrant's definitive proxy statement for its 2020 annual meeting of stockholders (which will be filed with the Commission not later than April 22, 2020) are incorporated by reference into Part III of this report.</w:t>
      </w:r>
    </w:p>
    <w:p>
      <w:pPr>
        <w:sectPr>
          <w:pgSz w:w="11900" w:h="16838" w:orient="portrait"/>
          <w:cols w:equalWidth="0" w:num="1">
            <w:col w:w="11400"/>
          </w:cols>
          <w:pgMar w:left="240" w:top="225" w:right="2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20" w:type="dxa"/>
            <w:vAlign w:val="bottom"/>
            <w:gridSpan w:val="10"/>
          </w:tcPr>
          <w:p>
            <w:pPr>
              <w:jc w:val="center"/>
              <w:ind w:right="3700"/>
              <w:spacing w:after="0"/>
              <w:rPr>
                <w:sz w:val="20"/>
                <w:szCs w:val="20"/>
                <w:color w:val="auto"/>
              </w:rPr>
            </w:pPr>
            <w:r>
              <w:rPr>
                <w:rFonts w:ascii="Arial" w:cs="Arial" w:eastAsia="Arial" w:hAnsi="Arial"/>
                <w:sz w:val="18"/>
                <w:szCs w:val="18"/>
                <w:b w:val="1"/>
                <w:bCs w:val="1"/>
                <w:color w:val="auto"/>
                <w:w w:val="98"/>
              </w:rPr>
              <w:t>CLEAN HARBORS, INC.</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99"/>
              </w:rPr>
              <w:t>ANNUAL REPORT ON FORM 10-K</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11"/>
          </w:tcPr>
          <w:p>
            <w:pPr>
              <w:jc w:val="center"/>
              <w:ind w:right="2880"/>
              <w:spacing w:after="0"/>
              <w:rPr>
                <w:sz w:val="20"/>
                <w:szCs w:val="20"/>
                <w:color w:val="auto"/>
              </w:rPr>
            </w:pPr>
            <w:r>
              <w:rPr>
                <w:rFonts w:ascii="Arial" w:cs="Arial" w:eastAsia="Arial" w:hAnsi="Arial"/>
                <w:sz w:val="18"/>
                <w:szCs w:val="18"/>
                <w:b w:val="1"/>
                <w:bCs w:val="1"/>
                <w:color w:val="auto"/>
                <w:w w:val="97"/>
              </w:rPr>
              <w:t>YEAR ENDED DECEMBER 31, 2019</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20" w:type="dxa"/>
            <w:vAlign w:val="bottom"/>
            <w:gridSpan w:val="10"/>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92"/>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No</w:t>
            </w:r>
          </w:p>
        </w:tc>
      </w:tr>
      <w:tr>
        <w:trPr>
          <w:trHeight w:val="189"/>
        </w:trPr>
        <w:tc>
          <w:tcPr>
            <w:tcW w:w="1600" w:type="dxa"/>
            <w:vAlign w:val="bottom"/>
            <w:gridSpan w:val="6"/>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60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9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17">
              <w:r>
                <w:rPr>
                  <w:rFonts w:ascii="Arial" w:cs="Arial" w:eastAsia="Arial" w:hAnsi="Arial"/>
                  <w:sz w:val="18"/>
                  <w:szCs w:val="18"/>
                  <w:color w:val="0000EE"/>
                  <w:w w:val="83"/>
                </w:rPr>
                <w:t>Item 1A.</w:t>
              </w:r>
            </w:hyperlink>
          </w:p>
        </w:tc>
        <w:tc>
          <w:tcPr>
            <w:tcW w:w="100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24">
              <w:r>
                <w:rPr>
                  <w:rFonts w:ascii="Arial" w:cs="Arial" w:eastAsia="Arial" w:hAnsi="Arial"/>
                  <w:sz w:val="18"/>
                  <w:szCs w:val="18"/>
                  <w:color w:val="0000EE"/>
                  <w:w w:val="83"/>
                </w:rPr>
                <w:t>Item 1B.</w:t>
              </w:r>
            </w:hyperlink>
          </w:p>
        </w:tc>
        <w:tc>
          <w:tcPr>
            <w:tcW w:w="100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52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1000" w:type="dxa"/>
            <w:vAlign w:val="bottom"/>
            <w:gridSpan w:val="2"/>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6940" w:type="dxa"/>
            <w:vAlign w:val="bottom"/>
            <w:gridSpan w:val="11"/>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898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898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Part II</w:t>
              </w:r>
            </w:hyperlink>
          </w:p>
        </w:tc>
        <w:tc>
          <w:tcPr>
            <w:tcW w:w="108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8980" w:type="dxa"/>
            <w:vAlign w:val="bottom"/>
            <w:gridSpan w:val="19"/>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Market for the Registrant's Common Equity, Related Stockholder Matters and Issuer Purchases of Equity Securities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89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7.</w:t>
              </w:r>
            </w:hyperlink>
          </w:p>
        </w:tc>
        <w:tc>
          <w:tcPr>
            <w:tcW w:w="898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45">
              <w:r>
                <w:rPr>
                  <w:rFonts w:ascii="Arial" w:cs="Arial" w:eastAsia="Arial" w:hAnsi="Arial"/>
                  <w:sz w:val="18"/>
                  <w:szCs w:val="18"/>
                  <w:color w:val="0000EE"/>
                  <w:w w:val="83"/>
                </w:rPr>
                <w:t>Item 7A.</w:t>
              </w:r>
            </w:hyperlink>
          </w:p>
        </w:tc>
        <w:tc>
          <w:tcPr>
            <w:tcW w:w="100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8.</w:t>
              </w:r>
            </w:hyperlink>
          </w:p>
        </w:tc>
        <w:tc>
          <w:tcPr>
            <w:tcW w:w="1000" w:type="dxa"/>
            <w:vAlign w:val="bottom"/>
            <w:gridSpan w:val="2"/>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4620" w:type="dxa"/>
            <w:vAlign w:val="bottom"/>
            <w:gridSpan w:val="6"/>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gridSpan w:val="6"/>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9.</w:t>
              </w:r>
            </w:hyperlink>
          </w:p>
        </w:tc>
        <w:tc>
          <w:tcPr>
            <w:tcW w:w="8980" w:type="dxa"/>
            <w:vAlign w:val="bottom"/>
            <w:gridSpan w:val="1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89">
              <w:r>
                <w:rPr>
                  <w:rFonts w:ascii="Arial" w:cs="Arial" w:eastAsia="Arial" w:hAnsi="Arial"/>
                  <w:sz w:val="18"/>
                  <w:szCs w:val="18"/>
                  <w:color w:val="0000EE"/>
                  <w:w w:val="83"/>
                </w:rPr>
                <w:t>Item 9A.</w:t>
              </w:r>
            </w:hyperlink>
          </w:p>
        </w:tc>
        <w:tc>
          <w:tcPr>
            <w:tcW w:w="1000" w:type="dxa"/>
            <w:vAlign w:val="bottom"/>
            <w:gridSpan w:val="2"/>
          </w:tcPr>
          <w:p>
            <w:pPr>
              <w:spacing w:after="0"/>
              <w:rPr>
                <w:sz w:val="21"/>
                <w:szCs w:val="21"/>
                <w:color w:val="auto"/>
              </w:rPr>
            </w:pPr>
          </w:p>
        </w:tc>
        <w:tc>
          <w:tcPr>
            <w:tcW w:w="1720" w:type="dxa"/>
            <w:vAlign w:val="bottom"/>
            <w:gridSpan w:val="6"/>
          </w:tcPr>
          <w:p>
            <w:pPr>
              <w:spacing w:after="0"/>
              <w:rPr>
                <w:rFonts w:ascii="Arial" w:cs="Arial" w:eastAsia="Arial" w:hAnsi="Arial"/>
                <w:sz w:val="18"/>
                <w:szCs w:val="18"/>
                <w:color w:val="0000EE"/>
                <w:w w:val="84"/>
              </w:rPr>
            </w:pPr>
            <w:hyperlink w:anchor="page89">
              <w:r>
                <w:rPr>
                  <w:rFonts w:ascii="Arial" w:cs="Arial" w:eastAsia="Arial" w:hAnsi="Arial"/>
                  <w:sz w:val="18"/>
                  <w:szCs w:val="18"/>
                  <w:color w:val="0000EE"/>
                  <w:w w:val="84"/>
                </w:rPr>
                <w:t>Controls and Procedures</w:t>
              </w:r>
            </w:hyperlink>
          </w:p>
        </w:tc>
        <w:tc>
          <w:tcPr>
            <w:tcW w:w="72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3"/>
              </w:rPr>
            </w:pPr>
            <w:hyperlink w:anchor="page91">
              <w:r>
                <w:rPr>
                  <w:rFonts w:ascii="Arial" w:cs="Arial" w:eastAsia="Arial" w:hAnsi="Arial"/>
                  <w:sz w:val="18"/>
                  <w:szCs w:val="18"/>
                  <w:color w:val="0000EE"/>
                  <w:w w:val="83"/>
                </w:rPr>
                <w:t>Item 9B.</w:t>
              </w:r>
            </w:hyperlink>
          </w:p>
        </w:tc>
        <w:tc>
          <w:tcPr>
            <w:tcW w:w="1000" w:type="dxa"/>
            <w:vAlign w:val="bottom"/>
            <w:gridSpan w:val="2"/>
          </w:tcPr>
          <w:p>
            <w:pPr>
              <w:spacing w:after="0"/>
              <w:rPr>
                <w:sz w:val="21"/>
                <w:szCs w:val="21"/>
                <w:color w:val="auto"/>
              </w:rPr>
            </w:pPr>
          </w:p>
        </w:tc>
        <w:tc>
          <w:tcPr>
            <w:tcW w:w="1340" w:type="dxa"/>
            <w:vAlign w:val="bottom"/>
            <w:gridSpan w:val="4"/>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Other Information</w:t>
              </w:r>
            </w:hyperlink>
          </w:p>
        </w:tc>
        <w:tc>
          <w:tcPr>
            <w:tcW w:w="380" w:type="dxa"/>
            <w:vAlign w:val="bottom"/>
            <w:gridSpan w:val="2"/>
          </w:tcPr>
          <w:p>
            <w:pPr>
              <w:spacing w:after="0"/>
              <w:rPr>
                <w:sz w:val="21"/>
                <w:szCs w:val="21"/>
                <w:color w:val="auto"/>
              </w:rPr>
            </w:pPr>
          </w:p>
        </w:tc>
        <w:tc>
          <w:tcPr>
            <w:tcW w:w="72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250"/>
        </w:trPr>
        <w:tc>
          <w:tcPr>
            <w:tcW w:w="60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III</w:t>
              </w:r>
            </w:hyperlink>
          </w:p>
        </w:tc>
        <w:tc>
          <w:tcPr>
            <w:tcW w:w="1000" w:type="dxa"/>
            <w:vAlign w:val="bottom"/>
            <w:gridSpan w:val="2"/>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Item 10.</w:t>
              </w:r>
            </w:hyperlink>
          </w:p>
        </w:tc>
        <w:tc>
          <w:tcPr>
            <w:tcW w:w="1000" w:type="dxa"/>
            <w:vAlign w:val="bottom"/>
            <w:gridSpan w:val="2"/>
          </w:tcPr>
          <w:p>
            <w:pPr>
              <w:spacing w:after="0"/>
              <w:rPr>
                <w:sz w:val="21"/>
                <w:szCs w:val="21"/>
                <w:color w:val="auto"/>
              </w:rPr>
            </w:pPr>
          </w:p>
        </w:tc>
        <w:tc>
          <w:tcPr>
            <w:tcW w:w="4100" w:type="dxa"/>
            <w:vAlign w:val="bottom"/>
            <w:gridSpan w:val="12"/>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Directors, Executive Officers and Corporate Governance</w:t>
              </w:r>
            </w:hyperlink>
          </w:p>
        </w:tc>
        <w:tc>
          <w:tcPr>
            <w:tcW w:w="488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Item 11.</w:t>
              </w:r>
            </w:hyperlink>
          </w:p>
        </w:tc>
        <w:tc>
          <w:tcPr>
            <w:tcW w:w="1000" w:type="dxa"/>
            <w:vAlign w:val="bottom"/>
            <w:gridSpan w:val="2"/>
          </w:tcPr>
          <w:p>
            <w:pPr>
              <w:spacing w:after="0"/>
              <w:rPr>
                <w:sz w:val="21"/>
                <w:szCs w:val="21"/>
                <w:color w:val="auto"/>
              </w:rPr>
            </w:pPr>
          </w:p>
        </w:tc>
        <w:tc>
          <w:tcPr>
            <w:tcW w:w="4100" w:type="dxa"/>
            <w:vAlign w:val="bottom"/>
            <w:gridSpan w:val="12"/>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Executive Compensation</w:t>
              </w:r>
            </w:hyperlink>
          </w:p>
        </w:tc>
        <w:tc>
          <w:tcPr>
            <w:tcW w:w="488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Item 12.</w:t>
              </w:r>
            </w:hyperlink>
          </w:p>
        </w:tc>
        <w:tc>
          <w:tcPr>
            <w:tcW w:w="1000" w:type="dxa"/>
            <w:vAlign w:val="bottom"/>
            <w:gridSpan w:val="2"/>
          </w:tcPr>
          <w:p>
            <w:pPr>
              <w:spacing w:after="0"/>
              <w:rPr>
                <w:sz w:val="21"/>
                <w:szCs w:val="21"/>
                <w:color w:val="auto"/>
              </w:rPr>
            </w:pPr>
          </w:p>
        </w:tc>
        <w:tc>
          <w:tcPr>
            <w:tcW w:w="7300" w:type="dxa"/>
            <w:vAlign w:val="bottom"/>
            <w:gridSpan w:val="17"/>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Security Ownership of Certain Beneficial Owners and Management and Related Stockholder Matters</w:t>
              </w:r>
            </w:hyperlink>
          </w:p>
        </w:tc>
        <w:tc>
          <w:tcPr>
            <w:tcW w:w="16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Item 13.</w:t>
              </w:r>
            </w:hyperlink>
          </w:p>
        </w:tc>
        <w:tc>
          <w:tcPr>
            <w:tcW w:w="1000" w:type="dxa"/>
            <w:vAlign w:val="bottom"/>
            <w:gridSpan w:val="2"/>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6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Item 14.</w:t>
              </w:r>
            </w:hyperlink>
          </w:p>
        </w:tc>
        <w:tc>
          <w:tcPr>
            <w:tcW w:w="1000" w:type="dxa"/>
            <w:vAlign w:val="bottom"/>
            <w:gridSpan w:val="2"/>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Principal Accountant Fees and Services</w:t>
              </w:r>
            </w:hyperlink>
          </w:p>
        </w:tc>
        <w:tc>
          <w:tcPr>
            <w:tcW w:w="352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250"/>
        </w:trPr>
        <w:tc>
          <w:tcPr>
            <w:tcW w:w="60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8"/>
              </w:rPr>
            </w:pPr>
            <w:hyperlink w:anchor="page92">
              <w:r>
                <w:rPr>
                  <w:rFonts w:ascii="Arial" w:cs="Arial" w:eastAsia="Arial" w:hAnsi="Arial"/>
                  <w:sz w:val="18"/>
                  <w:szCs w:val="18"/>
                  <w:b w:val="1"/>
                  <w:bCs w:val="1"/>
                  <w:color w:val="0000EE"/>
                  <w:w w:val="98"/>
                </w:rPr>
                <w:t>Part IV</w:t>
              </w:r>
            </w:hyperlink>
          </w:p>
        </w:tc>
        <w:tc>
          <w:tcPr>
            <w:tcW w:w="1000" w:type="dxa"/>
            <w:vAlign w:val="bottom"/>
            <w:gridSpan w:val="2"/>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92">
              <w:r>
                <w:rPr>
                  <w:rFonts w:ascii="Arial" w:cs="Arial" w:eastAsia="Arial" w:hAnsi="Arial"/>
                  <w:sz w:val="18"/>
                  <w:szCs w:val="18"/>
                  <w:color w:val="0000EE"/>
                  <w:w w:val="86"/>
                </w:rPr>
                <w:t>Item 15.</w:t>
              </w:r>
            </w:hyperlink>
          </w:p>
        </w:tc>
        <w:tc>
          <w:tcPr>
            <w:tcW w:w="1000" w:type="dxa"/>
            <w:vAlign w:val="bottom"/>
            <w:gridSpan w:val="2"/>
          </w:tcPr>
          <w:p>
            <w:pPr>
              <w:spacing w:after="0"/>
              <w:rPr>
                <w:sz w:val="21"/>
                <w:szCs w:val="21"/>
                <w:color w:val="auto"/>
              </w:rPr>
            </w:pPr>
          </w:p>
        </w:tc>
        <w:tc>
          <w:tcPr>
            <w:tcW w:w="8980" w:type="dxa"/>
            <w:vAlign w:val="bottom"/>
            <w:gridSpan w:val="1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Exhibits and Financial Statement Schedules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4"/>
          </w:tcPr>
          <w:p>
            <w:pPr>
              <w:spacing w:after="0"/>
              <w:rPr>
                <w:rFonts w:ascii="Arial" w:cs="Arial" w:eastAsia="Arial" w:hAnsi="Arial"/>
                <w:sz w:val="18"/>
                <w:szCs w:val="18"/>
                <w:color w:val="0000EE"/>
                <w:w w:val="86"/>
              </w:rPr>
            </w:pPr>
            <w:hyperlink w:anchor="page92">
              <w:r>
                <w:rPr>
                  <w:rFonts w:ascii="Arial" w:cs="Arial" w:eastAsia="Arial" w:hAnsi="Arial"/>
                  <w:sz w:val="18"/>
                  <w:szCs w:val="18"/>
                  <w:color w:val="0000EE"/>
                  <w:w w:val="86"/>
                </w:rPr>
                <w:t>Item 16.</w:t>
              </w:r>
            </w:hyperlink>
          </w:p>
        </w:tc>
        <w:tc>
          <w:tcPr>
            <w:tcW w:w="1000" w:type="dxa"/>
            <w:vAlign w:val="bottom"/>
            <w:gridSpan w:val="2"/>
          </w:tcPr>
          <w:p>
            <w:pPr>
              <w:spacing w:after="0"/>
              <w:rPr>
                <w:sz w:val="21"/>
                <w:szCs w:val="21"/>
                <w:color w:val="auto"/>
              </w:rPr>
            </w:pPr>
          </w:p>
        </w:tc>
        <w:tc>
          <w:tcPr>
            <w:tcW w:w="1560" w:type="dxa"/>
            <w:vAlign w:val="bottom"/>
            <w:gridSpan w:val="5"/>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Form 10-K Summary</w:t>
              </w:r>
            </w:hyperlink>
          </w:p>
        </w:tc>
        <w:tc>
          <w:tcPr>
            <w:tcW w:w="1600" w:type="dxa"/>
            <w:vAlign w:val="bottom"/>
            <w:gridSpan w:val="5"/>
          </w:tcPr>
          <w:p>
            <w:pPr>
              <w:spacing w:after="0"/>
              <w:rPr>
                <w:sz w:val="21"/>
                <w:szCs w:val="21"/>
                <w:color w:val="auto"/>
              </w:rPr>
            </w:pPr>
          </w:p>
        </w:tc>
        <w:tc>
          <w:tcPr>
            <w:tcW w:w="582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r>
      <w:tr>
        <w:trPr>
          <w:trHeight w:val="20"/>
        </w:trPr>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5"/>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SIGNATURES</w:t>
              </w:r>
            </w:hyperlink>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addition to historical information, this annual report contains forward-looking statements, which are generally identifiable by use of the words "believes," "expects," "intends," "anticipates," "plans to," "seeks," "should," "estimates," "projects," "may," "likely" or similar expressions. Forward-looking statements are neither historical facts nor assurances of future performance. These forward-looking statements are subject to certain risks and uncertainties that could cause actual results to differ materially from those reflected in these forward-looking statements. Factors that might cause such a difference include, but are not limited to, those discussed in this report under Item 1A, "Risk Factors," and Item 7, "Management's Discussion and Analysis on Financial Condition and Results of Operations." Readers are cautioned not to place undue reliance on these forward-looking statements, which reflect management's opinions only as of the date hereof. We undertake no obligation to revise or publicly release the results of any revision to these forward-looking statements. Readers should also carefully review the risk factors described in other documents which we file from time to time with the Securities and Exchange Commission (the "SEC"), including the quarterly reports on Form 10-Q to be filed by us during 2020.</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Clean Harbors, Inc. and its subsidiaries (collectively, "we," "Clean Harbors" or the "Company") is a leading provider of environmental, energy and industrial services throughout North America. We are also the largest re-refiner and recycler of used oil in the world and the largest provider of parts cleaning and related environmental services to commercial, industrial and automotive customers in North America. One of our primary goals as a company is supporting our customers in finding environmentally responsible solutions to further their sustainability goals in today's world.</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two operating segments</w:t>
      </w:r>
      <w:r>
        <w:rPr>
          <w:rFonts w:ascii="Arial" w:cs="Arial" w:eastAsia="Arial" w:hAnsi="Arial"/>
          <w:sz w:val="18"/>
          <w:szCs w:val="18"/>
          <w:i w:val="1"/>
          <w:iCs w:val="1"/>
          <w:color w:val="auto"/>
        </w:rPr>
        <w:t>;</w:t>
      </w:r>
      <w:r>
        <w:rPr>
          <w:rFonts w:ascii="Arial" w:cs="Arial" w:eastAsia="Arial" w:hAnsi="Arial"/>
          <w:sz w:val="18"/>
          <w:szCs w:val="18"/>
          <w:color w:val="auto"/>
        </w:rPr>
        <w:t xml:space="preserve"> (i) the Environmental Services segment and (ii) the Safety-Kleen segment.</w:t>
      </w:r>
    </w:p>
    <w:p>
      <w:pPr>
        <w:spacing w:after="0" w:line="140" w:lineRule="exact"/>
        <w:rPr>
          <w:sz w:val="20"/>
          <w:szCs w:val="20"/>
          <w:color w:val="auto"/>
        </w:rPr>
      </w:pPr>
    </w:p>
    <w:p>
      <w:pPr>
        <w:ind w:left="660" w:right="120" w:hanging="328"/>
        <w:spacing w:after="0" w:line="29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waste volumes generated by them and project work for which waste handling and/or disposal is required. In managing the business and evaluating performance, management tracks the volumes and mix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technology, changing regulations, competition, market pricing of our services and the management of our related operating costs. Environmental Services results are also impacted by the demand for planned and unplanned industrial related cleaning and maintenance services at customer sites and for environmental cleanup services on a scheduled or emergency basis, including response to national events such as major chemical spills, natural disasters or other events where immediate and specialized services are required.</w:t>
      </w:r>
    </w:p>
    <w:p>
      <w:pPr>
        <w:spacing w:after="0" w:line="78" w:lineRule="exact"/>
        <w:rPr>
          <w:rFonts w:ascii="Arial" w:cs="Arial" w:eastAsia="Arial" w:hAnsi="Arial"/>
          <w:sz w:val="16"/>
          <w:szCs w:val="16"/>
          <w:color w:val="auto"/>
        </w:rPr>
      </w:pPr>
    </w:p>
    <w:p>
      <w:pPr>
        <w:ind w:left="660" w:right="40" w:hanging="328"/>
        <w:spacing w:after="0" w:line="28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Safety-Kleen - </w:t>
      </w:r>
      <w:r>
        <w:rPr>
          <w:rFonts w:ascii="Arial" w:cs="Arial" w:eastAsia="Arial" w:hAnsi="Arial"/>
          <w:sz w:val="16"/>
          <w:szCs w:val="16"/>
          <w:color w:val="auto"/>
        </w:rPr>
        <w:t>Safety-Kleen segment results are impacted by an array of core service and product offerings that serve to attract small quantity waste</w:t>
      </w:r>
      <w:r>
        <w:rPr>
          <w:rFonts w:ascii="Arial" w:cs="Arial" w:eastAsia="Arial" w:hAnsi="Arial"/>
          <w:sz w:val="16"/>
          <w:szCs w:val="16"/>
          <w:b w:val="1"/>
          <w:bCs w:val="1"/>
          <w:color w:val="auto"/>
        </w:rPr>
        <w:t xml:space="preserve"> </w:t>
      </w:r>
      <w:r>
        <w:rPr>
          <w:rFonts w:ascii="Arial" w:cs="Arial" w:eastAsia="Arial" w:hAnsi="Arial"/>
          <w:sz w:val="16"/>
          <w:szCs w:val="16"/>
          <w:color w:val="auto"/>
        </w:rPr>
        <w:t>producers as customers and integrate them into the Clean Harbors waste network. Core service offerings include parts washer services, containerized waste services, vac services, used motor oil collection and contract blending and packaging services. Key performance indicators tracked by the Company relative to these services include the number of parts washer services performed and pricing and volume of used motor oil and waste collected. Results from these services are primarily driven by the overall number of parts washers placed at customer sites and volumes of waste collected, as well as the demand for and frequency of other offered services. These factors can be impacted by overall economic conditions in the marketplace, especially in the automotive related area. In addition to its core service offerings, Safety-Kleen offers high quality recycled base and blended oil products to end users including fleet customers, distributors and manufacturers of oil products. Other product offerings include automotive related fluids and shop supplies. Relative to its oil related products, management tracks the Company's volumes and relative percentages of base and blended oil sales along with various pricing metrics associated with the commodity driven marketplace. The segment’s results are significantly impacted by overall market pricing and product mix associated with base and blended oil products and, more specifically, the market prices of Group II base oils. Costs incurred in connection with the collection of used oil and other raw materials associated with the segment’s oil related products can also be volatile. Our OilPlus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closed loop initiative, which results in the sale of our renewable oil products directly to our end customers, may also be impacted by changes in customer demand for high-quality, environmentally responsible recycled oil.</w:t>
      </w:r>
    </w:p>
    <w:p>
      <w:pPr>
        <w:spacing w:after="0" w:line="7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Clean Harbors, Inc. was incorporated in Massachusetts in 1980 and our principal executive offices are located in Norwell, Massachusetts. We maintain a website at the following Internet address: http://www.cleanharbors.com. Through a link on this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website, we provide free access to our annual reports on Form 10-K, quarterly reports on Form 10-Q, current reports on Form 8-K and amendments to those reports filed or furnished pursuant to Section 13(a) or 15(d) of the Securities Exchange Act of 1934 as soon as reasonably practicable after electronic filing with the SEC. Our guidelines on corporate governance, the charters for our board committees and our code of ethics for members of the board of directors, our chief executive officer and our other senior officers are also available on our website, and we will post on our website any waivers of, or amendments to, such code of ethics. Our website and the information contained therein or connected thereto are not incorporated by reference into this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w:t>
      </w:r>
    </w:p>
    <w:p>
      <w:pPr>
        <w:spacing w:after="0" w:line="14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Health and Safety is our #1 core value. Employees at all levels of our Company share this philosophy and are committed to ensuring our safety goals are met. Our commitment to health and safety benefits all of our stakeholders to include our employees, our customers, the community and the environment. In 2019, the continued success of our </w:t>
      </w:r>
      <w:r>
        <w:rPr>
          <w:rFonts w:ascii="Arial" w:cs="Arial" w:eastAsia="Arial" w:hAnsi="Arial"/>
          <w:sz w:val="18"/>
          <w:szCs w:val="18"/>
          <w:i w:val="1"/>
          <w:iCs w:val="1"/>
          <w:color w:val="auto"/>
        </w:rPr>
        <w:t>Safety Starts with Me: Live It 3-6-5</w:t>
      </w:r>
      <w:r>
        <w:rPr>
          <w:rFonts w:ascii="Arial" w:cs="Arial" w:eastAsia="Arial" w:hAnsi="Arial"/>
          <w:sz w:val="18"/>
          <w:szCs w:val="18"/>
          <w:color w:val="auto"/>
        </w:rPr>
        <w:t xml:space="preserve"> program, which is a key component in our overall safety approach along with our many other programs, enabled us to achieve low Total Recordable Incident Rate, or "TRIR" and Days Away, Restricted Activity and Transfer Rate, or "DART." For the year ended December 31, 2019, our Company wide TRIR and DART were 1.05 and 0.61, respectively. For the year ended December 31, 2018, our Company wide TRIR and DART were 1.08 and 0.63, respectively. As a result of our unrelenting focus on safety, in 2019 the Company achieved its lowest TRIR and DART rates in history.</w:t>
      </w:r>
    </w:p>
    <w:p>
      <w:pPr>
        <w:spacing w:after="0" w:line="10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In order to protect our employees, continue to lower our incident rates and satisfy our customers' demands to retain the best service providers with the lowest TRIR and DART rates, we are fully committed to continuously improving our health and safety performance through ongoing safety initiatives and training as well as technological solutions aimed at keeping all of our 14,400 employees safe. All employees recognize the importance of protecting themselves, their fellow employees, their customers and all those around them from harm. Our commitment is supported by the </w:t>
      </w:r>
      <w:r>
        <w:rPr>
          <w:rFonts w:ascii="Arial" w:cs="Arial" w:eastAsia="Arial" w:hAnsi="Arial"/>
          <w:sz w:val="18"/>
          <w:szCs w:val="18"/>
          <w:i w:val="1"/>
          <w:iCs w:val="1"/>
          <w:color w:val="auto"/>
        </w:rPr>
        <w:t>Safety Starts with Me: Live 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3-6-5 </w:t>
      </w:r>
      <w:r>
        <w:rPr>
          <w:rFonts w:ascii="Arial" w:cs="Arial" w:eastAsia="Arial" w:hAnsi="Arial"/>
          <w:sz w:val="18"/>
          <w:szCs w:val="18"/>
          <w:color w:val="auto"/>
        </w:rPr>
        <w:t>program, which includes three Safety philosophies, six Golden Rules of Safety and each employee’s five personal reasons why they choose to be safe at</w:t>
      </w:r>
      <w:r>
        <w:rPr>
          <w:rFonts w:ascii="Arial" w:cs="Arial" w:eastAsia="Arial" w:hAnsi="Arial"/>
          <w:sz w:val="18"/>
          <w:szCs w:val="18"/>
          <w:i w:val="1"/>
          <w:iCs w:val="1"/>
          <w:color w:val="auto"/>
        </w:rPr>
        <w:t xml:space="preserve"> </w:t>
      </w:r>
      <w:r>
        <w:rPr>
          <w:rFonts w:ascii="Arial" w:cs="Arial" w:eastAsia="Arial" w:hAnsi="Arial"/>
          <w:sz w:val="18"/>
          <w:szCs w:val="18"/>
          <w:color w:val="auto"/>
        </w:rPr>
        <w:t>work, on the road and at home.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14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regard compliance with applicable environmental regulations as a critical component of our overall operations. We strive to maintain the highest professional standards in our compliance activities. A detailed compliance program has been developed for each of our permitted facilities, service centers and other locations under the direction of our compliance staff and based on the operations specific to each location. The compliance staff is responsible for the facilities' permitting and regulatory compliance, compliance training, transportation compliance and related record keeping. To ensure the effectiveness of our regulatory compliance program, our compliance staff monitors daily operational activities. We also have an Environmental Health and Safety Compliance Internal Audit Program designed to identify any weaknesses or opportunities for improvement in our ongoing compliance programs. We also perform periodic audits and inspections of the disposal facilities owned by other companies which we utilize.</w:t>
      </w:r>
    </w:p>
    <w:p>
      <w:pPr>
        <w:spacing w:after="0" w:line="97"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Our facilities are frequently inspected and audited by regulatory agencies, as well as by customers. Although our facilities have been cited on occasion for regulatory violations, we believe that each of our facilities is currently in substantial compliance with applicable permit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48"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Our strategy is to develop and maintain ongoing relationships with a diversified group of customers that have recurring needs for our products and services. We seek to expand market awareness of the breadth of our service offerings to current and future customers through targeted marketing opportunities. We strive to be recognized as the premier supplier of a broad range of value-added services based upon quality, responsiveness, customer service, information technologies and cost effectiveness.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elements of our business strategy in no particular order are:</w:t>
      </w:r>
    </w:p>
    <w:p>
      <w:pPr>
        <w:spacing w:after="0" w:line="140" w:lineRule="exact"/>
        <w:rPr>
          <w:sz w:val="20"/>
          <w:szCs w:val="20"/>
          <w:color w:val="auto"/>
        </w:rPr>
      </w:pPr>
    </w:p>
    <w:p>
      <w:pPr>
        <w:ind w:left="660" w:right="80" w:hanging="328"/>
        <w:spacing w:after="0" w:line="277"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Cross-Sell Across Businesses - </w:t>
      </w:r>
      <w:r>
        <w:rPr>
          <w:rFonts w:ascii="Arial" w:cs="Arial" w:eastAsia="Arial" w:hAnsi="Arial"/>
          <w:sz w:val="16"/>
          <w:szCs w:val="16"/>
          <w:color w:val="auto"/>
        </w:rPr>
        <w:t>We believe the breadth of our service offerings allows us to provide additional services to existing customers.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we can provide industrial and field services to customers that traditionally have only used our technical services and technical services to customers that use our industrial services or oil and gas field services. At the same time, we see a variety of cross-selling opportunities between our Environmental Services and Safety-Kleen segments. Reflecting this strategy, we have been successfully cross-selling the products and services of Safety-Kleen, such as parts washers, various recycling services, cleaning products, and our OilPlus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through our closed loop initiative, to legacy Clean Harbors customers. We believe leveraging our ability to cross-sell across our segments will drive additional revenue for our Company.</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660" w:right="340" w:hanging="328"/>
        <w:spacing w:after="0" w:line="28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Capture Large-Scale Projects - </w:t>
      </w:r>
      <w:r>
        <w:rPr>
          <w:rFonts w:ascii="Arial" w:cs="Arial" w:eastAsia="Arial" w:hAnsi="Arial"/>
          <w:sz w:val="17"/>
          <w:szCs w:val="17"/>
          <w:color w:val="auto"/>
        </w:rPr>
        <w:t>We provide turnkey offsite transportation and landfill or incineration disposal services for soil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contaminated materials generated from remediation activities. We also assist remediation contractors and project managers with support services including groundwater disposal, waste disposal, roll-off container management and many other related services. We believe this will drive incremental waste volume to our existing facilities, thereby increasing utilization and enhancing overall profitability.</w:t>
      </w:r>
    </w:p>
    <w:p>
      <w:pPr>
        <w:spacing w:after="0" w:line="83" w:lineRule="exact"/>
        <w:rPr>
          <w:rFonts w:ascii="Arial" w:cs="Arial" w:eastAsia="Arial" w:hAnsi="Arial"/>
          <w:sz w:val="17"/>
          <w:szCs w:val="17"/>
          <w:color w:val="auto"/>
        </w:rPr>
      </w:pPr>
    </w:p>
    <w:p>
      <w:pPr>
        <w:ind w:left="660" w:right="300" w:hanging="328"/>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Expand Throughput Capacity of Existing Facilities - </w:t>
      </w:r>
      <w:r>
        <w:rPr>
          <w:rFonts w:ascii="Arial" w:cs="Arial" w:eastAsia="Arial" w:hAnsi="Arial"/>
          <w:sz w:val="16"/>
          <w:szCs w:val="16"/>
          <w:color w:val="auto"/>
        </w:rPr>
        <w:t>We operate and have made substantial investments in an extensive network of hazardous</w:t>
      </w:r>
      <w:r>
        <w:rPr>
          <w:rFonts w:ascii="Arial" w:cs="Arial" w:eastAsia="Arial" w:hAnsi="Arial"/>
          <w:sz w:val="16"/>
          <w:szCs w:val="16"/>
          <w:b w:val="1"/>
          <w:bCs w:val="1"/>
          <w:color w:val="auto"/>
        </w:rPr>
        <w:t xml:space="preserve"> </w:t>
      </w:r>
      <w:r>
        <w:rPr>
          <w:rFonts w:ascii="Arial" w:cs="Arial" w:eastAsia="Arial" w:hAnsi="Arial"/>
          <w:sz w:val="16"/>
          <w:szCs w:val="16"/>
          <w:color w:val="auto"/>
        </w:rPr>
        <w:t>waste management facilities and oil re-refineries, which provide us with significant operating leverage as volumes increase. In addition, there are opportunities to expand waste handling capacity or waste oil processing at these facilities by modifying the terms of the existing permits and by adding equipment and new technology. Through selected permit modifications, we can expand the range of treatment services offered to our customers without the significant capital investment necessary to acquire or build new waste management facilities.</w:t>
      </w:r>
    </w:p>
    <w:p>
      <w:pPr>
        <w:spacing w:after="0" w:line="73" w:lineRule="exact"/>
        <w:rPr>
          <w:rFonts w:ascii="Arial" w:cs="Arial" w:eastAsia="Arial" w:hAnsi="Arial"/>
          <w:sz w:val="16"/>
          <w:szCs w:val="16"/>
          <w:color w:val="auto"/>
        </w:rPr>
      </w:pPr>
    </w:p>
    <w:p>
      <w:pPr>
        <w:ind w:left="660" w:hanging="328"/>
        <w:spacing w:after="0" w:line="29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Execute Strategic Acquisitions and Divestitures - </w:t>
      </w:r>
      <w:r>
        <w:rPr>
          <w:rFonts w:ascii="Arial" w:cs="Arial" w:eastAsia="Arial" w:hAnsi="Arial"/>
          <w:sz w:val="16"/>
          <w:szCs w:val="16"/>
          <w:color w:val="auto"/>
        </w:rPr>
        <w:t>We actively pursue selective acquisitions with certain services or market sectors where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the acquisitions can enhance and expand our business. We believe that we can expand existing services through strategic acquisitions in order to generate incremental revenues from existing and new customers and to obtain greater market share. In order to maximize synergies, we rapidly integrate our acquisitions into our existing processes. To complement our acquisition strategy, we regularly review and evaluate our existing operations to determine whether our business model should change through the divestiture of certain businesses. Accordingly, from time to time, we divest certain non-core businesses and reallocate our resources to businesses that we believe better align with our long-term strategic direction. For additional information on our acquisitions and divestitures, see "Acquisitions and Divestitures" below.</w:t>
      </w:r>
    </w:p>
    <w:p>
      <w:pPr>
        <w:spacing w:after="0" w:line="80" w:lineRule="exact"/>
        <w:rPr>
          <w:rFonts w:ascii="Arial" w:cs="Arial" w:eastAsia="Arial" w:hAnsi="Arial"/>
          <w:sz w:val="16"/>
          <w:szCs w:val="16"/>
          <w:color w:val="auto"/>
        </w:rPr>
      </w:pPr>
    </w:p>
    <w:p>
      <w:pPr>
        <w:ind w:left="660" w:right="60" w:hanging="328"/>
        <w:spacing w:after="0" w:line="30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Focus on Cost, Pricing and Productivity Initiatives - </w:t>
      </w:r>
      <w:r>
        <w:rPr>
          <w:rFonts w:ascii="Arial" w:cs="Arial" w:eastAsia="Arial" w:hAnsi="Arial"/>
          <w:sz w:val="16"/>
          <w:szCs w:val="16"/>
          <w:color w:val="auto"/>
        </w:rPr>
        <w:t>We continually seek to increase efficiency and to reduce costs through enhanced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improvements and strategic expense management. For instance, in 2019, we successfully undertook site consolidations, greater internalization of maintenance costs, and procurement and supply chain improvements. Additionally, we seek areas in our business where strategic investments in automation, process improvements, tools and employees can serve to increase productivity, efficiency and safety compliance.</w:t>
      </w:r>
    </w:p>
    <w:p>
      <w:pPr>
        <w:spacing w:after="0" w:line="70" w:lineRule="exact"/>
        <w:rPr>
          <w:rFonts w:ascii="Arial" w:cs="Arial" w:eastAsia="Arial" w:hAnsi="Arial"/>
          <w:sz w:val="16"/>
          <w:szCs w:val="16"/>
          <w:color w:val="auto"/>
        </w:rPr>
      </w:pPr>
    </w:p>
    <w:p>
      <w:pPr>
        <w:ind w:left="660" w:right="200" w:hanging="328"/>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Expand Geographic Coverage of Service Offerings - </w:t>
      </w:r>
      <w:r>
        <w:rPr>
          <w:rFonts w:ascii="Arial" w:cs="Arial" w:eastAsia="Arial" w:hAnsi="Arial"/>
          <w:sz w:val="16"/>
          <w:szCs w:val="16"/>
          <w:color w:val="auto"/>
        </w:rPr>
        <w:t>We believe our Environmental Services and Safety-Kleen segments have a competitive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due to their vast network of locations across North America, particularly in areas where we maintain service locations at or near a treatment, storage and disposal facility ("TSDF"). By opening additional service locations we believe that we can increase our market share within these segments. We believe this will drive additional waste into our existing facilities, thereby increasing utilization and enhancing overall profitability. In addition, our management team continues to assess the competitive landscape in order to identify new business opportunities.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4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Acquisitions are an element of our business strategy that involve expansion through the purchase of businesses that complement our existing Company and create opportunities for profitable growth.</w:t>
      </w:r>
    </w:p>
    <w:p>
      <w:pPr>
        <w:spacing w:after="0" w:line="89" w:lineRule="exact"/>
        <w:rPr>
          <w:sz w:val="20"/>
          <w:szCs w:val="20"/>
          <w:color w:val="auto"/>
        </w:rPr>
      </w:pPr>
    </w:p>
    <w:p>
      <w:pPr>
        <w:ind w:right="420" w:firstLine="405"/>
        <w:spacing w:after="0" w:line="312" w:lineRule="auto"/>
        <w:rPr>
          <w:sz w:val="20"/>
          <w:szCs w:val="20"/>
          <w:color w:val="auto"/>
        </w:rPr>
      </w:pPr>
      <w:r>
        <w:rPr>
          <w:rFonts w:ascii="Arial" w:cs="Arial" w:eastAsia="Arial" w:hAnsi="Arial"/>
          <w:sz w:val="16"/>
          <w:szCs w:val="16"/>
          <w:color w:val="auto"/>
        </w:rPr>
        <w:t>In 2019, we acquired two privately-owned businesses for a combined preliminary purchase price of $25.2 million. One acquisition expands the environmental services and hazardous materials management services of the Environmental Services segment while the second complements the Safety-Kleen segment's core service offerings, such as used motor oil collection, parts washers, oil filter recycling and vacuum services.</w:t>
      </w:r>
    </w:p>
    <w:p>
      <w:pPr>
        <w:spacing w:after="0" w:line="6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2018, we acquired the U.S. Industrial Cleaning Business of Veolia Environmental Services North America LLC (the "Veolia Business") as well as a privately-owned company for a combined purchase price of $151.2 million. The acquisitions provide significant scale and industrial services capabilities, while increasing the size of our existing U.S. Industrial Services business. The acquisitions were financed with cash on hand. The Veolia Business is included in our Environmental Services segment while the privately-owned company has components included in both the Environmental Services and Safety-Kleen segments.</w:t>
      </w:r>
    </w:p>
    <w:p>
      <w:pPr>
        <w:spacing w:after="0" w:line="10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In 2017, we acquired Lonestar West Inc. ("Lonestar"), a public company headquartered in Alberta, Canada, for CAD $41.8 million ($33.1 million USD at acquisition date), net of cash acquired. The acquisition price included the assumption of approximately CAD $21.3 million ($16.8 million USD at acquisition date) in outstanding debt, which we subsequently repaid. The acquisition supports our growth in the daylighting and hydro excavation services markets. In addition to increasing the size of our hydro vacuum fleet, Lonestar's network of locations provides us with direct access to key geographic markets in both the United States and Canada. The acquired company is included in our Environmental Services segment.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For additional information relating to our acquisition activities during 2019, 2018 and 2017, see Note 4, "Business Combinations," to our consolidated financial statements included in Item 8 of this report.</w:t>
      </w:r>
    </w:p>
    <w:p>
      <w:pPr>
        <w:spacing w:after="0" w:line="89" w:lineRule="exact"/>
        <w:rPr>
          <w:sz w:val="20"/>
          <w:szCs w:val="20"/>
          <w:color w:val="auto"/>
        </w:rPr>
      </w:pPr>
    </w:p>
    <w:p>
      <w:pPr>
        <w:ind w:right="780" w:firstLine="392"/>
        <w:spacing w:after="0" w:line="277" w:lineRule="auto"/>
        <w:rPr>
          <w:sz w:val="20"/>
          <w:szCs w:val="20"/>
          <w:color w:val="auto"/>
        </w:rPr>
      </w:pPr>
      <w:r>
        <w:rPr>
          <w:rFonts w:ascii="Arial" w:cs="Arial" w:eastAsia="Arial" w:hAnsi="Arial"/>
          <w:sz w:val="18"/>
          <w:szCs w:val="18"/>
          <w:color w:val="auto"/>
        </w:rPr>
        <w:t>Other business transactions also include divestitures based on our ongoing review of portfolio assets to determine the extent to which they are contributing to our objectives and growth strategy.</w:t>
      </w:r>
    </w:p>
    <w:p>
      <w:pPr>
        <w:spacing w:after="0" w:line="89" w:lineRule="exact"/>
        <w:rPr>
          <w:sz w:val="20"/>
          <w:szCs w:val="20"/>
          <w:color w:val="auto"/>
        </w:rPr>
      </w:pPr>
    </w:p>
    <w:p>
      <w:pPr>
        <w:ind w:right="100" w:firstLine="392"/>
        <w:spacing w:after="0" w:line="286" w:lineRule="auto"/>
        <w:rPr>
          <w:sz w:val="20"/>
          <w:szCs w:val="20"/>
          <w:color w:val="auto"/>
        </w:rPr>
      </w:pPr>
      <w:r>
        <w:rPr>
          <w:rFonts w:ascii="Arial" w:cs="Arial" w:eastAsia="Arial" w:hAnsi="Arial"/>
          <w:sz w:val="17"/>
          <w:szCs w:val="17"/>
          <w:color w:val="auto"/>
        </w:rPr>
        <w:t>In 2017, we completed the sale of our Transformer Services business, which was a non-core business previously included within the Environmental Services segment, for $45.5 million ($43.4 million net of $2.1 million in transactional related costs). For additional information relating to these divestitures, see Note 5, "Disposition of Businesses," to our consolidated financial statements included in Item 8 of this report.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Protecting the Environment and Corporate Sustainability</w:t>
      </w:r>
    </w:p>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Clean Harbors recognizes that sustainability stewardship is a core aspect of our brand and a key component of our long-term success. Our core business is to provide industry, government and the public a wide range of sustainable solutions through environmental, energy and industrial service offerings that protect and restore North America's natural environment. Our sustainability program expands our commitment beyond the services and products to include our operations, employees and community. The program focuses on the following key strategies: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4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we have noted above, Health and Safety is our #1 core value and as such is at the forefront of our sustainability program. Safety is not just the hallmark of our Company but is also at the heart of what we provide to customers. Our programs and procedures focus on delivering services with unparalleled safety to our employees, our customers, local communities and other key stakeholders. Our approach to safety extends to our people, equipment and locations, many of which have qualified for Voluntary Protection Program status under Occupational Safety and Health Administration.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144"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Technologies and operational improvements have allowed Clean Harbors to developed initiatives that focus on minimizing the Company’s and our customers’ impact on the environment. As a leading provider of environmental, energy and industrial services throughout North America, we help our customers prevent the release of chemicals and hazardous waste streams into the environment. We also are the leading service provider in the recovery and decontamination of pollutants that have been released. This includes the safe destruction or disposal of hazardous materials in a manner that ensures these materials are no longer a danger to the environment. When providing these services, we are committed to the recycling, reuse and reclamation of these waste streams whenever possible using a variety of methods more fully explained below in the sections describing our general operations. Many of our branded services exemplify our commitment to sustainability and providing environmental solutions to the marketplace. Where possible, liquids such as solvents, chemicals and used oil are continuously recycled to our high-quality standards and made into useful products. Tolling programs provide a closed process in which the customer’s spent solvents are recycled to their precise specifications and returned directly to them.</w:t>
      </w:r>
    </w:p>
    <w:p>
      <w:pPr>
        <w:spacing w:after="0" w:line="8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Safety-Kleen OilPlus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Program, unique to the oil industry, is designed to help companies manage their oil needs in a more sustainable way. By having us collect used oil and deliver new re-refined oil products, customers are implementing a closed-loop process for sustainability to the oil industry. We deploy our fleet of trucks, tankers, rail-cars and barges to collect used oil. In 2019 we gathered 235 million gallons of used oil in North America and our state-of-the-art processes enable us to fully realize oils' remarkable capacity to be recycled, re-refined and reused. Our plants have re-refined more than 3.7 billion gallons of used oil since their opening, allowing such oils to have a second life as recycled lubricants and avoiding more than 28.7 million metric tons of greenhouse gases.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Usage</w:t>
      </w:r>
    </w:p>
    <w:p>
      <w:pPr>
        <w:spacing w:after="0" w:line="14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One of the Company’s sustainability goals is to contribute to a cleaner environment by reducing energy usage, specifically our dependency on fossil fuels. Energy usage at our facilities is the focus of our Facility Energy Conservation program, which provides ongoing oversight and recommendations to our facilities to help support their electricity management efforts. We continue to evaluate solar energy as a viable option for our facilities and have built solar arrays at select sites for their ongoing energy needs.</w:t>
      </w:r>
    </w:p>
    <w:p>
      <w:pPr>
        <w:spacing w:after="0" w:line="10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Clean Harbors makes fleet energy management a key focus, beginning with ongoing reviews by our logistics team to reduce total miles driven. We also evaluate options for reducing fuel costs including routine use of rail transportation, implementation of alternative fuel vehicles and using our Performance Plus and EcoPower re-refined engine oils throughout our fleet. Clean Harbors is constantly upgrading our truck fleet with the most fuel-efficient systems and parts and has also</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800"/>
        <w:spacing w:after="0" w:line="407" w:lineRule="auto"/>
        <w:rPr>
          <w:sz w:val="20"/>
          <w:szCs w:val="20"/>
          <w:color w:val="auto"/>
        </w:rPr>
      </w:pPr>
      <w:r>
        <w:rPr>
          <w:rFonts w:ascii="Arial" w:cs="Arial" w:eastAsia="Arial" w:hAnsi="Arial"/>
          <w:sz w:val="18"/>
          <w:szCs w:val="18"/>
          <w:color w:val="auto"/>
        </w:rPr>
        <w:t xml:space="preserve">designed custom, multi-compartment trucks that can be used to collect and deliver oil at the same time, decreasing fuel consumption. </w:t>
      </w:r>
      <w:r>
        <w:rPr>
          <w:rFonts w:ascii="Arial" w:cs="Arial" w:eastAsia="Arial" w:hAnsi="Arial"/>
          <w:sz w:val="18"/>
          <w:szCs w:val="18"/>
          <w:i w:val="1"/>
          <w:iCs w:val="1"/>
          <w:color w:val="auto"/>
        </w:rPr>
        <w:t>Operations</w:t>
      </w:r>
    </w:p>
    <w:p>
      <w:pPr>
        <w:ind w:right="40" w:firstLine="405"/>
        <w:spacing w:after="0" w:line="257" w:lineRule="auto"/>
        <w:rPr>
          <w:sz w:val="20"/>
          <w:szCs w:val="20"/>
          <w:color w:val="auto"/>
        </w:rPr>
      </w:pPr>
      <w:r>
        <w:rPr>
          <w:rFonts w:ascii="Arial" w:cs="Arial" w:eastAsia="Arial" w:hAnsi="Arial"/>
          <w:sz w:val="18"/>
          <w:szCs w:val="18"/>
          <w:color w:val="auto"/>
        </w:rPr>
        <w:t>Clean Harbors instills sustainability within its operations through continuous improvements and well-defined strategic initiatives that show the highest positive impact on the environment, the communities and the economy in which we work and live. Our fleet of transportation vehicles represents one of our largest opportunities to apply environmentally sustainable business practices. Our Asset Refurbishment Program is a comprehensive effort to rebuild assets to "like new" quality with the goal of reusing or recycling 100% of all materials. With four asset refurbishment facilities now operational, we are rebuilding an average of more than two vehicles every week.</w:t>
      </w:r>
    </w:p>
    <w:p>
      <w:pPr>
        <w:spacing w:after="0" w:line="107"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To provide an efficient and safe alternative for hazardous waste disposal, Clean Harbors developed and built an incinerator at our El Dorado facility which uses world-class air emissions control technology that meets the most stringent emissions standards under the U.S. Clean Air 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w:t>
      </w:r>
    </w:p>
    <w:p>
      <w:pPr>
        <w:spacing w:after="0" w:line="14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Clean Harbors believes that by staying engaged with our customers, communities and other stakeholders, we can contribute to the long-term health of the environment, society and the economy. When warranted, we utilize formal reporting platforms to inform customers and other stakeholders of our sustainability efforts, including EcoVadis and Ecodesk.</w:t>
      </w:r>
    </w:p>
    <w:p>
      <w:pPr>
        <w:spacing w:after="0" w:line="100"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We develop partnerships with key environmental programs to build awareness, while fostering more sustainable business practices. One of our most highly visible public programs for various government and community entities is known as our Home Hazardous Waste service line. Communities trust us to collect paints, solvents, batteries, fluorescent lamps, pesticides, cleaners and other hazardous materials during one-day, multi-day and mobile programs that otherwise might be improperly disposed of or become dangerous to the communities where they are stored.</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commitment and our business go hand in hand as we work to provide services and products that complement our customers' sustainability plans and hold ourselves and others accountable to environmental, social and corporate governance standards.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44" w:lineRule="exact"/>
        <w:rPr>
          <w:sz w:val="20"/>
          <w:szCs w:val="20"/>
          <w:color w:val="auto"/>
        </w:rPr>
      </w:pPr>
    </w:p>
    <w:p>
      <w:pPr>
        <w:ind w:left="660" w:right="20" w:hanging="328"/>
        <w:spacing w:after="0" w:line="298"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Leading Provider of Environmental, Energy and Industrial Services - </w:t>
      </w:r>
      <w:r>
        <w:rPr>
          <w:rFonts w:ascii="Arial" w:cs="Arial" w:eastAsia="Arial" w:hAnsi="Arial"/>
          <w:sz w:val="16"/>
          <w:szCs w:val="16"/>
          <w:color w:val="auto"/>
        </w:rPr>
        <w:t>We are a leading provider of environmental, energy and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own nine commercial hazardous waste incinerators, making us the largest operator of such facilities in North America. We are also one of the few industrial services companies with national footprints in both the U.S. and Canada. We provide multi-faceted, high-quality services to a broad mix of customers. We attract and better serve our customers because of our vast capabilities and breadth of services as well as our overall size, scale and geographic location of our large network along with valuable and unique assets used in providing our services.</w:t>
      </w:r>
    </w:p>
    <w:p>
      <w:pPr>
        <w:spacing w:after="0" w:line="73" w:lineRule="exact"/>
        <w:rPr>
          <w:rFonts w:ascii="Arial" w:cs="Arial" w:eastAsia="Arial" w:hAnsi="Arial"/>
          <w:sz w:val="16"/>
          <w:szCs w:val="16"/>
          <w:b w:val="1"/>
          <w:bCs w:val="1"/>
          <w:color w:val="auto"/>
        </w:rPr>
      </w:pPr>
    </w:p>
    <w:p>
      <w:pPr>
        <w:ind w:left="660" w:hanging="328"/>
        <w:spacing w:after="0" w:line="29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Integrated Network of Assets - </w:t>
      </w:r>
      <w:r>
        <w:rPr>
          <w:rFonts w:ascii="Arial" w:cs="Arial" w:eastAsia="Arial" w:hAnsi="Arial"/>
          <w:sz w:val="16"/>
          <w:szCs w:val="16"/>
          <w:color w:val="auto"/>
        </w:rPr>
        <w:t>We believe we operate, in the aggregate, the largest number of commercial hazardous waste incinerators, landfills,</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facilities and TSDFs in North America. Our broad service network enables us to effectively handle a waste stream from its origin through disposal and to efficiently direct and internalize our waste streams to reduce costs. As our processing of waste increases, our size allows us to leverage our network and increase our profit margins as we can internalize a greater volume of waste in our incinerators, landfills and other disposal facilities. Furthermore, these assets are very difficult to duplicate because significant permitting and regulatory approvals would need to take place in order for new commercial waste disposal sites to come on line. High barriers of entry for such assets provide increased value to our network.</w:t>
      </w:r>
    </w:p>
    <w:p>
      <w:pPr>
        <w:spacing w:after="0" w:line="74" w:lineRule="exact"/>
        <w:rPr>
          <w:rFonts w:ascii="Arial" w:cs="Arial" w:eastAsia="Arial" w:hAnsi="Arial"/>
          <w:sz w:val="16"/>
          <w:szCs w:val="16"/>
          <w:color w:val="auto"/>
        </w:rPr>
      </w:pPr>
    </w:p>
    <w:p>
      <w:pPr>
        <w:ind w:left="660" w:right="4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Service Capabilities - </w:t>
      </w:r>
      <w:r>
        <w:rPr>
          <w:rFonts w:ascii="Arial" w:cs="Arial" w:eastAsia="Arial" w:hAnsi="Arial"/>
          <w:sz w:val="18"/>
          <w:szCs w:val="18"/>
          <w:color w:val="auto"/>
        </w:rPr>
        <w:t>Our comprehensive service offerings allow us to act as a full-service provider to our customers. Our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of service offerings creates incremental revenue growth as customers seek to minimize the number of outside vendors and demand "one-stop-shop" service providers.</w:t>
      </w:r>
    </w:p>
    <w:p>
      <w:pPr>
        <w:spacing w:after="0" w:line="9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Largest Collector and Recycler of Used Motor Oil - </w:t>
      </w:r>
      <w:r>
        <w:rPr>
          <w:rFonts w:ascii="Arial" w:cs="Arial" w:eastAsia="Arial" w:hAnsi="Arial"/>
          <w:sz w:val="18"/>
          <w:szCs w:val="18"/>
          <w:color w:val="auto"/>
        </w:rPr>
        <w:t>As the largest re-refiner and recycler of used oil in North America, during 2019 we returned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191 million gallons of new re-refined oil, lubricants and byproducts back into the marketplace. In 2019, our re-refining process eliminated more than two million metric tons of greenhouse gas ("GHG"), which is the equivalent of growing more than 53 million trees for 10 years in an urban environment or taking over 393,000 passenger cars off the road for one year.</w:t>
      </w:r>
    </w:p>
    <w:p>
      <w:pPr>
        <w:spacing w:after="0" w:line="99" w:lineRule="exact"/>
        <w:rPr>
          <w:rFonts w:ascii="Arial" w:cs="Arial" w:eastAsia="Arial" w:hAnsi="Arial"/>
          <w:sz w:val="18"/>
          <w:szCs w:val="18"/>
          <w:color w:val="auto"/>
        </w:rPr>
      </w:pPr>
    </w:p>
    <w:p>
      <w:pPr>
        <w:ind w:left="660" w:right="34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Large and Diversified Customer Base - </w:t>
      </w:r>
      <w:r>
        <w:rPr>
          <w:rFonts w:ascii="Arial" w:cs="Arial" w:eastAsia="Arial" w:hAnsi="Arial"/>
          <w:sz w:val="18"/>
          <w:szCs w:val="18"/>
          <w:color w:val="auto"/>
        </w:rPr>
        <w:t>Our customers range from small companies to Fortune 500 companies and include public and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that span multiple industries and business types, including government entities. This diversification limits our credit exposure to any one customer and potential cyclicality to any one industry. As a</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percentage of our 2019 revenues, the top ten industries we serviced totaled approximately 78% and included general manufacturing (16%), chemical (14%), automotive (9%), refineries (8%), base and blended oils (7%), government (6%), utilities (5%), transportation (5%), oil and gas (4%) and engineering and consulting (4%).</w:t>
      </w:r>
    </w:p>
    <w:p>
      <w:pPr>
        <w:spacing w:after="0" w:line="96" w:lineRule="exact"/>
        <w:rPr>
          <w:sz w:val="20"/>
          <w:szCs w:val="20"/>
          <w:color w:val="auto"/>
        </w:rPr>
      </w:pPr>
    </w:p>
    <w:p>
      <w:pPr>
        <w:ind w:left="660" w:right="12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Stable and Recurring Revenue Base - </w:t>
      </w:r>
      <w:r>
        <w:rPr>
          <w:rFonts w:ascii="Arial" w:cs="Arial" w:eastAsia="Arial" w:hAnsi="Arial"/>
          <w:sz w:val="17"/>
          <w:szCs w:val="17"/>
          <w:color w:val="auto"/>
        </w:rPr>
        <w:t>We have long-standing relationships with our large customers, many of whom have worked with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decades. Our diversified customer base provides stable and recurring revenues, as a significant portion of our revenues are derived from previously served customers with recurring needs for our services. In addition, switching costs for many of our hazardous waste customers are high. This is due to many customers' desire to audit disposal facilities prior to their qualification as approved sites and to limit the number of facilities to which their hazardous waste are shipped in order to reduce potential liability under United States and Canadian environmental laws and regulations. We have been selected as an approved vendor by large and small generators of waste because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w:t>
      </w:r>
    </w:p>
    <w:p>
      <w:pPr>
        <w:spacing w:after="0" w:line="93" w:lineRule="exact"/>
        <w:rPr>
          <w:rFonts w:ascii="Arial" w:cs="Arial" w:eastAsia="Arial" w:hAnsi="Arial"/>
          <w:sz w:val="17"/>
          <w:szCs w:val="17"/>
          <w:color w:val="auto"/>
        </w:rPr>
      </w:pPr>
    </w:p>
    <w:p>
      <w:pPr>
        <w:jc w:val="both"/>
        <w:ind w:left="660" w:right="6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Regulatory Compliance - </w:t>
      </w:r>
      <w:r>
        <w:rPr>
          <w:rFonts w:ascii="Arial" w:cs="Arial" w:eastAsia="Arial" w:hAnsi="Arial"/>
          <w:sz w:val="18"/>
          <w:szCs w:val="18"/>
          <w:color w:val="auto"/>
        </w:rPr>
        <w:t>We continue to make capital investments in our facilities to ensure that they are in compliance with current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provincial and local regulations. Companies that rely on in-house disposal may find the current regulatory requirements to be too capital intensive or complicated, and may choose to outsource many of their hazardous waste disposal needs.</w:t>
      </w:r>
    </w:p>
    <w:p>
      <w:pPr>
        <w:spacing w:after="0" w:line="95" w:lineRule="exact"/>
        <w:rPr>
          <w:rFonts w:ascii="Arial" w:cs="Arial" w:eastAsia="Arial" w:hAnsi="Arial"/>
          <w:sz w:val="18"/>
          <w:szCs w:val="18"/>
          <w:color w:val="auto"/>
        </w:rPr>
      </w:pPr>
    </w:p>
    <w:p>
      <w:pPr>
        <w:ind w:left="660" w:right="20" w:hanging="328"/>
        <w:spacing w:after="0" w:line="274"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Effective Cost Management - </w:t>
      </w:r>
      <w:r>
        <w:rPr>
          <w:rFonts w:ascii="Arial" w:cs="Arial" w:eastAsia="Arial" w:hAnsi="Arial"/>
          <w:sz w:val="17"/>
          <w:szCs w:val="17"/>
          <w:color w:val="auto"/>
        </w:rPr>
        <w:t>Our significant scale allows us to maintain low costs through standardized compliance procedures,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purchasing power, leveraging our investment in technology and our ability to efficiently utilize logistics and transportation to economically direct waste streams to the most efficient facility. We also have the ability to use internal resources to transport and process the substantial majority of all hazardous waste that we manage for our customers. In addition, our Safety-Kleen results are significantly impacted by the overall market pricing and product mix associated with base and blended oil products and, more specifically, the market prices of Group II base oils. We charge fees related to our used oil collection services which allow us to effectively manage the profit spreads inherent in our business.</w:t>
      </w:r>
    </w:p>
    <w:p>
      <w:pPr>
        <w:spacing w:after="0" w:line="92" w:lineRule="exact"/>
        <w:rPr>
          <w:rFonts w:ascii="Arial" w:cs="Arial" w:eastAsia="Arial" w:hAnsi="Arial"/>
          <w:sz w:val="17"/>
          <w:szCs w:val="17"/>
          <w:color w:val="auto"/>
        </w:rPr>
      </w:pPr>
    </w:p>
    <w:p>
      <w:pPr>
        <w:ind w:left="660" w:right="40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Proven and Experienced Management Team - </w:t>
      </w:r>
      <w:r>
        <w:rPr>
          <w:rFonts w:ascii="Arial" w:cs="Arial" w:eastAsia="Arial" w:hAnsi="Arial"/>
          <w:sz w:val="18"/>
          <w:szCs w:val="18"/>
          <w:color w:val="auto"/>
        </w:rPr>
        <w:t>Our executive management team provides depth and continuity. Our 11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have over 190 years of experience and expertise in the environmental, energy and industrial services industries. Our chief executive officer founded our Company in 1980 and, since the Company's formation, has served as both the Chief Executive Officer and Chairman of the Board.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4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Seasonality and Cyclical Nature of Business. </w:t>
      </w:r>
      <w:r>
        <w:rPr>
          <w:rFonts w:ascii="Arial" w:cs="Arial" w:eastAsia="Arial" w:hAnsi="Arial"/>
          <w:sz w:val="18"/>
          <w:szCs w:val="18"/>
          <w:color w:val="auto"/>
        </w:rPr>
        <w:t>Our operations may be affected by seasonal fluctuations due to weather and budgetary cycles</w:t>
      </w:r>
      <w:r>
        <w:rPr>
          <w:rFonts w:ascii="Arial" w:cs="Arial" w:eastAsia="Arial" w:hAnsi="Arial"/>
          <w:sz w:val="18"/>
          <w:szCs w:val="18"/>
          <w:i w:val="1"/>
          <w:iCs w:val="1"/>
          <w:color w:val="auto"/>
        </w:rPr>
        <w:t xml:space="preserve"> </w:t>
      </w:r>
      <w:r>
        <w:rPr>
          <w:rFonts w:ascii="Arial" w:cs="Arial" w:eastAsia="Arial" w:hAnsi="Arial"/>
          <w:sz w:val="18"/>
          <w:szCs w:val="18"/>
          <w:color w:val="auto"/>
        </w:rPr>
        <w:t>influencing the timing of customers' spending for products and services. Typically during the first and fourth quarters of each year there is less demand for our products, oil collection, recycling services and environmental services due to the lower levels of activities by our customers as a result of the cold weather, particularly in Canada and the northern and midwestern regions of the United States. As a result, reduced volumes of waste are received at our facilities, higher operating costs are realized due to sub-freezing weather and high levels of snowfall, factory closings for year-end holidays reduce waste volumes and lower volumes of used oil are generated for our collection.</w:t>
      </w:r>
    </w:p>
    <w:p>
      <w:pPr>
        <w:spacing w:after="0" w:line="11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Geographical Information. </w:t>
      </w:r>
      <w:r>
        <w:rPr>
          <w:rFonts w:ascii="Arial" w:cs="Arial" w:eastAsia="Arial" w:hAnsi="Arial"/>
          <w:sz w:val="18"/>
          <w:szCs w:val="18"/>
          <w:color w:val="auto"/>
        </w:rPr>
        <w:t>For the year ended December 31, 2019, we generated $2,863.5 million or 83.9% of our direct revenues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and $548.6 million or 16.1% of our direct revenues in Canada. For the year ended December 31, 2018, we generated $2,721.8 million or 82.5% of our direct revenues in the United States and $578.5 million or 17.5% of our direct revenues in Canada. For additional information about the geographical areas from which our direct revenues are derived and in which our assets are located, see Note 3, "Revenues," and Note 20, "Segment Reporting," respectively, to our consolidated financial statements included in Item 8 of this report.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Services</w:t>
      </w:r>
    </w:p>
    <w:p>
      <w:pPr>
        <w:spacing w:after="0" w:line="144" w:lineRule="exact"/>
        <w:rPr>
          <w:sz w:val="20"/>
          <w:szCs w:val="20"/>
          <w:color w:val="auto"/>
        </w:rPr>
      </w:pPr>
    </w:p>
    <w:p>
      <w:pPr>
        <w:ind w:right="40" w:firstLine="432"/>
        <w:spacing w:after="0" w:line="271" w:lineRule="auto"/>
        <w:rPr>
          <w:sz w:val="20"/>
          <w:szCs w:val="20"/>
          <w:color w:val="auto"/>
        </w:rPr>
      </w:pPr>
      <w:r>
        <w:rPr>
          <w:rFonts w:ascii="Arial" w:cs="Arial" w:eastAsia="Arial" w:hAnsi="Arial"/>
          <w:sz w:val="16"/>
          <w:szCs w:val="16"/>
          <w:color w:val="auto"/>
        </w:rPr>
        <w:t>We collect, transport, treat and dispose of hazardous and non-hazardous waste, including resource recovery, physical treatment, fuel blending, incineration, landfill disposal, wastewater treatment, lab chemical disposal, explosives management and CleanPack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services. Our CleanPack</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services include the collection, identification, categorization, specialized packaging, transportation and disposal of laboratory chemicals and household hazardous waste. We also perform a wide range of industrial maintenance and specialty industrial services and utilize specialty equipment and resources to perform field services at any chosen location on a planned or emergency response basis. All of these services are designed to protect the environment and</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address environmental related challenges through the use of innovation and the latest technologies. We provide customers with sustainable solutions that seek to recycle waste materials whenever possible.</w:t>
      </w:r>
    </w:p>
    <w:p>
      <w:pPr>
        <w:spacing w:after="0" w:line="89" w:lineRule="exact"/>
        <w:rPr>
          <w:sz w:val="20"/>
          <w:szCs w:val="20"/>
          <w:color w:val="auto"/>
        </w:rPr>
      </w:pPr>
    </w:p>
    <w:p>
      <w:pPr>
        <w:ind w:firstLine="432"/>
        <w:spacing w:after="0" w:line="239" w:lineRule="auto"/>
        <w:rPr>
          <w:sz w:val="20"/>
          <w:szCs w:val="20"/>
          <w:color w:val="auto"/>
        </w:rPr>
      </w:pPr>
      <w:r>
        <w:rPr>
          <w:rFonts w:ascii="Arial" w:cs="Arial" w:eastAsia="Arial" w:hAnsi="Arial"/>
          <w:sz w:val="18"/>
          <w:szCs w:val="18"/>
          <w:i w:val="1"/>
          <w:iCs w:val="1"/>
          <w:color w:val="auto"/>
        </w:rPr>
        <w:t xml:space="preserve">Technical Services. </w:t>
      </w:r>
      <w:r>
        <w:rPr>
          <w:rFonts w:ascii="Arial" w:cs="Arial" w:eastAsia="Arial" w:hAnsi="Arial"/>
          <w:sz w:val="18"/>
          <w:szCs w:val="18"/>
          <w:color w:val="auto"/>
        </w:rPr>
        <w:t>We provide technical services through a network of service centers from which a fleet of vehicles are dispatched to pick up</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waste either on a predetermined schedule or on demand, and to deliver the waste to permitted facilities, which are usually Company-owned. Our service centers can also dispatch chemists to a customer location for collection of chemical and laboratory waste for disposal. InSite 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offerings is a branded on-site/in-plant service delivery program through which we offer a full range of environmental, industrial and waste management services. This signature program is built on safety, quality, efficiency and integrity, and has been offered by Clean Harbors for more than 25 years. By leveraging Clean Harbors' expertise and capabilities, our on-site staffs are dedicated to developing the safest, most cost-effective and sustainable solutions to service customers’ needs.</w:t>
      </w:r>
    </w:p>
    <w:p>
      <w:pPr>
        <w:spacing w:after="0" w:line="1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Collection, Transportation and Logistics Management. </w:t>
      </w:r>
      <w:r>
        <w:rPr>
          <w:rFonts w:ascii="Arial" w:cs="Arial" w:eastAsia="Arial" w:hAnsi="Arial"/>
          <w:sz w:val="18"/>
          <w:szCs w:val="18"/>
          <w:color w:val="auto"/>
        </w:rPr>
        <w:t>As an integral part of our services, we collect industrial waste from customers and transport</w:t>
      </w:r>
      <w:r>
        <w:rPr>
          <w:rFonts w:ascii="Arial" w:cs="Arial" w:eastAsia="Arial" w:hAnsi="Arial"/>
          <w:sz w:val="18"/>
          <w:szCs w:val="18"/>
          <w:i w:val="1"/>
          <w:iCs w:val="1"/>
          <w:color w:val="auto"/>
        </w:rPr>
        <w:t xml:space="preserve"> </w:t>
      </w:r>
      <w:r>
        <w:rPr>
          <w:rFonts w:ascii="Arial" w:cs="Arial" w:eastAsia="Arial" w:hAnsi="Arial"/>
          <w:sz w:val="18"/>
          <w:szCs w:val="18"/>
          <w:color w:val="auto"/>
        </w:rPr>
        <w:t>such waste to and between our facilities for treatment or bulking for shipment to final disposal locations. Customers typically accumulate waste in containers, such as 55-gallon drums, bulk storage tanks or 20-cubic-yard roll-off containers. In providing this service, we utilize a variety of specially designed and constructed tank trucks and semi-trailers as well as third-party transporters, including railroads.</w:t>
      </w:r>
    </w:p>
    <w:p>
      <w:pPr>
        <w:spacing w:after="0" w:line="106"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i w:val="1"/>
          <w:iCs w:val="1"/>
          <w:color w:val="auto"/>
        </w:rPr>
        <w:t xml:space="preserve">Treatment and Disposal. </w:t>
      </w:r>
      <w:r>
        <w:rPr>
          <w:rFonts w:ascii="Arial" w:cs="Arial" w:eastAsia="Arial" w:hAnsi="Arial"/>
          <w:sz w:val="17"/>
          <w:szCs w:val="17"/>
          <w:color w:val="auto"/>
        </w:rPr>
        <w:t>We recycle, treat and dispose of hazardous and non-hazardous industrial waste. The waste handled includes substances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classified as "hazardous" because of their corrosive, ignitable, infectious, reactive or toxic properties, and other substances subject to federal, state and provincial environmental regulation. We provide final treatment and disposal services designed to manage waste which cannot be otherwise economically recycled or reused. The waste that we handle comes in solid, sludge, liquid and gas form.</w:t>
      </w:r>
    </w:p>
    <w:p>
      <w:pPr>
        <w:spacing w:after="0" w:line="9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We operate a network of TSDFs that collect, temporarily store and/or consolidate compatible waste streams for more efficient transportation to final recycling, treatment or disposal destinations. These facilities hold special permits, such as Part B permits under the Resource Conservation and Recovery Act ("RCRA") in the United States, which allow them to process, transfer and dispose of waste through various technologies including recycling, incineration, landfill and wastewater treatment depending on each location's permitted and constructed capabilities.</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i w:val="1"/>
          <w:iCs w:val="1"/>
          <w:color w:val="auto"/>
        </w:rPr>
        <w:t xml:space="preserve">Resource Recovery and Fuel Blending. </w:t>
      </w:r>
      <w:r>
        <w:rPr>
          <w:rFonts w:ascii="Arial" w:cs="Arial" w:eastAsia="Arial" w:hAnsi="Arial"/>
          <w:sz w:val="18"/>
          <w:szCs w:val="18"/>
          <w:color w:val="auto"/>
        </w:rPr>
        <w:t>We operate recycling systems for the reclamation and reuse of certain waste, particularly solvent-based waste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industrial cleaning operations, metal finishing and other manufacturing processes. Resource recovery involves the treatment of waste using various methods, which effectively remove contaminants from the original material to restore its fitness for its intended purpose and to reduce the volume of waste requiring disposal.</w:t>
      </w:r>
    </w:p>
    <w:p>
      <w:pPr>
        <w:spacing w:after="0" w:line="10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also operate a recycling facility that recycles refinery waste and spent catalyst. The recycled oil and catalysts, depending on market conditions, are sold to third parties.</w:t>
      </w:r>
    </w:p>
    <w:p>
      <w:pPr>
        <w:spacing w:after="0" w:line="8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Incineration. </w:t>
      </w:r>
      <w:r>
        <w:rPr>
          <w:rFonts w:ascii="Arial" w:cs="Arial" w:eastAsia="Arial" w:hAnsi="Arial"/>
          <w:sz w:val="18"/>
          <w:szCs w:val="18"/>
          <w:color w:val="auto"/>
        </w:rPr>
        <w:t>Incineration is the preferred method for the treatment of organic hazardous waste because it effectively destroys the contaminants at high</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temperatures. High temperature incineration effectively eliminates organic waste such as herbicides, halogenated solvents, pesticides and pharmaceutical and refinery waste, regardless of form as gas, liquid, sludge or solid. Federal and state incineration regulations require a destruction and removal efficiency of 99.99% for most organic waste.</w:t>
      </w:r>
    </w:p>
    <w:p>
      <w:pPr>
        <w:spacing w:after="0" w:line="106"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As of December 31, 2019, we had nine active incinerators operating in five incinerator facilities that offer a wide range of technological capabilities to customers. In the United States, we operate a fluidized bed thermal oxidation unit for maximum destruction efficiency of hazardous waste with an estimated annual practical capacity of 58,808 tons and three solids and liquids capable incinerator facilities with a combined estimated annual practical capacity of 377,387 tons. We also operate one hazardous waste liquid injection incinerator in Canada with total annual practical capacity of 125,526 tons.</w:t>
      </w:r>
    </w:p>
    <w:p>
      <w:pPr>
        <w:spacing w:after="0" w:line="7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incinerator facilities in Kimball, Nebraska; Deer Park, Texas; El Dorado, Arkansas; and Aragonite, Utah, are designed to process liquid organic waste, sludge, solids, soil and debris. Our Deer Park facility has two kilns and a rotary reactor. Our El Dorado facility specializes in the treatment of bulk and containerized hazardous liquids, solids and sludge. In 2017, we opened a new hazardous waste incinerator at our El Dorado, Arkansas facility, which specializes in high-temperature incineration of regulated waste such as industrial and laboratory chemicals, manufacturing byproducts, fertilizers and other solid and liquid materials that would otherwise be hazardous to the environment and public health if not properly managed. Our facilities in Kimball and Deer Park also have on-site landfills for the disposal of ash produced as a result of the incineration process.</w:t>
      </w:r>
    </w:p>
    <w:p>
      <w:pPr>
        <w:spacing w:after="0" w:line="9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incinerator facility in Lambton, Ontario, is a liquid injection incinerator designed primarily for the destruction of liquid organic waste. Typical waste streams include wastewater with low levels of organics and other higher concentration organic liquid waste not amenable to conventional physical or chemical waste treatment.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Landfills are primarily used for disposal of inorganic waste. In the United States and Canada, we operate nine commercial landfills. Seven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commercial landfills are designed and permitted for disposal of hazardous waste and two of our landfills are operated for non-hazardous industrial waste disposal and, to a lesser extent, municipal solid waste. In addition to our commercial landfills, we also own and operate, as described above, two non-commercial landfills that only accept waste from our on-site incinerators.</w:t>
      </w:r>
    </w:p>
    <w:p>
      <w:pPr>
        <w:spacing w:after="0" w:line="106"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Of our seven commercial landfills used for disposal of hazardous waste, five are located in the United States and two are located in Canada. As of December 31, 2019, the useful economic lives of these landfills included approximately 24.6 million cubic yards of remaining capacity. We estimate the useful economic lives of landfills to include permitted airspace and unpermitted airspace that our management believes to be probable of being permitted based on our analysis of various factors. In addition to the capacity included in the useful economic lives of these landfills, there are approximately 31.9 million cubic yards of additional unpermitted airspace capacity included in the footprints of these landfills that may ultimately be permitted, although there can be no assurance that this additional capacity will be permitted. As of December 31, 2019, the useful economic lives of our two non-hazardous industrial landfills have 3.6 million cubic yards of remaining permitted capacity. These two facilities are located in the United States and have been issued operating permits under Subtitle D of RCRA. Our non-hazardous landfill facilities are permitted to accept commercial industrial waste, including waste from foundries, demolition and construction, machine shops, automobile manufacturing, printing, metal fabrications and recycling.</w:t>
      </w:r>
    </w:p>
    <w:p>
      <w:pPr>
        <w:spacing w:after="0" w:line="86" w:lineRule="exact"/>
        <w:rPr>
          <w:sz w:val="20"/>
          <w:szCs w:val="20"/>
          <w:color w:val="auto"/>
        </w:rPr>
      </w:pPr>
    </w:p>
    <w:p>
      <w:pPr>
        <w:jc w:val="both"/>
        <w:ind w:right="400" w:firstLine="432"/>
        <w:spacing w:after="0" w:line="286" w:lineRule="auto"/>
        <w:rPr>
          <w:sz w:val="20"/>
          <w:szCs w:val="20"/>
          <w:color w:val="auto"/>
        </w:rPr>
      </w:pPr>
      <w:r>
        <w:rPr>
          <w:rFonts w:ascii="Arial" w:cs="Arial" w:eastAsia="Arial" w:hAnsi="Arial"/>
          <w:sz w:val="17"/>
          <w:szCs w:val="17"/>
          <w:i w:val="1"/>
          <w:iCs w:val="1"/>
          <w:color w:val="auto"/>
        </w:rPr>
        <w:t xml:space="preserve">Wastewater Treatment. </w:t>
      </w:r>
      <w:r>
        <w:rPr>
          <w:rFonts w:ascii="Arial" w:cs="Arial" w:eastAsia="Arial" w:hAnsi="Arial"/>
          <w:sz w:val="17"/>
          <w:szCs w:val="17"/>
          <w:color w:val="auto"/>
        </w:rPr>
        <w:t>We operate nine wastewater treatment facilities that offer or employ a range of wastewater treatment technologies.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wastewater treatment operations involve processing hazardous and non-hazardous waste through use of physical and chemical treatment methods. These facilities treat a broad range of industrial liquid and semi-liquid waste containing heavy metals, organics and suspended solids.</w:t>
      </w:r>
    </w:p>
    <w:p>
      <w:pPr>
        <w:spacing w:after="0" w:line="84" w:lineRule="exact"/>
        <w:rPr>
          <w:sz w:val="20"/>
          <w:szCs w:val="20"/>
          <w:color w:val="auto"/>
        </w:rPr>
      </w:pPr>
    </w:p>
    <w:p>
      <w:pPr>
        <w:ind w:right="180" w:firstLine="392"/>
        <w:spacing w:after="0" w:line="342" w:lineRule="auto"/>
        <w:rPr>
          <w:sz w:val="20"/>
          <w:szCs w:val="20"/>
          <w:color w:val="auto"/>
        </w:rPr>
      </w:pPr>
      <w:r>
        <w:rPr>
          <w:rFonts w:ascii="Arial" w:cs="Arial" w:eastAsia="Arial" w:hAnsi="Arial"/>
          <w:sz w:val="16"/>
          <w:szCs w:val="16"/>
          <w:i w:val="1"/>
          <w:iCs w:val="1"/>
          <w:color w:val="auto"/>
        </w:rPr>
        <w:t xml:space="preserve">Total Project Management. </w:t>
      </w:r>
      <w:r>
        <w:rPr>
          <w:rFonts w:ascii="Arial" w:cs="Arial" w:eastAsia="Arial" w:hAnsi="Arial"/>
          <w:sz w:val="16"/>
          <w:szCs w:val="16"/>
          <w:color w:val="auto"/>
        </w:rPr>
        <w:t>We also provide total project management services in areas such as chemical packing, on-site waste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remediation, compliance training and emergency spill response, while leveraging Clean Harbors' network of service centers and environmental capabilities.</w:t>
      </w:r>
    </w:p>
    <w:p>
      <w:pPr>
        <w:spacing w:after="0" w:line="4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Industrial Services. </w:t>
      </w:r>
      <w:r>
        <w:rPr>
          <w:rFonts w:ascii="Arial" w:cs="Arial" w:eastAsia="Arial" w:hAnsi="Arial"/>
          <w:sz w:val="18"/>
          <w:szCs w:val="18"/>
          <w:color w:val="auto"/>
        </w:rPr>
        <w:t>We perform industrial maintenance services and specialty industrial services at refineries, mines, upgraders, chemical plants, pulp</w:t>
      </w:r>
      <w:r>
        <w:rPr>
          <w:rFonts w:ascii="Arial" w:cs="Arial" w:eastAsia="Arial" w:hAnsi="Arial"/>
          <w:sz w:val="18"/>
          <w:szCs w:val="18"/>
          <w:i w:val="1"/>
          <w:iCs w:val="1"/>
          <w:color w:val="auto"/>
        </w:rPr>
        <w:t xml:space="preserve"> </w:t>
      </w:r>
      <w:r>
        <w:rPr>
          <w:rFonts w:ascii="Arial" w:cs="Arial" w:eastAsia="Arial" w:hAnsi="Arial"/>
          <w:sz w:val="18"/>
          <w:szCs w:val="18"/>
          <w:color w:val="auto"/>
        </w:rPr>
        <w:t>and paper mills, manufacturing and power generation facilities. We provide these services throughout North America.</w:t>
      </w:r>
    </w:p>
    <w:p>
      <w:pPr>
        <w:spacing w:after="0" w:line="8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crews handle as-needed in-plant services to support ongoing in-plant cleaning and maintenance services, including liquid/dry vacuum, hydro-blasting, dewatering and materials processing, water and chemical hauling and steam cleaning. We provide a variety of specialized industrial services including plant outage and turnaround services, decoking and pigging, chemical cleaning, high and ultra-high pressure water cleaning, pipeline inspection and coating services and large tank and surface impoundment cleaning. We also provide daylighting services which, through the use of specialized hydro vac equipment, deliver safer, cleaner and more precise hydro excavation services to safely uncover highly sensitive underground targets. Our crews also handle oilfield transport and production services supporting drilling, production and completion programs.</w:t>
      </w:r>
    </w:p>
    <w:p>
      <w:pPr>
        <w:spacing w:after="0" w:line="9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i w:val="1"/>
          <w:iCs w:val="1"/>
          <w:color w:val="auto"/>
        </w:rPr>
        <w:t xml:space="preserve">Field and Emergency Response Services. </w:t>
      </w:r>
      <w:r>
        <w:rPr>
          <w:rFonts w:ascii="Arial" w:cs="Arial" w:eastAsia="Arial" w:hAnsi="Arial"/>
          <w:sz w:val="16"/>
          <w:szCs w:val="16"/>
          <w:color w:val="auto"/>
        </w:rPr>
        <w:t>Our crews and equipment are dispatched on a planned or emergency basis and perform services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confined space entry for tank cleaning, site decontamination, large remediation projects, demolition, spill cleanup on land and water, railcar cleaning, product recovery and transfer, scarifying and media blasting and vacuum services. Additional services include filtration and water treatment services.</w:t>
      </w:r>
    </w:p>
    <w:p>
      <w:pPr>
        <w:spacing w:after="0" w:line="6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are also a leader in providing response services for environmental emergencies of any scale from man-made disasters such as oil spills and natural disasters such as hurricanes.</w:t>
      </w:r>
    </w:p>
    <w:p>
      <w:pPr>
        <w:spacing w:after="0" w:line="8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 xml:space="preserve">Oil and Gas Field Services. </w:t>
      </w:r>
      <w:r>
        <w:rPr>
          <w:rFonts w:ascii="Arial" w:cs="Arial" w:eastAsia="Arial" w:hAnsi="Arial"/>
          <w:sz w:val="17"/>
          <w:szCs w:val="17"/>
          <w:color w:val="auto"/>
        </w:rPr>
        <w:t>We provide integrated seismic and right-of-way services for efficient resource discovery and site preparation. These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include: (i) seismic surveying that minimizes costs, environmental impact and time in field; (ii) mulching/line clearing that expedites additional geophysical activities and minimizes environmental impact; and (iii) shot-hole drilling that provides safe and efficient operations in every terrain, including hostile and inaccessible regions. We also provide surface rentals services by supporting oil and gas companies' drilling and well completion programs. Key to our services is our ability to provide solids control to support the drilling process. Our technologies help manage liquids, solids and semi-solid material during the drilling operation, and include centrifuges, tanks and drilling fluid recovery. We also can provide container rentals for safe collection of drill cuttings and other waste, as well as manage disposal of drilling fluids and solids and can supply surface rental equipment to support drill sites by providing wellsite trailers, wastewater treatment systems and holding tanks, light towers, generators and handling tools.</w:t>
      </w:r>
    </w:p>
    <w:p>
      <w:pPr>
        <w:spacing w:after="0" w:line="9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Lodging Services. </w:t>
      </w:r>
      <w:r>
        <w:rPr>
          <w:rFonts w:ascii="Arial" w:cs="Arial" w:eastAsia="Arial" w:hAnsi="Arial"/>
          <w:sz w:val="18"/>
          <w:szCs w:val="18"/>
          <w:color w:val="auto"/>
        </w:rPr>
        <w:t>Our fixed lodges provide turnkey remote accommodations throughout Western Canada and Texas and range in size up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600 beds. These are open lodges, with amenities that include catering and housekeeping services, fully equipped common areas, fitness rooms and computer rooms, wireless internet and public phones, powered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parking stalls, laundry facilities and daily towel service. We also offer mobile camp operations, which provide services for remote workforce accommodation facilities throughout Western Canada, currently in British Columbia, Saskatchewan and Alberta, with multiple accommodation types. These include client and open camps, operator camps and drill camps. Furthermore, hospitality services are available as a standalone service to clients which have other accommodation arrangements.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Safety-Kleen</w:t>
      </w:r>
    </w:p>
    <w:p>
      <w:pPr>
        <w:spacing w:after="0" w:line="144"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Our Safety-Kleen business offers an array of environmental services and complementary products to a diverse range of customers including automobile repair shops, car and truck dealers, metal fabricators, machine manufacturers, fleet maintenance shops and other automotive, industrial and retail customers.</w:t>
      </w:r>
    </w:p>
    <w:p>
      <w:pPr>
        <w:spacing w:after="0" w:line="43"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As the largest provider of parts cleaning services in North America, Safety-Kleen offers a complete line of specially designed parts washers to customer locations and then delivers recurring service that includes machine cleaning and maintenance and disposal and replacement of clean solvent or aqueous fluids. We also sell automotive and industrial cleaning products which include antifreeze, windshield washer fluid, degreasers, glass and floor cleaners, hand cleaners, absorbents, mats and spill kits.</w:t>
      </w:r>
    </w:p>
    <w:p>
      <w:pPr>
        <w:spacing w:after="0" w:line="106" w:lineRule="exact"/>
        <w:rPr>
          <w:sz w:val="20"/>
          <w:szCs w:val="20"/>
          <w:color w:val="auto"/>
        </w:rPr>
      </w:pPr>
    </w:p>
    <w:p>
      <w:pPr>
        <w:ind w:right="140" w:firstLine="392"/>
        <w:spacing w:after="0" w:line="257" w:lineRule="auto"/>
        <w:rPr>
          <w:sz w:val="20"/>
          <w:szCs w:val="20"/>
          <w:color w:val="auto"/>
        </w:rPr>
      </w:pPr>
      <w:r>
        <w:rPr>
          <w:rFonts w:ascii="Arial" w:cs="Arial" w:eastAsia="Arial" w:hAnsi="Arial"/>
          <w:sz w:val="18"/>
          <w:szCs w:val="18"/>
          <w:color w:val="auto"/>
        </w:rPr>
        <w:t>Utilizing our collection network, we provide pickup and transportation of hazardous and non-hazardous containerized waste for recycling or disposal, primarily through the Clean Harbors network of recycling, treatment and disposal facilities. We also collect used oil which serves as feedstock for our oil re-refineries discussed below, or process the oil into recycled fuel oil, or “RFO,” which is then sold to customers such as asphalt plants, industrial plants, pulp and paper companies. The used oil is also processed into vacuum gas oil which can be further re-refined into lubricant base oils or sold directly into the marine diesel oil fuel market.</w:t>
      </w:r>
    </w:p>
    <w:p>
      <w:pPr>
        <w:spacing w:after="0" w:line="107"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Our vacuum services remove solids, residual oily water and sludge and other fluids from customers' oil/water separators, sumps and collection tanks. We also remove and collect waste fluids found at large and small industrial locations, including metal fabricators, auto maintenance providers and general manufacturers.</w:t>
      </w:r>
    </w:p>
    <w:p>
      <w:pPr>
        <w:spacing w:after="0" w:line="10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Utilizing used oil collected by Safety-Kleen branches, we manufacture, formulate, package, distribute and market high-quality lubricants. We offer these products and services direct to business end-users and customers that can in turn market to retailers and end-users. The used oil collected by Safety-Kleen's branch network is processed or re-refined to convert into a variety of products, mostly base lubricating oils, and much smaller quantities of asphalt-like material, glycols and fuels. As the largest re-refiner of used oil in North America, we can process the used oil collected through our six re-refineries located in East Chicago, Indiana; Newark, California; Wichita, Kansas; Tacoma, Washington; Fallon, Nevada; and Breslau, Ontario.</w:t>
      </w:r>
    </w:p>
    <w:p>
      <w:pPr>
        <w:spacing w:after="0" w:line="105" w:lineRule="exact"/>
        <w:rPr>
          <w:sz w:val="20"/>
          <w:szCs w:val="20"/>
          <w:color w:val="auto"/>
        </w:rPr>
      </w:pPr>
    </w:p>
    <w:p>
      <w:pPr>
        <w:ind w:right="80" w:firstLine="405"/>
        <w:spacing w:after="0" w:line="252" w:lineRule="auto"/>
        <w:rPr>
          <w:sz w:val="20"/>
          <w:szCs w:val="20"/>
          <w:color w:val="auto"/>
        </w:rPr>
      </w:pPr>
      <w:r>
        <w:rPr>
          <w:rFonts w:ascii="Arial" w:cs="Arial" w:eastAsia="Arial" w:hAnsi="Arial"/>
          <w:sz w:val="17"/>
          <w:szCs w:val="17"/>
          <w:color w:val="auto"/>
        </w:rPr>
        <w:t>Our primary goal is to produce and sell high-quality blended oils, which are created by combining our re-refined base and other base oils with performance additives in accordance with our proprietary formulations and American Petroleum Institute licenses. Our Performance 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“green” proprietary brand EcoPower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are sold to on- and off-road corporate fleets, government entities, automotive service shops and industrial plants, which are serviced through our internal distribution network, as well as an extensive United States and Canada-wide independent distributor network. We also sell unbranded blended oils to distributors that resell them under their private label brands. Our OilPlus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program consists of selling our renewable oil products directly to our end customers. We sell the base oil that we do not blend and sell ourselves to independent blenders/packagers that use it to blend their own branded or private label oils. With more than 200 million gallons of used oil processed annually, we were able to return approximately 191 million gallons of new re-refined oil, lubricants and byproducts back into the marketplace in 2019. We believe our position as the largest collector and re-refiner of used oil in North America, along with our vast service and distributions network, provide a distinct competitive advantage in our ability to provide our customers with collection and oil distribution services through our OilPlus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closed loop program.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hazardous waste management industry is highly competitive. The sources of competition vary by locality and by type of service rendered, with competition coming from national and regional waste services companies and hundreds of privately-owned firms. Veolia North America, Waste Management, Inc., US Ecology, Inc. and Stericycle, Inc. are the principal national firms with which we compete. Each of these competitors is able to provide one or more of the environmental services we offer.</w:t>
      </w:r>
    </w:p>
    <w:p>
      <w:pPr>
        <w:spacing w:after="0" w:line="10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Under federal and state environmental laws in the United States, generators of hazardous waste remain liable for improper disposal of such waste. Although generators may hire various companies that have the proper permits and licenses, because of the generators' potential liability, they are very interested in the reputation and financial strength of the companies they use for the management of their hazardous waste. We believe that our technical proficiency, safety record, customer service oriented culture and overall reputation are important considerations to our customers in selecting and continuing to</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utilize our services. We also believe that the depth of our recycling, treatment and disposal capabilities, our ability to collect and transport waste products efficiently and our pricing are additional significant factors in the market for treatment and disposal services.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Competition within our Environmental Services segment varies by locality and type of service rendered.</w:t>
      </w:r>
    </w:p>
    <w:p>
      <w:pPr>
        <w:spacing w:after="0" w:line="144" w:lineRule="exact"/>
        <w:rPr>
          <w:sz w:val="20"/>
          <w:szCs w:val="20"/>
          <w:color w:val="auto"/>
        </w:rPr>
      </w:pPr>
    </w:p>
    <w:p>
      <w:pPr>
        <w:jc w:val="both"/>
        <w:ind w:left="980" w:right="160" w:hanging="324"/>
        <w:spacing w:after="0" w:line="31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our landfill and waste services, competitors include several major national and regional environmental services firms, as well as numerous smaller local firms. We believe the availability of skilled technical professional personnel, quality of performance, diversity of services, safety record, quality of assets and use of current technologies, as well as price, are the key competitive factors in this service industry.</w:t>
      </w:r>
    </w:p>
    <w:p>
      <w:pPr>
        <w:spacing w:after="0" w:line="65" w:lineRule="exact"/>
        <w:rPr>
          <w:rFonts w:ascii="Arial" w:cs="Arial" w:eastAsia="Arial" w:hAnsi="Arial"/>
          <w:sz w:val="16"/>
          <w:szCs w:val="16"/>
          <w:color w:val="auto"/>
        </w:rPr>
      </w:pPr>
    </w:p>
    <w:p>
      <w:pPr>
        <w:ind w:left="980" w:right="40" w:hanging="324"/>
        <w:spacing w:after="0" w:line="273"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our industrial, field and emergency responses services, competitors vary by locality and by type of service rendered, with competition coming from national and regional service providers and hundreds of privately-owned firms that offer energy or industrial services. Envirosystems and Hydrochem PSC in the United States, and CEDA International Corporation and Newalta in Canada, are the principal national firms with which we compete. Each of these competitors is able to provide one or more of the industrial and field services we offer. We believe the availability of specialized equipment and latest technologies, skilled technical professional personnel, quality of performance, diversity of services, safety record and price are the key competitive factors in this industry.</w:t>
      </w:r>
    </w:p>
    <w:p>
      <w:pPr>
        <w:spacing w:after="0" w:line="97" w:lineRule="exact"/>
        <w:rPr>
          <w:rFonts w:ascii="Arial" w:cs="Arial" w:eastAsia="Arial" w:hAnsi="Arial"/>
          <w:sz w:val="17"/>
          <w:szCs w:val="17"/>
          <w:color w:val="auto"/>
        </w:rPr>
      </w:pPr>
    </w:p>
    <w:p>
      <w:pPr>
        <w:ind w:left="1300" w:right="20" w:hanging="644"/>
        <w:spacing w:after="0" w:line="264" w:lineRule="auto"/>
        <w:tabs>
          <w:tab w:leader="none" w:pos="976"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our energy related services, competitors vary by locality and type of services provided, with competition coming from national, regional and local service providers. Competition is based on a number of factors, including safety, quality, performance, reliability, service, price, response time and, in some cases, breadth of service offering.</w:t>
      </w:r>
    </w:p>
    <w:p>
      <w:pPr>
        <w:spacing w:after="0" w:line="100"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For our Safety-Kleen segment, competitors vary by locality and by type of service rendered, with competition coming from Heritage-Crystal Clean and Veolia North America, along with several regional and local firms. With our Safety-Kleen Oil 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loop offering, we are competing in certain markets with other North American lubricant distributors.</w:t>
      </w:r>
    </w:p>
    <w:p>
      <w:pPr>
        <w:spacing w:after="0" w:line="12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principal methods of competition for all of our services and products are quality, price, reliability of service rendered or products sold and technical proficiency. We believe that we offer a more comprehensive range of environmental, energy and industrial services than our competitors in major portions of the United States and Canada.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As of December 31, 2019, we employed approximately 14,400 active full-time employees, of which 988 in the United States and 676 in Canada were represented by labor unions. We believe that our relationship with our employees is positive. As part of our commitment to employee safety and quality customer service, we have an extensive compliance program and trained environmental, health and safety staff. We adhere to a risk management program designed to reduce potential liabilities to us and to our customers. We also continually strive to invest in our employees through training programs as well as competitive compensation and benefit programs.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have invested significantly in the development of proprietary technology and also to establish and maintain an extensive knowledge of leading technologies. We incorporate these technologies into the services we offer and provide to our customers. As of December 31, 2019, we held a total of 35 U.S. and 12 foreign issued or granted patents (which will expire between 2020 and 2031), one U.S. and one foreign pending patent application, 93 U.S. and 53 foreign trademark registrations and one U.S. and eight foreign pending trademark applications. We also license software and other intellectual property from various third parties. We enter into confidentiality agreements with certain of our employees, consultants and corporate partners, and control access to software documentation and other proprietary information. We believe that we hold adequate rights to all intellectual property used in our business and that we do not infringe upon any intellectual property rights held by other 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Risks</w:t>
      </w:r>
    </w:p>
    <w:p>
      <w:pPr>
        <w:spacing w:after="0" w:line="148"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consciousness, auditing and policy decisions restricting the types of waste handled. We evaluate all revenue opportunities and decline those that we believe involve unacceptable risks.</w:t>
      </w:r>
    </w:p>
    <w:p>
      <w:pPr>
        <w:spacing w:after="0" w:line="79"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We dispose of waste at our incinerator, wastewater treatment and landfill facilities, or at facilities owned and operated by other firms that we have audited and approved. We apply established technologies to treatment, storage and recovery of</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60"/>
        <w:spacing w:after="0" w:line="391" w:lineRule="auto"/>
        <w:rPr>
          <w:sz w:val="20"/>
          <w:szCs w:val="20"/>
          <w:color w:val="auto"/>
        </w:rPr>
      </w:pPr>
      <w:r>
        <w:rPr>
          <w:rFonts w:ascii="Arial" w:cs="Arial" w:eastAsia="Arial" w:hAnsi="Arial"/>
          <w:sz w:val="18"/>
          <w:szCs w:val="18"/>
          <w:color w:val="auto"/>
        </w:rPr>
        <w:t xml:space="preserve">hazardous waste. We believe our operations are conducted in a safe and prudent manner and in substantial compliance with applicable laws and regulations. </w:t>
      </w:r>
      <w:r>
        <w:rPr>
          <w:rFonts w:ascii="Arial" w:cs="Arial" w:eastAsia="Arial" w:hAnsi="Arial"/>
          <w:sz w:val="18"/>
          <w:szCs w:val="18"/>
          <w:b w:val="1"/>
          <w:bCs w:val="1"/>
          <w:color w:val="auto"/>
        </w:rPr>
        <w:t>Insurance and Financial Assurance</w:t>
      </w:r>
    </w:p>
    <w:p>
      <w:pPr>
        <w:spacing w:after="0" w:line="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insurance programs cover the potential risks associated with our multifaceted operations from two primary exposures: direct physical damage and third-party liability. We maintain a casualty insurance program providing coverage for vehicles, employer's liability and commercial general liability in the aggregate amount of $105.0 million, $102.0 million and $102.0 million, respectively, per year, subject to retentions of $2.0 million per occurrence for auto and commercial general liability and $1.0 million for employers' liability in the United States and $2.0 million in Canada. We also have workers' compensation insurance whose limits are established by state statutes.</w:t>
      </w:r>
    </w:p>
    <w:p>
      <w:pPr>
        <w:spacing w:after="0" w:line="10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$20.0 million per occurrence and $25.0 million in the aggregate, covering offsite remedial activities and associated liabilities.</w:t>
      </w:r>
    </w:p>
    <w:p>
      <w:pPr>
        <w:spacing w:after="0" w:line="10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sudden and accidental in-transit pollution liability, our auto liability policy provides the primary $5.0 million per occurrence of transportation pollution insurance. Our pollution liability policies provide an additional $75.0 million per occurrence and $80.0 million in the aggregate for a total of $80.0 million per occurrence and $85.0 million in the aggregate, respectively. A $2.0 million deductible per occurrence applies to this coverage in the United States and Canada.</w:t>
      </w:r>
    </w:p>
    <w:p>
      <w:pPr>
        <w:spacing w:after="0" w:line="106"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pacing w:after="0" w:line="7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8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Under our insurance programs, coverage is obtained for catastrophic exposures, cyber security as well as those risks required to be insured by law or contract. It is our policy to retain a significant portion of certain expected losses related primarily to employee benefit, workers' compensation, commercial general and vehicle liability. Provisions for losses expected under these programs are recorded based upon our estimates of the actuarially determined value of the aggregate liability for claims. We believe that policy cancellation terms are similar to those of companies in other industries.</w:t>
      </w:r>
    </w:p>
    <w:p>
      <w:pPr>
        <w:spacing w:after="0" w:line="9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Operators of hazardous waste handling and certain other permitted facilities are required by federal, state, provincial and local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As of December 31, 2019, our total estimated closure and post-closure costs requiring financial assurance by regulators were $472.7 million for our U.S. facilities and $56.8 million for our Canadian facilities. We have obtained all of the required financial assurance for our facilities through a combination of surety bonds, funded trusts, letters of credit and insurance from qualified insurance companies.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48"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While our business has benefited substantially from increased government regulation of hazardous waste transportation, storage and disposal, the environmental services industry itself is the subject of extensive and evolving regulation by federal, state, provincial and local authorities. We are required to obtain federal, state, provincial and local permits or approvals for each of our hazardous waste facilities. Such permits are difficult to obtain and, in many instances, extensive studies, tests and public hearings are required before the approvals can be issued. We have acquired all operating permits and approvals now required for the current operation of our business, or have applied for, or are in the process of applying for, all permits and approvals needed in connection with continued operation and planned expansion or modifications of our operations.</w:t>
      </w:r>
    </w:p>
    <w:p>
      <w:pPr>
        <w:spacing w:after="0" w:line="232"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We make a continuing effort to anticipate regulatory, political and legal developments that might affect operations, but are not always able to do so. We cannot predict the extent to which any environmental legislation or regulation that may be enacted or enforced in the future may affect our operations.</w:t>
      </w:r>
    </w:p>
    <w:p>
      <w:pPr>
        <w:spacing w:after="0" w:line="17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 xml:space="preserve">A new regulation primarily impacting the shipping business but which we are monitoring closely as it could impact our business is known as </w:t>
      </w:r>
      <w:r>
        <w:rPr>
          <w:rFonts w:ascii="Arial" w:cs="Arial" w:eastAsia="Arial" w:hAnsi="Arial"/>
          <w:sz w:val="18"/>
          <w:szCs w:val="18"/>
          <w:i w:val="1"/>
          <w:iCs w:val="1"/>
          <w:color w:val="auto"/>
        </w:rPr>
        <w:t>“</w:t>
      </w:r>
      <w:r>
        <w:rPr>
          <w:rFonts w:ascii="Arial" w:cs="Arial" w:eastAsia="Arial" w:hAnsi="Arial"/>
          <w:sz w:val="18"/>
          <w:szCs w:val="18"/>
          <w:color w:val="auto"/>
        </w:rPr>
        <w:t>IMO 2020”. On January 1, 2020, the International Maritime Organization (the "IMO") implemented 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6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new regulation for a 0.50% global sulphur cap for marine fuels. Under the new global cap, ships that traverse the oceans will be required to use marine fuels with a sulphur content of no more than 0.50% sulphur, versus the previous cap of 3.50%, in an effort to reduce the amount of sulphur oxide and decrease pollution and greenhouse gas emissions from the global shipping fleet, which now uses an estimated 3.5 to 4 million barrels per day of fuel oil. The shipping industry is the last major transportation sector to utilize fuel with high levels of sulfur, which is the reason the IMO pushed the industry to more closely align with other transport sectors for pollution reduction.</w:t>
      </w:r>
    </w:p>
    <w:p>
      <w:pPr>
        <w:spacing w:after="0" w:line="10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There are several variables around this regulatory change whereby the impacts of such changes are not yet clear, including anticipated levels of compliance and enforcement. However, it is expected that the implementation of IMO 2020 will result in a significant increase in demand for a broad range of low sulfur distillates including diesel, marine gas oil, marine diesel oil and vacuum gas oil ("VGO") among others. There is uncertainty about the global refinery industry’s ability to meet that spike in demand, which could have substantial consequences for the pricing of those products, particularly VGO. The price of VGO typically has a direct impact on the pricing and/or levels of production of base oil. Changes in the marine fuel market as a result of IMO 2020 are also expected to affect the availability of used motor oil, which today is frequently used in the marine market and some of which may be displaced as a result of this new regulation.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Hazardous Waste Regulation</w:t>
      </w:r>
    </w:p>
    <w:p>
      <w:pPr>
        <w:spacing w:after="0" w:line="148"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The most significant federal environmental laws affecting us are the RCRA, the Comprehensive Environmental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Liability Act, also known as the "Superfund Act," the Clean Air Act, the Clean Water Act and the Toxic Substances Control Act ("TSCA").</w:t>
      </w:r>
    </w:p>
    <w:p>
      <w:pPr>
        <w:spacing w:after="0" w:line="100" w:lineRule="exact"/>
        <w:rPr>
          <w:sz w:val="20"/>
          <w:szCs w:val="20"/>
          <w:color w:val="auto"/>
        </w:rPr>
      </w:pPr>
    </w:p>
    <w:p>
      <w:pPr>
        <w:ind w:right="400" w:firstLine="432"/>
        <w:spacing w:after="0" w:line="302" w:lineRule="auto"/>
        <w:rPr>
          <w:sz w:val="20"/>
          <w:szCs w:val="20"/>
          <w:color w:val="auto"/>
        </w:rPr>
      </w:pPr>
      <w:r>
        <w:rPr>
          <w:rFonts w:ascii="Arial" w:cs="Arial" w:eastAsia="Arial" w:hAnsi="Arial"/>
          <w:sz w:val="16"/>
          <w:szCs w:val="16"/>
          <w:i w:val="1"/>
          <w:iCs w:val="1"/>
          <w:color w:val="auto"/>
        </w:rPr>
        <w:t xml:space="preserve">RCRA. </w:t>
      </w:r>
      <w:r>
        <w:rPr>
          <w:rFonts w:ascii="Arial" w:cs="Arial" w:eastAsia="Arial" w:hAnsi="Arial"/>
          <w:sz w:val="16"/>
          <w:szCs w:val="16"/>
          <w:color w:val="auto"/>
        </w:rPr>
        <w:t>RCRA is the principal federal statute governing hazardous waste generation, treatment, transportation, storage and disposal.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RCRA, the Environmental Protection Agency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7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Every facility that treats, stores or disposes of hazardous waste must obtain a RCRA permit from the EPA or an authorized state agency unless a specific exemption exists, and must comply with certain operating requirements ("Part B" permitting process). RCRA also requires that Part B permits contain provisions for required on-site study and cleanup activities, known as "corrective action," including detailed compliance schedules and provisions for assurance of financial responsibility. See Note 10, "Closure and Post-Closure Liabilities," and Note 11,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12"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 xml:space="preserve">The Superfund Act. </w:t>
      </w:r>
      <w:r>
        <w:rPr>
          <w:rFonts w:ascii="Arial" w:cs="Arial" w:eastAsia="Arial" w:hAnsi="Arial"/>
          <w:sz w:val="16"/>
          <w:szCs w:val="16"/>
          <w:color w:val="auto"/>
        </w:rPr>
        <w:t>The Superfund Act is the primary federal statute regulating the cleanup of inactive hazardous substance sites and imposing</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for cleanup on the responsible parties. It provides for immediate EPA coordinated response and removal actions for hazardous substances released into the environment. It also authorizes the government to respond to the release or threatened release of hazardous substances or to order responsible persons to perform any necessary cleanup. The statute provides for strict and, in certain cases, joint and several liability to the parties involved in the generation, transportation and disposal of hazardous substances for the cost of these responses and related costs, and for the cost of damages to natural resources. Under the statute, we may be deemed liable as a generator or transporter of a hazardous substance which is released into the environment, or as the owner or operator of a facility from which there is a release of a hazardous substance into the environment. See Note 18, "Commitments and Contingencies," to our consolidated financial statements included in Item 8 of this report for a description of the principal such proceedings in which we are now involved.</w:t>
      </w:r>
    </w:p>
    <w:p>
      <w:pPr>
        <w:spacing w:after="0" w:line="8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The Clean Air Act. </w:t>
      </w:r>
      <w:r>
        <w:rPr>
          <w:rFonts w:ascii="Arial" w:cs="Arial" w:eastAsia="Arial" w:hAnsi="Arial"/>
          <w:sz w:val="18"/>
          <w:szCs w:val="18"/>
          <w:color w:val="auto"/>
        </w:rPr>
        <w:t>The Clean Air Act was passed by Congress to control the emissions of pollutants into the air and requires permits to be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sources of hazardous air pollutants, such as vinyl chloride or air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187 hazardous air pollutants; (ii) create uniform operating permits for major industrial facilities similar to RCRA operating permits; (iii) mandate the phase-out of ozone depleting chemicals; and (iv) provide for enhanced enforcement.</w:t>
      </w:r>
    </w:p>
    <w:p>
      <w:pPr>
        <w:spacing w:after="0" w:line="11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 xml:space="preserve">The Clean Water Act. </w:t>
      </w:r>
      <w:r>
        <w:rPr>
          <w:rFonts w:ascii="Arial" w:cs="Arial" w:eastAsia="Arial" w:hAnsi="Arial"/>
          <w:sz w:val="18"/>
          <w:szCs w:val="18"/>
          <w:color w:val="auto"/>
        </w:rPr>
        <w:t>This legislation prohibits discharge of pollutants into the waters of the United States without government authorization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works pursuant to permits issued by the appropriate government authorities. We are required to obtain discharge permits and conduct sampling and monitoring programs.</w:t>
      </w:r>
    </w:p>
    <w:p>
      <w:pPr>
        <w:spacing w:after="0" w:line="8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TSCA. </w:t>
      </w:r>
      <w:r>
        <w:rPr>
          <w:rFonts w:ascii="Arial" w:cs="Arial" w:eastAsia="Arial" w:hAnsi="Arial"/>
          <w:sz w:val="18"/>
          <w:szCs w:val="18"/>
          <w:color w:val="auto"/>
        </w:rPr>
        <w:t>We operate a network of collection, treatment and field services (remediation) facilities throughout North America whose activities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regulated under provisions of TSCA. TSCA established a national program for the management of substances classified as polychlorinated biphenyls ("PCBs") which include waste PCBs as well as RCRA waste contaminated with PCBs. The rules set minimum design and operating requirements for storage, treatment and disposal of PCB waste.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11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Other Federal Regulations. </w:t>
      </w:r>
      <w:r>
        <w:rPr>
          <w:rFonts w:ascii="Arial" w:cs="Arial" w:eastAsia="Arial" w:hAnsi="Arial"/>
          <w:sz w:val="18"/>
          <w:szCs w:val="18"/>
          <w:color w:val="auto"/>
        </w:rPr>
        <w:t>In addition to regulations specifically directed at our transportation, storage and disposal facilities, there are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that may "pass-through" to the facilities based on the acceptance of regulated waste from affected customer facilities. Each facility that accepts affected waste must comply with the regulations for that waste, facility or industry. Examples of this type of regulation are National Emission Standards for Benzene Waste Operations and National Emissions Standards for Pharmaceuticals Production. Each of our facilities addresses these regulations on a case-by-case basis determined by its requirement to comply with the pass-through regulations.</w:t>
      </w:r>
    </w:p>
    <w:p>
      <w:pPr>
        <w:spacing w:after="0" w:line="107"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Health and safety standards under the Occupational Safety and Health Act ("OSHA") are also applicable to all of our operations.</w:t>
      </w:r>
    </w:p>
    <w:p>
      <w:pPr>
        <w:spacing w:after="0" w:line="14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 xml:space="preserve">State and Local Regulations. </w:t>
      </w:r>
      <w:r>
        <w:rPr>
          <w:rFonts w:ascii="Arial" w:cs="Arial" w:eastAsia="Arial" w:hAnsi="Arial"/>
          <w:sz w:val="18"/>
          <w:szCs w:val="18"/>
          <w:color w:val="auto"/>
        </w:rPr>
        <w:t>Pursuant to the EPA's authorization of RCRA equivalent state run programs, a number of U.S. states have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Some states classify as hazardous some waste that are not regulated under RCRA. For example, Massachusetts considers waste oil as "hazardous waste" while RCRA does not. Accordingly, we must comply with state requirements for handling state regulated waste, and, when necessary, obtain state licenses for treating, storing and disposing of such waste at our facilities.</w:t>
      </w:r>
    </w:p>
    <w:p>
      <w:pPr>
        <w:spacing w:after="0" w:line="10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facilities are also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 However, there can be no assurance that regulations governing future licensing will remain static, or that we will be able to comply with such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Hazardous Waste Regulation</w:t>
      </w:r>
    </w:p>
    <w:p>
      <w:pPr>
        <w:spacing w:after="0" w:line="148"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In Canada, the provinces retain control over environmental issues within their boundaries and thus have the primary responsibility for regulating management of hazardous waste. The federal government regulates issues of national scope or where activities cross provincial boundaries.</w:t>
      </w:r>
    </w:p>
    <w:p>
      <w:pPr>
        <w:spacing w:after="0" w:line="4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Provincial Regulations. </w:t>
      </w:r>
      <w:r>
        <w:rPr>
          <w:rFonts w:ascii="Arial" w:cs="Arial" w:eastAsia="Arial" w:hAnsi="Arial"/>
          <w:sz w:val="18"/>
          <w:szCs w:val="18"/>
          <w:color w:val="auto"/>
        </w:rPr>
        <w:t>Most of Canada's industrial development and the major part of its population are located in four provinces: Ontario, Quebec,</w:t>
      </w:r>
      <w:r>
        <w:rPr>
          <w:rFonts w:ascii="Arial" w:cs="Arial" w:eastAsia="Arial" w:hAnsi="Arial"/>
          <w:sz w:val="18"/>
          <w:szCs w:val="18"/>
          <w:i w:val="1"/>
          <w:iCs w:val="1"/>
          <w:color w:val="auto"/>
        </w:rPr>
        <w:t xml:space="preserve"> </w:t>
      </w:r>
      <w:r>
        <w:rPr>
          <w:rFonts w:ascii="Arial" w:cs="Arial" w:eastAsia="Arial" w:hAnsi="Arial"/>
          <w:sz w:val="18"/>
          <w:szCs w:val="18"/>
          <w:color w:val="auto"/>
        </w:rPr>
        <w:t>Alberta and British Columbia, each of which have detailed environmental regulations. We operate major waste management facilities in each of these provinces, as well as waste transfer facilities in Nova Scotia and Manitoba.</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main provincial acts dealing with hazardous waste management are:</w:t>
      </w:r>
    </w:p>
    <w:p>
      <w:pPr>
        <w:spacing w:after="0" w:line="14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Ontario—Environmental Protection Act;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Quebec—Environmental Quality Act;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Alberta—Environmental Protection and Enhancement Act;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British Columbia—Waste Management Act.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These pieces of legislation were developed by the provinces independently and, among other things, generally control the generation, characterization, transport, treatment and disposal of hazardous waste. Regulations developed by the provinces under the relevant legislation are also developed independently, but are often quite similar in effect and sometimes in application. For example, there is some uniformity in manifest document design and utilization.</w:t>
      </w:r>
    </w:p>
    <w:p>
      <w:pPr>
        <w:spacing w:after="0" w:line="66"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43"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Waste transporters require a permit to operate under provincial waste management regulations and are subject to the requirements of the Federal Transportation of Dangerous Goods Act, as discussed below. They are required to report the quantities and disposition of materials shipped.</w:t>
      </w:r>
    </w:p>
    <w:p>
      <w:pPr>
        <w:spacing w:after="0" w:line="43" w:lineRule="exact"/>
        <w:rPr>
          <w:sz w:val="20"/>
          <w:szCs w:val="20"/>
          <w:color w:val="auto"/>
        </w:rPr>
      </w:pPr>
    </w:p>
    <w:p>
      <w:pPr>
        <w:ind w:left="440"/>
        <w:spacing w:after="0"/>
        <w:tabs>
          <w:tab w:leader="none" w:pos="2880" w:val="left"/>
        </w:tabs>
        <w:rPr>
          <w:sz w:val="20"/>
          <w:szCs w:val="20"/>
          <w:color w:val="auto"/>
        </w:rPr>
      </w:pPr>
      <w:r>
        <w:rPr>
          <w:rFonts w:ascii="Arial" w:cs="Arial" w:eastAsia="Arial" w:hAnsi="Arial"/>
          <w:sz w:val="18"/>
          <w:szCs w:val="18"/>
          <w:i w:val="1"/>
          <w:iCs w:val="1"/>
          <w:color w:val="auto"/>
        </w:rPr>
        <w:t>Canadian Federal Regulations.</w:t>
      </w:r>
      <w:r>
        <w:rPr>
          <w:sz w:val="20"/>
          <w:szCs w:val="20"/>
          <w:color w:val="auto"/>
        </w:rPr>
        <w:tab/>
      </w:r>
      <w:r>
        <w:rPr>
          <w:rFonts w:ascii="Arial" w:cs="Arial" w:eastAsia="Arial" w:hAnsi="Arial"/>
          <w:sz w:val="16"/>
          <w:szCs w:val="16"/>
          <w:color w:val="auto"/>
        </w:rPr>
        <w:t>The Canadian federal government has authority for those matters which are national in scope and in impact and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Canada's relations with other nations. The main federal laws governing hazardous waste management are:</w:t>
      </w:r>
    </w:p>
    <w:p>
      <w:pPr>
        <w:spacing w:after="0" w:line="13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Canadian Environmental Protection Act (1999) ("CEPA 99"),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 of Dangerous Goods Act.</w:t>
      </w:r>
    </w:p>
    <w:p>
      <w:pPr>
        <w:spacing w:after="0" w:line="144"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Environment Canada is the federal agency with responsibility for environmental matters and the main legislative instrument is the CEPA 99. This act charges Environment Canada and Health Canada, the Federal agency responsible for the health of individuals, with protection of human health and the environment and seeks to control the production, importation and use of substances in Canada and to control their impact on the environment.</w:t>
      </w:r>
    </w:p>
    <w:p>
      <w:pPr>
        <w:spacing w:after="0" w:line="66"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The Export and Import of Hazardous waste Regulations under CEPA 99 control the export and import of hazardous waste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 or hazardous recyclable materials or to transport them through Canada, must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 Environment ("CCME"). The CCME comprises the 14 environment ministers from the federal, provincial and territorial governments, who normally meet at least once a year to discuss national environmental priorities and to determine work to be carried out under the auspices of the CCME.</w:t>
      </w:r>
    </w:p>
    <w:p>
      <w:pPr>
        <w:spacing w:after="0" w:line="86"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i w:val="1"/>
          <w:iCs w:val="1"/>
          <w:color w:val="auto"/>
        </w:rPr>
        <w:t xml:space="preserve">Canadian Local and Municipal Regulations. </w:t>
      </w:r>
      <w:r>
        <w:rPr>
          <w:rFonts w:ascii="Arial" w:cs="Arial" w:eastAsia="Arial" w:hAnsi="Arial"/>
          <w:sz w:val="18"/>
          <w:szCs w:val="18"/>
          <w:color w:val="auto"/>
        </w:rPr>
        <w:t>Local and municipal regulations seldom reference direct control of hazardous waste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Municipal regulations and by-laws, however, control such issues as land use designation, access to municipal services and use of emergency services, all of which can have a significant impact on facility operation.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Regulations</w:t>
      </w:r>
    </w:p>
    <w:p>
      <w:pPr>
        <w:spacing w:after="0" w:line="148"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environmental regulations discussed above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100"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As further discussed in Note 10, "Closure and Post-Closure Liabilities," and Note 11, "Remedial Liabilities," to our consolidated financial statements included in Item 8 of this report, we have accrued environmental liabilities as of December 31, 2019, of $189.8 million. For the years ended December 31, 2019 and 2018, we spent $18.7 million and $10.1 million, respectively, to address environmental liabilities.</w:t>
      </w:r>
    </w:p>
    <w:p>
      <w:pPr>
        <w:spacing w:after="0" w:line="84"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qualified insurance companies.</w:t>
      </w:r>
    </w:p>
    <w:p>
      <w:pPr>
        <w:spacing w:after="0" w:line="10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described in Note 18, "Commitments and Contingencies," to our consolidated financial statements included in Item 8 of this report, we are involved in legal proceedings arising under environmental laws and regulations. Alleged failure to comply with laws and regulations may lead to the imposition of fines or the denial, revocation or delay of the renewal of permits and</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18" w:right="2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licenses by government entities. In addition, such government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An investment in our securities involves certain risks, including those described below. You should consider carefully these risk factors together with all of the information included in or incorporated by reference in this report before investing in our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All of Our Businesses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operational and safety risks.</w:t>
      </w:r>
    </w:p>
    <w:p>
      <w:pPr>
        <w:spacing w:after="0" w:line="14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Provision of environmental, energy and industrial services to our customers by both of our business segments involves risks such as equipment defects, malfunctions and failures and natural disasters, which could potentially result in releases of hazardous materials, damage to or total loss of our property or assets, injury or death of our employees or a need to shut down or reduce operation of our facilities while remedial actions are undertaken. Our employees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 While we seek to minimize our exposure to such risks primarily through (i) comprehensive training programs, (ii) our Environmental Health and Safety Compliance Internal Audit Program, (iii) vehicle and equipment maintenance programs and (iv) insurance, such programs and insurance may not be adequate to cover all of our potential liabilities.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numerous statutory and regulatory requirements, which may increase in the future.</w:t>
      </w:r>
    </w:p>
    <w:p>
      <w:pPr>
        <w:spacing w:after="0" w:line="144"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Our businesses are subject to numerous statutory and regulatory requirements. Our ability to continue to hold licenses and permits required for our businesses is subject to maintaining satisfactory compliance with such requirements. We may incur significant costs to maintain compliance. Also, these requirements may increase in the future as a result of statutory and regulatory changes. Regulators, in addition to investors, customers and the public in general, have been increasingly focused on Environmental, Social and Governance (ESG) and cyber-security practices of companies. We may be subject to additional regulations and disclosure requirements in the future arising from the increased focus on ESG and cyber-security responsibility. In addition, customers may require us to implement or report on certain ESG responsible procedures or standards to continue doing business with us. The occurrence of any of the foregoing could have a material impact on our financial condition or results of operations. Further, although we are very committed to compliance and safety, we may not, either now or in the future, be in full compliance at all times with such statutory and regulatory requirements. Consequently, we may be required to pay fines/penalties for noncompliance and may incur significant costs to maintain or improve our compliance with such requirements.</w:t>
      </w:r>
    </w:p>
    <w:p>
      <w:pPr>
        <w:spacing w:after="0" w:line="8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b w:val="1"/>
          <w:bCs w:val="1"/>
          <w:i w:val="1"/>
          <w:iCs w:val="1"/>
          <w:color w:val="auto"/>
        </w:rPr>
        <w:t>Our operations are increasingly dependent upon technology. Failure of these technologies, failure to upgrade or innovate these technologies or failure to identify and develop new technologies could have an adverse impact on our results.</w:t>
      </w:r>
    </w:p>
    <w:p>
      <w:pPr>
        <w:spacing w:after="0" w:line="89"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212529"/>
        </w:rPr>
        <w:t>Our information technology systems are critical to our operations, customer experience and financial reporting. Malfunctions of these technologies, including disruptions due to natural or man-made disasters (e.g. terrorism, cyber intrusion), could interrupt operations or negatively impact our service to our customers and hurt our business reputation. System failures could also impede our ability to collect and report financial results timely or comply with regulations associated with our operations.</w:t>
      </w:r>
    </w:p>
    <w:p>
      <w:pPr>
        <w:spacing w:after="0" w:line="106" w:lineRule="exact"/>
        <w:rPr>
          <w:sz w:val="20"/>
          <w:szCs w:val="20"/>
          <w:color w:val="auto"/>
        </w:rPr>
      </w:pPr>
    </w:p>
    <w:p>
      <w:pPr>
        <w:ind w:right="20" w:firstLine="392"/>
        <w:spacing w:after="0" w:line="312" w:lineRule="auto"/>
        <w:rPr>
          <w:sz w:val="20"/>
          <w:szCs w:val="20"/>
          <w:color w:val="auto"/>
        </w:rPr>
      </w:pPr>
      <w:r>
        <w:rPr>
          <w:rFonts w:ascii="Arial" w:cs="Arial" w:eastAsia="Arial" w:hAnsi="Arial"/>
          <w:sz w:val="16"/>
          <w:szCs w:val="16"/>
          <w:color w:val="212529"/>
        </w:rPr>
        <w:t>Identification of new and emerging technologies may be a risk and an opportunity to our business. Research and development of new technologies may require significant spending which may negatively impact our operating results. Failure to innovate and focus on new technologies that provide superior alternatives to traditional environmental services, waste disposal or oil collection and re-refining service offerings may negatively impact our financial results.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 cyber security incident could negatively impact our business and our relationships with customers.</w:t>
      </w:r>
    </w:p>
    <w:p>
      <w:pPr>
        <w:spacing w:after="0" w:line="144" w:lineRule="exact"/>
        <w:rPr>
          <w:sz w:val="20"/>
          <w:szCs w:val="20"/>
          <w:color w:val="auto"/>
        </w:rPr>
      </w:pPr>
    </w:p>
    <w:p>
      <w:pPr>
        <w:ind w:firstLine="392"/>
        <w:spacing w:after="0" w:line="302" w:lineRule="auto"/>
        <w:rPr>
          <w:sz w:val="20"/>
          <w:szCs w:val="20"/>
          <w:color w:val="auto"/>
        </w:rPr>
      </w:pPr>
      <w:r>
        <w:rPr>
          <w:rFonts w:ascii="Arial" w:cs="Arial" w:eastAsia="Arial" w:hAnsi="Arial"/>
          <w:sz w:val="16"/>
          <w:szCs w:val="16"/>
          <w:color w:val="auto"/>
        </w:rPr>
        <w:t>We use computers in substantially all aspects of our business operations and also mobile devices and other online activities to connect with our employees and customers. Such uses give rise to cyber security risks, including security breach, espionage, system disruption, theft, disruption of our business operations, remediation costs for repairs of system damage and inadvertent release of information. Our business involves the storage and transmission of numerous classes of sensitive and/or confidential information and intellectual property including, but not limited to, private information about employees and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financial and strategic information about our Company and our business partners. Furthermore, as we pursue our strategy to grow through acquisitions and new initiatives that improve our operations and cost structure, we are also expanding and improving our information technologies, resulting in a larger technological presence and corresponding exposure to cyber security risk. If we fail to assess and identify cyber 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which could have a material advers affect on our financial position or results of operations.</w:t>
      </w:r>
    </w:p>
    <w:p>
      <w:pPr>
        <w:spacing w:after="0" w:line="8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89"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are required to provide substantial amounts of financial assurance to government agencies for closure and post-closure care of our licensed hazardous waste treatment facilities and certain other permitted facilities should those facilities cease operation, and we are also occasionally required to post surety, bid and performance bonds in connection with certain customer projects. As of December 31, 2019, our total estimated closure and post-closure costs requiring financial assurance by regulators were $472.7 million for our U.S. facilities and $56.8 million for our Canadian facilities. We have obtained all of the required financial assurance for our facilities through a combination of surety bonds, letters of credit and insurance from qualified insurance companies. The financial assurance related to closure and post-closure obligations of our U.S. facilities will renew in 2020. Our Canadian facilities utilize surety bonds, which renew at various dates throughout 2020, as well as letters of credit.</w:t>
      </w:r>
    </w:p>
    <w:p>
      <w:pPr>
        <w:spacing w:after="0" w:line="9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Our ability to continue operating our facilities and conducting our other operations would be adversely affected if we became unable to obtain sufficient insurance, surety bonds, letters of credit and other forms of financial assurance at reasonable 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9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Our insurance coverage and self-insurance reserves may be inadequate to cover all significant risk exposures, and increasing costs to maintain adequate coverage may significantly impact our financial condition and results of operations.</w:t>
      </w:r>
    </w:p>
    <w:p>
      <w:pPr>
        <w:spacing w:after="0" w:line="8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carry a range of insurance policies intended to protect our assets and operations, including general liability insurance, property damage, business interruption and environmental risk insurance. While we endeavor to purchase insurance coverage appropriate to our risk assessment, we are unable to predict with certainty the frequency, nature or magnitude of claims for direct or consequential damages, and as a result our insurance program may not fully cover us for losses we may incur. In addition, 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we may not be able to maintain insurance of the types and coverage we desire at reasonable rates.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 In addition, claims associated with risks for which we are self-insured (workers' compensation, employee medical, comprehensive general liability and vehicle liability) may exceed our recorded reserves, which could negatively impact future earnings.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interpretations and changes in tax regulations and legislation could adversely affect our results of operations.</w:t>
      </w:r>
    </w:p>
    <w:p>
      <w:pPr>
        <w:spacing w:after="0" w:line="144" w:lineRule="exact"/>
        <w:rPr>
          <w:sz w:val="20"/>
          <w:szCs w:val="20"/>
          <w:color w:val="auto"/>
        </w:rPr>
      </w:pPr>
    </w:p>
    <w:p>
      <w:pPr>
        <w:jc w:val="both"/>
        <w:ind w:right="60" w:firstLine="324"/>
        <w:spacing w:after="0" w:line="297" w:lineRule="auto"/>
        <w:rPr>
          <w:sz w:val="20"/>
          <w:szCs w:val="20"/>
          <w:color w:val="auto"/>
        </w:rPr>
      </w:pPr>
      <w:r>
        <w:rPr>
          <w:rFonts w:ascii="Arial" w:cs="Arial" w:eastAsia="Arial" w:hAnsi="Arial"/>
          <w:sz w:val="16"/>
          <w:szCs w:val="16"/>
          <w:color w:val="auto"/>
        </w:rPr>
        <w:t>We are subject to income taxes in the United States, Canada and various state and local jurisdictions. Tax interpretations, regulations and legislation in the various jurisdictions in which we operate are subject to change and uncertainty and can impact net income, income tax expense and deferred income tax assets or liabilities.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currency exchange could affect our financial results.</w:t>
      </w:r>
    </w:p>
    <w:p>
      <w:pPr>
        <w:spacing w:after="0" w:line="14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earn revenues, pay expenses, own assets and incur liabilities in countries using currencies other than the U.S. Dollar. In fiscal 2019, we recorded approximately 16.1% of our direct revenues in Canada. Because our consolidated financial statements are presented in U.S. Dollars, we must translate revenues, income and expenses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Failure to correctly identify and manage acquisitions and divestitures could adversely impact our future results.</w:t>
      </w:r>
    </w:p>
    <w:p>
      <w:pPr>
        <w:spacing w:after="0" w:line="144"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We continuously evaluate potential acquisition candidates and from time to time acquire companies that we believe will strategically fit into our business and growth objectives. If we are unable to successfully integrate and develop acquired businesses, we could fail to achieve anticipated synergies and cost savings, including any expected increases in revenues and operating results, which could have a material adverse effect on our financial results. We also continually review our portfolio of assets to determine the extent to which assets or group of assets are contributing to our objectives and growth strategy. When we decide to sell a business or specific asset group, we may be unable to do so on satisfactory terms and within our anticipated time frame.</w:t>
      </w:r>
    </w:p>
    <w:p>
      <w:pPr>
        <w:spacing w:after="0" w:line="7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have acquired, and expect generally to acquire, all the outstanding shares of our more significant acquired companies. Due to this acquisition method our investment in those companies are or will be subject to all of their liabilities other than their respective debts which we paid or will pay at the time of the acquisitions. Unknown liabilities or other obligations may adversely affect our financial condition and results of operations.</w:t>
      </w:r>
    </w:p>
    <w:p>
      <w:pPr>
        <w:spacing w:after="0" w:line="8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8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or indefinite lived intangible may exceed its fair value. During each of 2019, 2018 and 2017, we determined that no asset write-downs were required. However, if conditions in any of the businesses in which we operate were to deteriorate, we could determine that certain of our assets are impaired and we would then be required to write-off all or a portion of the value of such assets. Any significant write-offs would adversely affect our balance sheet and results of operations.</w:t>
      </w:r>
    </w:p>
    <w:p>
      <w:pPr>
        <w:spacing w:after="0" w:line="97" w:lineRule="exact"/>
        <w:rPr>
          <w:sz w:val="20"/>
          <w:szCs w:val="20"/>
          <w:color w:val="auto"/>
        </w:rPr>
      </w:pPr>
    </w:p>
    <w:p>
      <w:pPr>
        <w:ind w:right="480" w:firstLine="392"/>
        <w:spacing w:after="0" w:line="277" w:lineRule="auto"/>
        <w:rPr>
          <w:sz w:val="20"/>
          <w:szCs w:val="20"/>
          <w:color w:val="auto"/>
        </w:rPr>
      </w:pPr>
      <w:r>
        <w:rPr>
          <w:rFonts w:ascii="Arial" w:cs="Arial" w:eastAsia="Arial" w:hAnsi="Arial"/>
          <w:sz w:val="18"/>
          <w:szCs w:val="18"/>
          <w:b w:val="1"/>
          <w:bCs w:val="1"/>
          <w:i w:val="1"/>
          <w:iCs w:val="1"/>
          <w:color w:val="auto"/>
        </w:rPr>
        <w:t>Our growth and success are dependent upon key personnel. If we lose key personnel and are unable to hire additional qualified personnel in a timely manner, our business may be harmed.</w:t>
      </w:r>
    </w:p>
    <w:p>
      <w:pPr>
        <w:spacing w:after="0" w:line="89"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Our ability to continue to grow, operate our facilities and provide our services is dependent upon the expertise of certain key managerial and technical personnel. The market for skilled and experienced personnel is highly competitive. Our ability to retain key personnel and/or attract new qualified personnel may have an impact on our business and financial results.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Natural disasters or other catastrophic events could negatively affect our business, financial condition and results of operations.</w:t>
      </w:r>
    </w:p>
    <w:p>
      <w:pPr>
        <w:spacing w:after="0" w:line="156"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Natural disasters such as hurricanes, tornados or earthquakes could negatively affect our operations and financial performance. Such events could result in physical damage to one or more of our facilities or equipment, the temporary lack of an adequate workforce in a market and the temporary disruption in rail or truck transportation services upon which we rely. These events could prevent or delay shipments and reduce both volumes and revenue. Weather conditions and other event driven special projects also cause interim variations in our results. We may be required to suspend operations in some or all of our locations, which could have a material adverse effect on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Affecting Our Environmental Services Business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hazardous waste management business which our Environmental Services segment operates is subject to significant environmental liabilities.</w:t>
      </w:r>
    </w:p>
    <w:p>
      <w:pPr>
        <w:spacing w:after="0" w:line="17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have accrued environmental liabilities valued as of December 31, 2019 at $189.8 million, substantially all of which we assumed in connection with certain acquisitions. We calculate our environmental liabilities on a present value basis in accordance with generally accepted accounting principles, which take into consideration both the amount of such liabilities and the timing when we project that we will be required to pay such liabilities. We anticipate our environmental liabilities will be payable over many years and that cash flows generated from our operations will generally be sufficient to fund the payment of</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such liabilities when required. However, events not now anticipated (including future changes in environmental laws and regulations or their enforcement) could require that such payments be made earlier or in greater amounts than we now estimate, which could adversely affect our financial condition and results of operations.</w:t>
      </w:r>
    </w:p>
    <w:p>
      <w:pPr>
        <w:spacing w:after="0" w:line="10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hazardous waste management industry in which we participate is subject to significant economic and business risks.</w:t>
      </w:r>
    </w:p>
    <w:p>
      <w:pPr>
        <w:spacing w:after="0" w:line="144"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The future operating results of our Environmental Services segment may be affected by such factors as our ability to utilize our facilities and workforce profitably in the face of intense price competition, maintain or increase market share in an industry which has in the past experienced significant downsizing and consolidation, realize benefits from cost reduction programs, generate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Environmental Services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8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The extensive environmental regulations to which we are subject may increase our costs and potential liabilities and limit our ability to expand our facilities.</w:t>
      </w:r>
    </w:p>
    <w:p>
      <w:pPr>
        <w:spacing w:after="0" w:line="8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operations and those of others in the environmental services industry are subject to extensive federal, state, provincial and local environmental requirements in both the United States and Canada, including those relating to emissions to air, discharged wastewater, storage, treatment, transport and disposal of regulated materials and cleanup of soil and groundwater contamination. In particular, if we fail to comply with government regulations governing the transport of hazardous materials, such failure could negatively impact our ability to collect, process and ultimately dispose of hazardous waste generated by our customers. Efforts to conduct our operations in compliance with all applicable laws and regulations, including environmental rules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 enforcement proceedings, which can result in fines or other sanctions and require expenditures for remedial work on waste management facilities and contaminated 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 The landscape of environmental regulation to which we are subject can change. Changes to environmental regulation often present new business opportunities for us; however, such changes may also result in increased operating and compliance costs or, in more significant cases, changes to how our facilities are able to operate. We constantly monitor the landscape of environmental regulation; however, our ability to navigate through any changes to such regulations may result in a material effect on our operations, cash flows or financial condition.</w:t>
      </w:r>
    </w:p>
    <w:p>
      <w:pPr>
        <w:spacing w:after="0" w:line="88"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From time to time, we have paid fines or penalties in government environmental enforcement proceedings, usually involving our waste treatment, storage and disposal facilities. Although none of these fines or penalties that we have paid in the past has had a material adverse effect upon us, we might in the future be required to make substantial expenditures as a result of government proceedings which would have a negative impact on our financial condition and results of operations. Furthermore, regulators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9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Some environmental laws and regulations impose liability and responsibility on present and former owners, operators or users of facilities and sites for contamination at such facilities and sites without regard to causation or knowledge of</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contamination. Past practices have resulted in releases of regulated materials at and from certain of our facilities, or the disposal 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 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111"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In addition to the costs of complying with environmental laws and regulations, we incur costs defending against environmental litigation brought by government agencies and private parties. We are now, and may in the future be, a defendant in lawsuits brought by parties alleging environmental damage, personal injury and/or property damage, which may result in our payment of significant amounts.</w:t>
      </w:r>
    </w:p>
    <w:p>
      <w:pPr>
        <w:spacing w:after="0" w:line="100"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Environmental and land use laws also impact our ability to expand our facilities. In addition, we are required to obtain government permits to operate our facilities, including all of our landfills. Even if we comply with all applicable environmental laws, we might not be able to obtain requisite permits from applicable government authorities to extend or modify such permits to fit our business needs.</w:t>
      </w:r>
    </w:p>
    <w:p>
      <w:pPr>
        <w:spacing w:after="0" w:line="100"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b w:val="1"/>
          <w:bCs w:val="1"/>
          <w:i w:val="1"/>
          <w:iCs w:val="1"/>
          <w:color w:val="auto"/>
        </w:rPr>
        <w:t>If our assumptions relating to expansion of our landfills should prove inaccurate, our results of operations and cash flow could be adversely affected.</w:t>
      </w:r>
    </w:p>
    <w:p>
      <w:pPr>
        <w:spacing w:after="0" w:line="89"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When we include permitted or probable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is no longer probable. To the extent that such estimates, or the assumptions used to make those estimates, prove to be significantly different than actual results, or our beliefs that we will receive expansion permits change adversely in a significant manner, our landfill assets, including the assets incurred in the pursuit of the expansion, may be subject to impairment. Furthermore, lower prospective profitability may result due to increased interest accretion and depreciation or asset impairment charges related to the removal of previously included expansion airspace. In addition, if our assumptions concerning expansion airspace should prove inaccurate, certain of our cash expenditures for closure of landfills could be accelerated and adversely affect our results of operations and cash flow.</w:t>
      </w:r>
    </w:p>
    <w:p>
      <w:pPr>
        <w:spacing w:after="0" w:line="11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A significant portion of our Environmental Services business depends upon the demand for cleanup of major spills and other remedial projects and regulatory developments over which we have no control.</w:t>
      </w:r>
    </w:p>
    <w:p>
      <w:pPr>
        <w:spacing w:after="0" w:line="8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Our operations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 regulations governing our diverse operations. We do not control such factors and, as a result, our revenue and income can vary from quarter to quarter, and past financial results for certain quarters may not be a reliable indicator of future results for comparable quarters in subsequent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Affecting Our Safety-Kleen Business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Fluctuations in oil prices may negatively affect our Safety-Kleen business.</w:t>
      </w:r>
    </w:p>
    <w:p>
      <w:pPr>
        <w:spacing w:after="0" w:line="14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A significant portion of our Safety-Kleen business involves collecting used oil from certain of our customers, re-refining a portion of such used oil into base and blended lubricating oils and then selling both such re-refined oil and the recycled oil ("RFO"), to other customers. Changes in the reported spot market prices of oil affect the prices at which we can sell our re-refined oil and RFO. If applicable rates increase or decrease, we typically will charge a higher or lower corresponding price for these oil products. The prices at which we sell these oil products can also be affected by changes in certain indices measuring changes in the price of heavy fuel oil, with increases and decreases in the indices typically translating into a higher or lower price for these oil products. The cost to collect used oil, including the amounts we pay to obtain a portion of our used oil and therefore ability to collect necessary volumes and the fuel costs of our oil collection fleet, typically also increases or decreases when the relevant indices increase or decrease. However, even though the prices we can charge for these oil products and the costs to collect and re-refine used oil and process RFO typically increase and decrease together, there is no assurance that when our costs to collect and re-refine used oil and process RFO increase we will be able to increase the prices we charge for these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oil products to cover such increased costs, or that our costs to collect and re-refine used oil and process RFO will decline when the prices we can charge for such oil products decline. These risks are exacerbated when there are rapid fluctuations in these oil indices.</w:t>
      </w:r>
    </w:p>
    <w:p>
      <w:pPr>
        <w:spacing w:after="0" w:line="8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have adversely affected and may adversely affect Safety-Kleen's parts cleaning and other solvent related services.</w:t>
      </w:r>
    </w:p>
    <w:p>
      <w:pPr>
        <w:spacing w:after="0" w:line="89" w:lineRule="exact"/>
        <w:rPr>
          <w:sz w:val="20"/>
          <w:szCs w:val="20"/>
          <w:color w:val="auto"/>
        </w:rPr>
      </w:pPr>
    </w:p>
    <w:p>
      <w:pPr>
        <w:ind w:right="300" w:firstLine="405"/>
        <w:spacing w:after="0" w:line="302" w:lineRule="auto"/>
        <w:rPr>
          <w:sz w:val="20"/>
          <w:szCs w:val="20"/>
          <w:color w:val="auto"/>
        </w:rPr>
      </w:pPr>
      <w:r>
        <w:rPr>
          <w:rFonts w:ascii="Arial" w:cs="Arial" w:eastAsia="Arial" w:hAnsi="Arial"/>
          <w:sz w:val="16"/>
          <w:szCs w:val="16"/>
          <w:color w:val="auto"/>
        </w:rPr>
        <w:t>In connection with its parts cleaning and other solvent related services, Safety-Kleen has been subject to fines and certain orders requiring it to take environmental remedial action. Safety-Kleen may also be subject to monetary fines, civil or criminal penalties, remediation, cleanup or stop orders, injunctions, orders to cease or suspend certain practices or denial of permits required for the operation of its facilities. The outcome of any proceeding and associated costs and expenses could have a material adverse impact on Safety-Kleen’s financial condition and results of operations.</w:t>
      </w:r>
    </w:p>
    <w:p>
      <w:pPr>
        <w:spacing w:after="0" w:line="73"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Recent and potential changes in environmental laws and regulations may also adversely affect future Safety-Kleen parts cleaning and other solvent related services. Interpretation or enforcement of existing laws and regulations, or the adoption of new laws and regulations, may require Safety-Kleen to modify or curtail its parts cleaning operations or replace or upgrade its facilities or equipment at substantial cost, which we may not be able to pass on to our customers, and we may choose to indemnify our customers from any fines or penalties they may incur as a result of these new laws and regulations. On the other hand, in some cases if new laws and regulations are less stringent, Safety-Kleen’s customers or competitors may be able to manage waste more effectively themselves, which could decrease the need for Safety-Kleen’s parts cleaning and other solvent related services or increase competition, which could adversely affect Safety-Kleen’s results of operations.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Safety-Kleen is subject to existing and potential product liability lawsuits.</w:t>
      </w:r>
    </w:p>
    <w:p>
      <w:pPr>
        <w:spacing w:after="0" w:line="14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Safety-Kleen has been named from time to time as a defendant in product liability lawsuits in various courts and jurisdictions throughout the United States. As of December 31, 2019, Safety-Kleen was involved in approximately 55 such proceedings (including cases which have been settled but not formally dismissed) wherein persons claim personal injury resulting from the use of its parts cleaning equipment or cleaning products. These proceedings typically involve allegations that the solvents used in Safety-Kleen’s parts cleaning equipment contain contaminants or that Safety-Kleen’s recycling process does not effectively remove the contaminants that become entrained in the solvents during their use. In addition, certain claimants assert that Safety-Kleen failed to adequately warn the product user of potential risks, including a historic failure to warn that such solvents contain trace amounts of toxic or hazardous substances such as benzene.</w:t>
      </w:r>
    </w:p>
    <w:p>
      <w:pPr>
        <w:spacing w:after="0" w:line="10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Safety-Kleen maintains insurance that we believe will provide coverage for these claims (over amounts accrued for self-insured retentions and deductibles in certain limited cases). This insurance may not provide coverage for potential awards of punitive damages against Safety-Kleen. Although Safety-Kleen has vigorously defended and will continue to vigorously defend itself and the safety of its products against all of these claims, these lawsuits are subject to many uncertainties and outcomes cannot be predicted with assurance. Safety-Kleen may also be named in additional product liability lawsuits in the future, including claims for which insurance coverage may not be available. If any one or more of these lawsuits were decided unfavorably against Safety-Kleen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against Safety-Kleen, such outcome may encourage more lawsuits against us.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Levels of Debt and Letters of Credit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Our substantial levels of outstanding debt and letters of credit could adversely affect our financial condition and ability to fulfill our obligations.</w:t>
      </w:r>
    </w:p>
    <w:p>
      <w:pPr>
        <w:spacing w:after="0" w:line="167"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As of December 31, 2019, we had outstanding $845.0 million of senior unsecured notes, $734.7 million of senior secured term loans, and $146.9 million of letters of credit. Our substantial levels of outstanding debt and letters of credit may:</w:t>
      </w:r>
    </w:p>
    <w:p>
      <w:pPr>
        <w:spacing w:after="0" w:line="89" w:lineRule="exact"/>
        <w:rPr>
          <w:sz w:val="20"/>
          <w:szCs w:val="20"/>
          <w:color w:val="auto"/>
        </w:rPr>
      </w:pPr>
    </w:p>
    <w:p>
      <w:pPr>
        <w:ind w:left="660" w:right="5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impact our ability to obtain additional financing in the future for working capital, capital expenditures, acquisitions or other general corporate purposes or to repurchase our senior unsecured notes from holders upon any change of control;</w:t>
      </w:r>
    </w:p>
    <w:p>
      <w:pPr>
        <w:spacing w:after="0" w:line="89"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pacing w:after="0" w:line="65" w:lineRule="exact"/>
        <w:rPr>
          <w:rFonts w:ascii="Arial" w:cs="Arial" w:eastAsia="Arial" w:hAnsi="Arial"/>
          <w:sz w:val="17"/>
          <w:szCs w:val="17"/>
          <w:color w:val="auto"/>
        </w:rPr>
      </w:pPr>
    </w:p>
    <w:p>
      <w:pPr>
        <w:ind w:left="660" w:right="1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us to the risk of increased sensitivity to interest rate increases based upon variable interest rates, including interest on $384.7 million of our $734.7 million senior secured term loans for which we do not currently have interest rate hedges and borrowings (if any) under our revolving credit facility;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possibility of an event of default under the financial and operating covenants contained in our debt instruments; and</w:t>
      </w:r>
    </w:p>
    <w:p>
      <w:pPr>
        <w:spacing w:after="0" w:line="144"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89"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Our ability to make scheduled payments of principal or interest with respect to our debt, including our outstanding senior unsecured notes, our secured term loans, any revolving loans and our finance leases, and to pay fee obligations with respect to our letters of credit, will depend on our ability to generate cash and our future financial results. If we are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9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Despite our substantial levels of outstanding debt and letters of credit, we could incur substantially more debt and letter of credit obligations in the future.</w:t>
      </w:r>
    </w:p>
    <w:p>
      <w:pPr>
        <w:spacing w:after="0" w:line="8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Although our revolving credit agreement and the indentures and loan agreements governing our other outstanding debt contain restrictions on the incurrence of additional debt (including, for this purpose, reimbursement obligations under outstanding letters of credit), these restrictions are subject to a number of qualifications and exceptions and the additional debt which we might incur in the future in compliance with these restrictions could be substantial. In particular, as of December 31, 2019, we had up to approximately $229.2 million available for additional borrowings and letters of credit under our revolving credit facility. Our revolving credit agreement and the indentures and loan agreement governing our other outstanding debt also allow us to borrow significant amounts of money from other sources. These restrictions also do not prevent us from incurring obligations (such as operating leases) that do not constitute “debt” or “indebtedness” as defined in the relevant agreements. To the extent we incur in the future additional debt and letter of credit or other obligations, the related risks would increase.</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The covenants in our debt agreements restrict our ability to operate our business and might lead to a default under our debt agreements.</w:t>
      </w:r>
    </w:p>
    <w:p>
      <w:pPr>
        <w:spacing w:after="0" w:line="16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revolving credit agreement and the indentures and loan agreement governing our other outstanding debt limit, among other things, the extent to which the Company or our restricted subsidiaries can:</w:t>
      </w:r>
    </w:p>
    <w:p>
      <w:pPr>
        <w:spacing w:after="0" w:line="8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incur or guarantee additional indebtedness (including, for this purpose, reimbursement obligations under letters of credit) or issue preferred stock;</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other distributions to our stockholders;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or redeem capital stock or subordinated indebtedness;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restrictions on the ability of our restricted subsidiaries to pay dividends or make other payments to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 including capital stock of our subsidiaries;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 or merge with or into other companies or transfer all or substantially all of our assets;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4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 were accelerated, our assets might not be sufficient to repay in full that debt and our other debt.</w:t>
      </w:r>
    </w:p>
    <w:p>
      <w:pPr>
        <w:spacing w:after="0" w:line="9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Our revolving credit agreement and the indenture and loan agreement governing our other outstanding debt also contain cross-default and cross-acceleration provisions. Under these provisions, a default or acceleration under one instrument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 favorable terms, on a timely basis or at all. Alternatively, such a default could require us to sell assets and otherwise curtail operations to pay our creditors. The proceeds of such a sale of assets or curtailment of operations might not enable us to pay all of our liabilities.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Our Common Stock</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Massachusetts Business Corporation Act and our By-Laws contain certain anti-takeover provisions.</w:t>
      </w:r>
    </w:p>
    <w:p>
      <w:pPr>
        <w:spacing w:after="0" w:line="14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82" w:lineRule="exact"/>
        <w:rPr>
          <w:sz w:val="20"/>
          <w:szCs w:val="20"/>
          <w:color w:val="auto"/>
        </w:rPr>
      </w:pPr>
    </w:p>
    <w:p>
      <w:pPr>
        <w:jc w:val="center"/>
        <w:ind w:right="7460"/>
        <w:spacing w:after="0"/>
        <w:tabs>
          <w:tab w:leader="none" w:pos="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jc w:val="center"/>
        <w:ind w:right="940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ind w:right="9380"/>
        <w:spacing w:after="0"/>
        <w:tabs>
          <w:tab w:leader="none" w:pos="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principal executive offices are in Norwell, Massachusetts. In the first quarter of 2020, we purchased our primary executive office building in Norwell which occupies 104,008 square feet. We also currently lease 52,418 square feet of additional office space in Norwell under arrangements which may not expire until 2042. We also have regional administrative offices in Texas and South Carolina, as well as Alberta, Canada and Hyderabad, India. Our properties are sufficient and suitable for our current needs.</w:t>
      </w:r>
    </w:p>
    <w:p>
      <w:pPr>
        <w:spacing w:after="0" w:line="106"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We have a network of more than 480 service locations across 49 states, eight Canadian provinces, Puerto Rico and Mexico. Those service locations include service centers, satellite locations, branches, active hazardous waste management properties, lodging facilities and oil processing facilities. The service centers and branches are the principal sales and service centers from which we provide our environmental, energy and industrial services. The active hazardous waste management properties include incinerator facilities, commercial and non-commercial landfills, wastewater treatment facilities, TSDFs, solvent recovery management and recycling facilities, oil accumulation centers, oil terminals and oil re-refineries. Some of our properties offer multiple capabilities. The following sets forth certain information as of December 31, 2019 regarding our properties.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Centers, Satellite Locations and Branches</w:t>
      </w:r>
    </w:p>
    <w:p>
      <w:pPr>
        <w:spacing w:after="0" w:line="144"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have approximately 360 service centers, satellite locations and branches throughout the United States and Canada which serve as principal sales and service centers from which we provide parts cleaning services, containerized waste services, oil collection services and other environmental services.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Hazardous Waste Management Properties</w:t>
      </w:r>
    </w:p>
    <w:p>
      <w:pPr>
        <w:spacing w:after="0" w:line="144"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i w:val="1"/>
          <w:iCs w:val="1"/>
          <w:color w:val="auto"/>
        </w:rPr>
        <w:t xml:space="preserve">Incinerator Facilities. </w:t>
      </w:r>
      <w:r>
        <w:rPr>
          <w:rFonts w:ascii="Arial" w:cs="Arial" w:eastAsia="Arial" w:hAnsi="Arial"/>
          <w:sz w:val="17"/>
          <w:szCs w:val="17"/>
          <w:color w:val="auto"/>
        </w:rPr>
        <w:t>We own five operating incinerator facilities that have a total of nine incinerators with 561,721 tons of total practical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and an overall average utilization rate for 2019 of 84.6%.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product. Capacity utilization is calculated by dividing actual production tons by practical capacity at each incinerator.</w:t>
      </w: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18" w:right="2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5700" w:type="dxa"/>
            <w:vAlign w:val="bottom"/>
            <w:gridSpan w:val="2"/>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574"/>
        </w:trPr>
        <w:tc>
          <w:tcPr>
            <w:tcW w:w="114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Utilization Rate</w:t>
            </w:r>
          </w:p>
        </w:tc>
      </w:tr>
      <w:tr>
        <w:trPr>
          <w:trHeight w:val="203"/>
        </w:trPr>
        <w:tc>
          <w:tcPr>
            <w:tcW w:w="11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172"/>
              <w:spacing w:after="0"/>
              <w:rPr>
                <w:sz w:val="20"/>
                <w:szCs w:val="20"/>
                <w:color w:val="auto"/>
              </w:rPr>
            </w:pPr>
            <w:r>
              <w:rPr>
                <w:rFonts w:ascii="Arial" w:cs="Arial" w:eastAsia="Arial" w:hAnsi="Arial"/>
                <w:sz w:val="16"/>
                <w:szCs w:val="16"/>
                <w:b w:val="1"/>
                <w:bCs w:val="1"/>
                <w:color w:val="auto"/>
              </w:rPr>
              <w:t>Practical Capacity</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3"/>
              </w:rPr>
              <w:t>Year Ended</w:t>
            </w:r>
          </w:p>
        </w:tc>
      </w:tr>
      <w:tr>
        <w:trPr>
          <w:trHeight w:val="210"/>
        </w:trPr>
        <w:tc>
          <w:tcPr>
            <w:tcW w:w="1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920" w:type="dxa"/>
            <w:vAlign w:val="bottom"/>
            <w:gridSpan w:val="2"/>
          </w:tcPr>
          <w:p>
            <w:pPr>
              <w:ind w:left="320"/>
              <w:spacing w:after="0"/>
              <w:rPr>
                <w:sz w:val="20"/>
                <w:szCs w:val="20"/>
                <w:color w:val="auto"/>
              </w:rPr>
            </w:pPr>
            <w:r>
              <w:rPr>
                <w:rFonts w:ascii="Arial" w:cs="Arial" w:eastAsia="Arial" w:hAnsi="Arial"/>
                <w:sz w:val="16"/>
                <w:szCs w:val="16"/>
                <w:b w:val="1"/>
                <w:bCs w:val="1"/>
                <w:color w:val="auto"/>
              </w:rPr>
              <w:t># of Incinerators</w:t>
            </w:r>
          </w:p>
        </w:tc>
        <w:tc>
          <w:tcPr>
            <w:tcW w:w="1800" w:type="dxa"/>
            <w:vAlign w:val="bottom"/>
          </w:tcPr>
          <w:p>
            <w:pPr>
              <w:jc w:val="right"/>
              <w:ind w:right="592"/>
              <w:spacing w:after="0"/>
              <w:rPr>
                <w:sz w:val="20"/>
                <w:szCs w:val="20"/>
                <w:color w:val="auto"/>
              </w:rPr>
            </w:pPr>
            <w:r>
              <w:rPr>
                <w:rFonts w:ascii="Arial" w:cs="Arial" w:eastAsia="Arial" w:hAnsi="Arial"/>
                <w:sz w:val="16"/>
                <w:szCs w:val="16"/>
                <w:b w:val="1"/>
                <w:bCs w:val="1"/>
                <w:color w:val="auto"/>
              </w:rPr>
              <w:t>(Tons)</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2019</w:t>
            </w:r>
          </w:p>
        </w:tc>
      </w:tr>
      <w:tr>
        <w:trPr>
          <w:trHeight w:val="33"/>
        </w:trPr>
        <w:tc>
          <w:tcPr>
            <w:tcW w:w="11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Arkansas</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145,072</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Nebraska</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58,808</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87.9%</w:t>
            </w:r>
          </w:p>
        </w:tc>
      </w:tr>
      <w:tr>
        <w:trPr>
          <w:trHeight w:val="27"/>
        </w:trPr>
        <w:tc>
          <w:tcPr>
            <w:tcW w:w="11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66,815</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43"/>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Texas</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165,500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78.9%</w:t>
            </w:r>
          </w:p>
        </w:tc>
      </w:tr>
      <w:tr>
        <w:trPr>
          <w:trHeight w:val="27"/>
        </w:trPr>
        <w:tc>
          <w:tcPr>
            <w:tcW w:w="11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Ontario, Canada</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125,526</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57"/>
        </w:trPr>
        <w:tc>
          <w:tcPr>
            <w:tcW w:w="11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561,721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84.6%</w:t>
            </w:r>
          </w:p>
        </w:tc>
      </w:tr>
      <w:tr>
        <w:trPr>
          <w:trHeight w:val="20"/>
        </w:trPr>
        <w:tc>
          <w:tcPr>
            <w:tcW w:w="1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incinerators offer a wide range of technological capabilities to customers through this network. We provide incineration in the United States through one fluidized bed thermal oxidation unit and three solids and liquids-capable incinerator facilities and we operate in Canada one active hazardous waste liquid injection incinerator.</w:t>
      </w:r>
    </w:p>
    <w:p>
      <w:pPr>
        <w:spacing w:after="0" w:line="10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Commercial and Non-Commercial Landfills. </w:t>
      </w:r>
      <w:r>
        <w:rPr>
          <w:rFonts w:ascii="Arial" w:cs="Arial" w:eastAsia="Arial" w:hAnsi="Arial"/>
          <w:sz w:val="18"/>
          <w:szCs w:val="18"/>
          <w:color w:val="auto"/>
        </w:rPr>
        <w:t>In the United States and Canada, we operate nine commercial landfills with approximately 28.2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cubic yards of remaining highly probable airspace. Seven of our commercial landfills are designed and permitted for the disposal of hazardous waste and two landfills are operated for nonhazardous industrial waste disposal and, to a lesser extent, municipal solid waste. In addition to our commercial landfills, we also own and operate two non-commercial landfills that only accept waste from our on-site incinerators. See "Landfill Accounting" within Note 2, "Significant Accounting Policies," to our consolidated financial statements included in Item 8 of this report for additional information on our commercial and non-commercial landfills.</w:t>
      </w:r>
    </w:p>
    <w:p>
      <w:pPr>
        <w:spacing w:after="0" w:line="11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i w:val="1"/>
          <w:iCs w:val="1"/>
          <w:color w:val="auto"/>
        </w:rPr>
        <w:t xml:space="preserve">Wastewater Treatment Facilities. </w:t>
      </w:r>
      <w:r>
        <w:rPr>
          <w:rFonts w:ascii="Arial" w:cs="Arial" w:eastAsia="Arial" w:hAnsi="Arial"/>
          <w:sz w:val="18"/>
          <w:szCs w:val="18"/>
          <w:color w:val="auto"/>
        </w:rPr>
        <w:t>We operate a total of nine facilities, of which eight are owned and one is leased, that offer a range of wastewater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technologies and services. Wastewater treatment consists primarily of three types of services: hazardous wastewater treatment, sludge de-watering or drying and non-hazardous wastewater treatment.</w:t>
      </w:r>
    </w:p>
    <w:p>
      <w:pPr>
        <w:spacing w:after="0" w:line="10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 xml:space="preserve">Treatment, Storage and Disposal Facilities. </w:t>
      </w:r>
      <w:r>
        <w:rPr>
          <w:rFonts w:ascii="Arial" w:cs="Arial" w:eastAsia="Arial" w:hAnsi="Arial"/>
          <w:sz w:val="18"/>
          <w:szCs w:val="18"/>
          <w:color w:val="auto"/>
        </w:rPr>
        <w:t>We operate 18 TSDFs, of which 16 are owned and two are leased, in the United States and Canada. Our</w:t>
      </w:r>
      <w:r>
        <w:rPr>
          <w:rFonts w:ascii="Arial" w:cs="Arial" w:eastAsia="Arial" w:hAnsi="Arial"/>
          <w:sz w:val="18"/>
          <w:szCs w:val="18"/>
          <w:i w:val="1"/>
          <w:iCs w:val="1"/>
          <w:color w:val="auto"/>
        </w:rPr>
        <w:t xml:space="preserve"> </w:t>
      </w:r>
      <w:r>
        <w:rPr>
          <w:rFonts w:ascii="Arial" w:cs="Arial" w:eastAsia="Arial" w:hAnsi="Arial"/>
          <w:sz w:val="18"/>
          <w:szCs w:val="18"/>
          <w:color w:val="auto"/>
        </w:rPr>
        <w:t>TSDFs facilitate the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hazardous and industrial waste transport, together with drivers trained in transportation and waste handling procedures, provide for the movement of customer waste streams.</w:t>
      </w:r>
    </w:p>
    <w:p>
      <w:pPr>
        <w:spacing w:after="0" w:line="107" w:lineRule="exact"/>
        <w:rPr>
          <w:sz w:val="20"/>
          <w:szCs w:val="20"/>
          <w:color w:val="auto"/>
        </w:rPr>
      </w:pPr>
    </w:p>
    <w:p>
      <w:pPr>
        <w:ind w:right="1720" w:firstLine="405"/>
        <w:spacing w:after="0" w:line="407" w:lineRule="auto"/>
        <w:rPr>
          <w:sz w:val="20"/>
          <w:szCs w:val="20"/>
          <w:color w:val="auto"/>
        </w:rPr>
      </w:pPr>
      <w:r>
        <w:rPr>
          <w:rFonts w:ascii="Arial" w:cs="Arial" w:eastAsia="Arial" w:hAnsi="Arial"/>
          <w:sz w:val="18"/>
          <w:szCs w:val="18"/>
          <w:i w:val="1"/>
          <w:iCs w:val="1"/>
          <w:color w:val="auto"/>
        </w:rPr>
        <w:t xml:space="preserve">Solvent Recovery Management and Recycling Operations. </w:t>
      </w:r>
      <w:r>
        <w:rPr>
          <w:rFonts w:ascii="Arial" w:cs="Arial" w:eastAsia="Arial" w:hAnsi="Arial"/>
          <w:sz w:val="18"/>
          <w:szCs w:val="18"/>
          <w:color w:val="auto"/>
        </w:rPr>
        <w:t>We own two facilities specializing in solvent recovery management.</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Oil Processing, Blending and Packaging Facilities</w:t>
      </w:r>
    </w:p>
    <w:p>
      <w:pPr>
        <w:ind w:right="160" w:firstLine="405"/>
        <w:spacing w:after="0" w:line="277" w:lineRule="auto"/>
        <w:rPr>
          <w:sz w:val="20"/>
          <w:szCs w:val="20"/>
          <w:color w:val="auto"/>
        </w:rPr>
      </w:pPr>
      <w:r>
        <w:rPr>
          <w:rFonts w:ascii="Arial" w:cs="Arial" w:eastAsia="Arial" w:hAnsi="Arial"/>
          <w:sz w:val="18"/>
          <w:szCs w:val="18"/>
          <w:i w:val="1"/>
          <w:iCs w:val="1"/>
          <w:color w:val="auto"/>
        </w:rPr>
        <w:t xml:space="preserve">Oil Accumulation Centers. </w:t>
      </w:r>
      <w:r>
        <w:rPr>
          <w:rFonts w:ascii="Arial" w:cs="Arial" w:eastAsia="Arial" w:hAnsi="Arial"/>
          <w:sz w:val="18"/>
          <w:szCs w:val="18"/>
          <w:color w:val="auto"/>
        </w:rPr>
        <w:t>We operate a total of nine accumulation centers, of which eight are owned and one is leased, used for accumulating waste</w:t>
      </w:r>
      <w:r>
        <w:rPr>
          <w:rFonts w:ascii="Arial" w:cs="Arial" w:eastAsia="Arial" w:hAnsi="Arial"/>
          <w:sz w:val="18"/>
          <w:szCs w:val="18"/>
          <w:i w:val="1"/>
          <w:iCs w:val="1"/>
          <w:color w:val="auto"/>
        </w:rPr>
        <w:t xml:space="preserve"> </w:t>
      </w:r>
      <w:r>
        <w:rPr>
          <w:rFonts w:ascii="Arial" w:cs="Arial" w:eastAsia="Arial" w:hAnsi="Arial"/>
          <w:sz w:val="18"/>
          <w:szCs w:val="18"/>
          <w:color w:val="auto"/>
        </w:rPr>
        <w:t>oil from our branches.</w:t>
      </w:r>
    </w:p>
    <w:p>
      <w:pPr>
        <w:spacing w:after="0" w:line="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Oil Terminals. </w:t>
      </w:r>
      <w:r>
        <w:rPr>
          <w:rFonts w:ascii="Arial" w:cs="Arial" w:eastAsia="Arial" w:hAnsi="Arial"/>
          <w:sz w:val="18"/>
          <w:szCs w:val="18"/>
          <w:color w:val="auto"/>
        </w:rPr>
        <w:t>We operate a total of 53 oil terminals, of which 33 are owned and 20 are leased, which collect or process used oil prior to delivery to re-refineries or distribution as RFO.</w:t>
      </w:r>
    </w:p>
    <w:p>
      <w:pPr>
        <w:spacing w:after="0" w:line="89" w:lineRule="exact"/>
        <w:rPr>
          <w:sz w:val="20"/>
          <w:szCs w:val="20"/>
          <w:color w:val="auto"/>
        </w:rPr>
      </w:pPr>
    </w:p>
    <w:p>
      <w:pPr>
        <w:jc w:val="both"/>
        <w:ind w:right="40" w:firstLine="405"/>
        <w:spacing w:after="0" w:line="342" w:lineRule="auto"/>
        <w:rPr>
          <w:sz w:val="20"/>
          <w:szCs w:val="20"/>
          <w:color w:val="auto"/>
        </w:rPr>
      </w:pPr>
      <w:r>
        <w:rPr>
          <w:rFonts w:ascii="Arial" w:cs="Arial" w:eastAsia="Arial" w:hAnsi="Arial"/>
          <w:sz w:val="16"/>
          <w:szCs w:val="16"/>
          <w:i w:val="1"/>
          <w:iCs w:val="1"/>
          <w:color w:val="auto"/>
        </w:rPr>
        <w:t xml:space="preserve">Oil Recycling and Re-refining Facilities. </w:t>
      </w:r>
      <w:r>
        <w:rPr>
          <w:rFonts w:ascii="Arial" w:cs="Arial" w:eastAsia="Arial" w:hAnsi="Arial"/>
          <w:sz w:val="16"/>
          <w:szCs w:val="16"/>
          <w:color w:val="auto"/>
        </w:rPr>
        <w:t>We own six oil re-refineries, five in the United States and one in Canada. With more than 200 million gallons</w:t>
      </w:r>
      <w:r>
        <w:rPr>
          <w:rFonts w:ascii="Arial" w:cs="Arial" w:eastAsia="Arial" w:hAnsi="Arial"/>
          <w:sz w:val="16"/>
          <w:szCs w:val="16"/>
          <w:i w:val="1"/>
          <w:iCs w:val="1"/>
          <w:color w:val="auto"/>
        </w:rPr>
        <w:t xml:space="preserve"> </w:t>
      </w:r>
      <w:r>
        <w:rPr>
          <w:rFonts w:ascii="Arial" w:cs="Arial" w:eastAsia="Arial" w:hAnsi="Arial"/>
          <w:sz w:val="16"/>
          <w:szCs w:val="16"/>
          <w:color w:val="auto"/>
        </w:rPr>
        <w:t>of used oil processed annually, we were able to return 191 million gallons of new re-refined oil, lubricants and byproducts back into the marketplace in 2019.</w:t>
      </w:r>
    </w:p>
    <w:p>
      <w:pPr>
        <w:spacing w:after="0" w:line="4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i w:val="1"/>
          <w:iCs w:val="1"/>
          <w:color w:val="auto"/>
        </w:rPr>
        <w:t xml:space="preserve">Oil Packaging and Blending Facilities. </w:t>
      </w:r>
      <w:r>
        <w:rPr>
          <w:rFonts w:ascii="Arial" w:cs="Arial" w:eastAsia="Arial" w:hAnsi="Arial"/>
          <w:sz w:val="18"/>
          <w:szCs w:val="18"/>
          <w:color w:val="auto"/>
        </w:rPr>
        <w:t>We operate a total of five oil packaging and blending facilities, of which three are owned and two are leased,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used for blending and packaging oil from our branches.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Facilities</w:t>
      </w:r>
    </w:p>
    <w:p>
      <w:pPr>
        <w:spacing w:after="0" w:line="14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Lodge Operations. </w:t>
      </w:r>
      <w:r>
        <w:rPr>
          <w:rFonts w:ascii="Arial" w:cs="Arial" w:eastAsia="Arial" w:hAnsi="Arial"/>
          <w:sz w:val="18"/>
          <w:szCs w:val="18"/>
          <w:color w:val="auto"/>
        </w:rPr>
        <w:t>We own and operate six fixed lodges, five of which are in Western Canada and a single lodge in Texas. These lodges are all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on sites which are leased by the Company under long-term land lease agreements.</w:t>
      </w:r>
    </w:p>
    <w:p>
      <w:pPr>
        <w:spacing w:after="0" w:line="8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i w:val="1"/>
          <w:iCs w:val="1"/>
          <w:color w:val="auto"/>
        </w:rPr>
        <w:t xml:space="preserve">Camps. </w:t>
      </w:r>
      <w:r>
        <w:rPr>
          <w:rFonts w:ascii="Arial" w:cs="Arial" w:eastAsia="Arial" w:hAnsi="Arial"/>
          <w:sz w:val="16"/>
          <w:szCs w:val="16"/>
          <w:color w:val="auto"/>
        </w:rPr>
        <w:t>We operate various camp facilities that can grow and shrink in size and location. Generally, we have ongoing operations at one to two larger</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that we expect to operate on a multi-year basis. Additionally, we have five office complexes, two mini-camps and approximately 20 single and double occupancy drill camps in our fleet that can operate at any time. All of our camp facilities are owned and located on various sites throughout Western Canada. Sites for the larger facilities are generally leased, whereas sites for our smaller facilities are generally provided by our customers.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See Note 18, "Commitments and Contingencies," to our consolidated financial statements included in Item 8 of this report for a description of legal proceedings.</w:t>
      </w:r>
    </w:p>
    <w:p>
      <w:pPr>
        <w:spacing w:after="0" w:line="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240" w:top="118" w:right="5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common stock trades on the New York Stock Exchange ("NYSE") under the symbol CLH. On February 19, 2020, there were 261 stockholders of record of our common stock, excluding stockholders whose shares were held in nominee, or "street name" accounts through brokers or banks. On our last record date, 21,644 additional stockholders beneficially held shares in street name accounts.</w:t>
      </w:r>
    </w:p>
    <w:p>
      <w:pPr>
        <w:spacing w:after="0" w:line="10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for our stock repurchase program. In addition, our current credit agreement and indentures limit the amount we could pay as cash dividends on or for repurchase of our common stock. For additional information surrounding our stock repurchase program, see Note 15, "Stockholders' Equity," to our consolidated financial statements included in Item 8 of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a description of the securities which are authorized for issuance under our equity compensation plans.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Total Number of</w:t>
            </w:r>
          </w:p>
        </w:tc>
        <w:tc>
          <w:tcPr>
            <w:tcW w:w="2260" w:type="dxa"/>
            <w:vAlign w:val="bottom"/>
          </w:tcPr>
          <w:p>
            <w:pPr>
              <w:jc w:val="center"/>
              <w:ind w:right="56"/>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Shares Purchased as</w:t>
            </w:r>
          </w:p>
        </w:tc>
        <w:tc>
          <w:tcPr>
            <w:tcW w:w="226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Part of Publicly</w:t>
            </w:r>
          </w:p>
        </w:tc>
        <w:tc>
          <w:tcPr>
            <w:tcW w:w="226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Purchased Under the Plans or</w:t>
            </w: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w w:val="99"/>
              </w:rPr>
              <w:t>Average Price Paid</w:t>
            </w:r>
          </w:p>
        </w:tc>
        <w:tc>
          <w:tcPr>
            <w:tcW w:w="18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Announced Plans or</w:t>
            </w:r>
          </w:p>
        </w:tc>
        <w:tc>
          <w:tcPr>
            <w:tcW w:w="2260" w:type="dxa"/>
            <w:vAlign w:val="bottom"/>
            <w:vMerge w:val="restart"/>
          </w:tcPr>
          <w:p>
            <w:pPr>
              <w:jc w:val="center"/>
              <w:ind w:right="56"/>
              <w:spacing w:after="0" w:line="203" w:lineRule="exact"/>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122"/>
        </w:trPr>
        <w:tc>
          <w:tcPr>
            <w:tcW w:w="436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Shares Purchased</w:t>
            </w:r>
          </w:p>
        </w:tc>
        <w:tc>
          <w:tcPr>
            <w:tcW w:w="1600" w:type="dxa"/>
            <w:vAlign w:val="bottom"/>
            <w:gridSpan w:val="2"/>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360" w:type="dxa"/>
            <w:vAlign w:val="bottom"/>
            <w:vMerge w:val="restart"/>
          </w:tcPr>
          <w:p>
            <w:pPr>
              <w:ind w:left="1960"/>
              <w:spacing w:after="0"/>
              <w:rPr>
                <w:sz w:val="20"/>
                <w:szCs w:val="20"/>
                <w:color w:val="auto"/>
              </w:rPr>
            </w:pPr>
            <w:r>
              <w:rPr>
                <w:rFonts w:ascii="Arial" w:cs="Arial" w:eastAsia="Arial" w:hAnsi="Arial"/>
                <w:sz w:val="16"/>
                <w:szCs w:val="16"/>
                <w:b w:val="1"/>
                <w:bCs w:val="1"/>
                <w:color w:val="auto"/>
              </w:rPr>
              <w:t>Period</w:t>
            </w:r>
          </w:p>
        </w:tc>
        <w:tc>
          <w:tcPr>
            <w:tcW w:w="13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w w:val="95"/>
              </w:rPr>
              <w:t xml:space="preserve">Per Share </w:t>
            </w:r>
            <w:r>
              <w:rPr>
                <w:rFonts w:ascii="Arial" w:cs="Arial" w:eastAsia="Arial" w:hAnsi="Arial"/>
                <w:sz w:val="21"/>
                <w:szCs w:val="21"/>
                <w:b w:val="1"/>
                <w:bCs w:val="1"/>
                <w:color w:val="auto"/>
                <w:w w:val="95"/>
                <w:vertAlign w:val="superscript"/>
              </w:rPr>
              <w:t>(2)</w:t>
            </w:r>
          </w:p>
        </w:tc>
        <w:tc>
          <w:tcPr>
            <w:tcW w:w="18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Programs</w:t>
            </w:r>
          </w:p>
        </w:tc>
        <w:tc>
          <w:tcPr>
            <w:tcW w:w="22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(1)</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auto"/>
            </w:tcBorders>
            <w:gridSpan w:val="2"/>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2019 through October 31, 2019</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617</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74.78</w:t>
            </w:r>
          </w:p>
        </w:tc>
        <w:tc>
          <w:tcPr>
            <w:tcW w:w="18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2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289,684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November 1, 2019 through November 30, 2019</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21,966</w:t>
            </w:r>
          </w:p>
        </w:tc>
        <w:tc>
          <w:tcPr>
            <w:tcW w:w="300" w:type="dxa"/>
            <w:vAlign w:val="bottom"/>
          </w:tcPr>
          <w:p>
            <w:pPr>
              <w:spacing w:after="0"/>
              <w:rPr>
                <w:sz w:val="21"/>
                <w:szCs w:val="21"/>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83.36</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19,000</w:t>
            </w:r>
          </w:p>
        </w:tc>
        <w:tc>
          <w:tcPr>
            <w:tcW w:w="240" w:type="dxa"/>
            <w:vAlign w:val="bottom"/>
          </w:tcPr>
          <w:p>
            <w:pPr>
              <w:spacing w:after="0"/>
              <w:rPr>
                <w:sz w:val="21"/>
                <w:szCs w:val="21"/>
                <w:color w:val="auto"/>
              </w:rPr>
            </w:pPr>
          </w:p>
        </w:tc>
        <w:tc>
          <w:tcPr>
            <w:tcW w:w="2260" w:type="dxa"/>
            <w:vAlign w:val="bottom"/>
          </w:tcPr>
          <w:p>
            <w:pPr>
              <w:jc w:val="right"/>
              <w:ind w:right="16"/>
              <w:spacing w:after="0"/>
              <w:rPr>
                <w:sz w:val="20"/>
                <w:szCs w:val="20"/>
                <w:color w:val="auto"/>
              </w:rPr>
            </w:pPr>
            <w:r>
              <w:rPr>
                <w:rFonts w:ascii="Arial" w:cs="Arial" w:eastAsia="Arial" w:hAnsi="Arial"/>
                <w:sz w:val="18"/>
                <w:szCs w:val="18"/>
                <w:color w:val="auto"/>
              </w:rPr>
              <w:t>288,095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2019 through December 31, 2019</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59,899</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84.27</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40,329</w:t>
            </w:r>
          </w:p>
        </w:tc>
        <w:tc>
          <w:tcPr>
            <w:tcW w:w="2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284,684</w:t>
            </w:r>
          </w:p>
        </w:tc>
        <w:tc>
          <w:tcPr>
            <w:tcW w:w="0" w:type="dxa"/>
            <w:vAlign w:val="bottom"/>
          </w:tcPr>
          <w:p>
            <w:pPr>
              <w:spacing w:after="0"/>
              <w:rPr>
                <w:sz w:val="1"/>
                <w:szCs w:val="1"/>
                <w:color w:val="auto"/>
              </w:rPr>
            </w:pP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82,482</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83.95</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59,329</w:t>
            </w:r>
          </w:p>
        </w:tc>
        <w:tc>
          <w:tcPr>
            <w:tcW w:w="2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23,153 shares withheld by us from employees to satisfy employee tax obligations upon vesting of restricted shares granted under our long-term equity incentive programs.</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our stock repurchase program includes commissions paid to the brokers.</w:t>
      </w:r>
    </w:p>
    <w:p>
      <w:pPr>
        <w:spacing w:after="0" w:line="32" w:lineRule="exact"/>
        <w:rPr>
          <w:rFonts w:ascii="Arial" w:cs="Arial" w:eastAsia="Arial" w:hAnsi="Arial"/>
          <w:sz w:val="16"/>
          <w:szCs w:val="16"/>
          <w:color w:val="auto"/>
        </w:rPr>
      </w:pPr>
    </w:p>
    <w:p>
      <w:pPr>
        <w:ind w:left="660" w:hanging="328"/>
        <w:spacing w:after="0" w:line="25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a number of factors, including share price, cash required for business plans, trading volume and other conditions. During April 2018, we implemented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14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AMONG CLEAN HARBORS, INC.,</w:t>
      </w:r>
    </w:p>
    <w:p>
      <w:pPr>
        <w:spacing w:after="0" w:line="14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NYSE COMPOSITE INDEX, S&amp;P MIDCAP 400 INDEX, REFUSE SYSTEMS AND CUSTOM PEER GROUP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The following graph compares the five-year return from investing $100 in each of our common stock, the NYSE Composite Index, the S&amp;P Midcap 400 Index, and a custom peer group. In 2018, we selected a custom peer group that more closely aligns with the breadth and size of our business. This peer group is comprised of American Water Works Company, Inc., Casella Waste Systems, Inc., Civeo Corporation, Covanta Holding Corporation, Heritage-Crystal Clean, Inc., Iron Mountain Incorporated, Newpark Resources, Inc., Oil States International, Inc., Republic Services, Inc., Stericycle, Inc., Superior Energy Services, Inc., US Ecology, Inc., and Waste Management, Inc. In 2019, we removed the Refuse Systems comparative, which had previously been included in the Comparison of 5-Year Cumulative Total Return chart below, because we believe our custom peer group is more relevant.</w:t>
      </w:r>
    </w:p>
    <w:p>
      <w:pPr>
        <w:spacing w:after="0" w:line="8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values illustrated assume reinvestment of dividends on the ex-dividend date and compares relative performance since a particular starting date. In this instance, the starting date was December 31, 2014, when our common stock closed at $48.05 per share.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73025</wp:posOffset>
            </wp:positionV>
            <wp:extent cx="5848985" cy="3104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18" w:right="29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4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following summary of consolidated financial information has been derived from the audited consolidated financial statements included in Item 8, "Financial Statements and Supplementary Data," of this report and in the Form 10-Ks we previously filed with the SEC. This information should be reviewed in conjunction with Item 7, "Management's Discussion and Analysis of Financial Condition and Results of Operations," and the financial statements and notes thereto included in Item 8, "Financial Statements and Supplementary Data," of this report.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64"/>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2"/>
                <w:szCs w:val="2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21"/>
                <w:szCs w:val="21"/>
                <w:color w:val="auto"/>
              </w:rPr>
            </w:pPr>
          </w:p>
        </w:tc>
        <w:tc>
          <w:tcPr>
            <w:tcW w:w="1400" w:type="dxa"/>
            <w:vAlign w:val="bottom"/>
            <w:gridSpan w:val="5"/>
          </w:tcPr>
          <w:p>
            <w:pPr>
              <w:jc w:val="right"/>
              <w:ind w:right="120"/>
              <w:spacing w:after="0"/>
              <w:rPr>
                <w:sz w:val="20"/>
                <w:szCs w:val="20"/>
                <w:color w:val="auto"/>
              </w:rPr>
            </w:pPr>
            <w:r>
              <w:rPr>
                <w:rFonts w:ascii="Arial" w:cs="Arial" w:eastAsia="Arial" w:hAnsi="Arial"/>
                <w:sz w:val="18"/>
                <w:szCs w:val="18"/>
                <w:color w:val="auto"/>
              </w:rPr>
              <w:t>$  3,412,190</w:t>
            </w:r>
          </w:p>
        </w:tc>
        <w:tc>
          <w:tcPr>
            <w:tcW w:w="100" w:type="dxa"/>
            <w:vAlign w:val="bottom"/>
          </w:tcPr>
          <w:p>
            <w:pPr>
              <w:spacing w:after="0"/>
              <w:rPr>
                <w:sz w:val="21"/>
                <w:szCs w:val="21"/>
                <w:color w:val="auto"/>
              </w:rPr>
            </w:pPr>
          </w:p>
        </w:tc>
        <w:tc>
          <w:tcPr>
            <w:tcW w:w="1140" w:type="dxa"/>
            <w:vAlign w:val="bottom"/>
            <w:gridSpan w:val="4"/>
          </w:tcPr>
          <w:p>
            <w:pPr>
              <w:jc w:val="right"/>
              <w:ind w:right="28"/>
              <w:spacing w:after="0"/>
              <w:rPr>
                <w:sz w:val="20"/>
                <w:szCs w:val="20"/>
                <w:color w:val="auto"/>
              </w:rPr>
            </w:pPr>
            <w:r>
              <w:rPr>
                <w:rFonts w:ascii="Arial" w:cs="Arial" w:eastAsia="Arial" w:hAnsi="Arial"/>
                <w:sz w:val="18"/>
                <w:szCs w:val="18"/>
                <w:color w:val="auto"/>
              </w:rPr>
              <w:t>$  3,300,303</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  2,944,978</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2,755,226</w:t>
            </w:r>
          </w:p>
        </w:tc>
        <w:tc>
          <w:tcPr>
            <w:tcW w:w="4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9"/>
              </w:rPr>
              <w:t>3,275,137</w:t>
            </w:r>
          </w:p>
        </w:tc>
        <w:tc>
          <w:tcPr>
            <w:tcW w:w="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4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97,740</w:t>
            </w:r>
          </w:p>
        </w:tc>
        <w:tc>
          <w:tcPr>
            <w:tcW w:w="100" w:type="dxa"/>
            <w:vAlign w:val="bottom"/>
            <w:shd w:val="clear" w:color="auto" w:fill="CCEEFF"/>
          </w:tcPr>
          <w:p>
            <w:pPr>
              <w:spacing w:after="0"/>
              <w:rPr>
                <w:sz w:val="23"/>
                <w:szCs w:val="23"/>
                <w:color w:val="auto"/>
              </w:rPr>
            </w:pPr>
          </w:p>
        </w:tc>
        <w:tc>
          <w:tcPr>
            <w:tcW w:w="114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65,636</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100,739</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44,102</w:t>
            </w:r>
          </w:p>
        </w:tc>
        <w:tc>
          <w:tcPr>
            <w:tcW w:w="80" w:type="dxa"/>
            <w:vAlign w:val="bottom"/>
          </w:tcPr>
          <w:p>
            <w:pPr>
              <w:spacing w:after="0"/>
              <w:rPr>
                <w:sz w:val="23"/>
                <w:szCs w:val="23"/>
                <w:color w:val="auto"/>
              </w:rPr>
            </w:pPr>
          </w:p>
        </w:tc>
      </w:tr>
      <w:tr>
        <w:trPr>
          <w:trHeight w:val="270"/>
        </w:trPr>
        <w:tc>
          <w:tcPr>
            <w:tcW w:w="46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Earnings (loss) per share: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0"/>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9"/>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21"/>
                <w:szCs w:val="21"/>
                <w:color w:val="auto"/>
              </w:rPr>
            </w:pPr>
          </w:p>
        </w:tc>
      </w:tr>
      <w:tr>
        <w:trPr>
          <w:trHeight w:val="243"/>
        </w:trPr>
        <w:tc>
          <w:tcPr>
            <w:tcW w:w="46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1.74</w:t>
            </w:r>
          </w:p>
        </w:tc>
        <w:tc>
          <w:tcPr>
            <w:tcW w:w="100" w:type="dxa"/>
            <w:vAlign w:val="bottom"/>
          </w:tcPr>
          <w:p>
            <w:pPr>
              <w:spacing w:after="0"/>
              <w:rPr>
                <w:sz w:val="21"/>
                <w:szCs w:val="21"/>
                <w:color w:val="auto"/>
              </w:rPr>
            </w:pPr>
          </w:p>
        </w:tc>
        <w:tc>
          <w:tcPr>
            <w:tcW w:w="1140" w:type="dxa"/>
            <w:vAlign w:val="bottom"/>
            <w:gridSpan w:val="4"/>
          </w:tcPr>
          <w:p>
            <w:pPr>
              <w:jc w:val="right"/>
              <w:ind w:right="28"/>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 Financial Data:</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341"/>
        </w:trPr>
        <w:tc>
          <w:tcPr>
            <w:tcW w:w="4680" w:type="dxa"/>
            <w:vAlign w:val="bottom"/>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1400" w:type="dxa"/>
            <w:vAlign w:val="bottom"/>
            <w:gridSpan w:val="5"/>
          </w:tcPr>
          <w:p>
            <w:pPr>
              <w:jc w:val="right"/>
              <w:ind w:right="120"/>
              <w:spacing w:after="0"/>
              <w:rPr>
                <w:sz w:val="20"/>
                <w:szCs w:val="20"/>
                <w:color w:val="auto"/>
              </w:rPr>
            </w:pPr>
            <w:r>
              <w:rPr>
                <w:rFonts w:ascii="Arial" w:cs="Arial" w:eastAsia="Arial" w:hAnsi="Arial"/>
                <w:sz w:val="18"/>
                <w:szCs w:val="18"/>
                <w:color w:val="auto"/>
              </w:rPr>
              <w:t>540,317</w:t>
            </w:r>
          </w:p>
        </w:tc>
        <w:tc>
          <w:tcPr>
            <w:tcW w:w="100" w:type="dxa"/>
            <w:vAlign w:val="bottom"/>
          </w:tcPr>
          <w:p>
            <w:pPr>
              <w:spacing w:after="0"/>
              <w:rPr>
                <w:sz w:val="24"/>
                <w:szCs w:val="24"/>
                <w:color w:val="auto"/>
              </w:rPr>
            </w:pPr>
          </w:p>
        </w:tc>
        <w:tc>
          <w:tcPr>
            <w:tcW w:w="1140" w:type="dxa"/>
            <w:vAlign w:val="bottom"/>
            <w:gridSpan w:val="4"/>
          </w:tcPr>
          <w:p>
            <w:pPr>
              <w:jc w:val="right"/>
              <w:ind w:right="28"/>
              <w:spacing w:after="0"/>
              <w:rPr>
                <w:sz w:val="20"/>
                <w:szCs w:val="20"/>
                <w:color w:val="auto"/>
              </w:rPr>
            </w:pPr>
            <w:r>
              <w:rPr>
                <w:rFonts w:ascii="Arial" w:cs="Arial" w:eastAsia="Arial" w:hAnsi="Arial"/>
                <w:sz w:val="18"/>
                <w:szCs w:val="18"/>
                <w:color w:val="auto"/>
              </w:rPr>
              <w:t>491,005</w:t>
            </w:r>
          </w:p>
        </w:tc>
        <w:tc>
          <w:tcPr>
            <w:tcW w:w="1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425,657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400,354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504,167</w:t>
            </w:r>
          </w:p>
        </w:tc>
        <w:tc>
          <w:tcPr>
            <w:tcW w:w="80" w:type="dxa"/>
            <w:vAlign w:val="bottom"/>
          </w:tcPr>
          <w:p>
            <w:pPr>
              <w:spacing w:after="0"/>
              <w:rPr>
                <w:sz w:val="24"/>
                <w:szCs w:val="24"/>
                <w:color w:val="auto"/>
              </w:rPr>
            </w:pPr>
          </w:p>
        </w:tc>
      </w:tr>
      <w:tr>
        <w:trPr>
          <w:trHeight w:val="463"/>
        </w:trPr>
        <w:tc>
          <w:tcPr>
            <w:tcW w:w="4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0"/>
              </w:rPr>
              <w:t>As of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64"/>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4,108,904</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3,738,321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3,706,570</w:t>
            </w:r>
          </w:p>
        </w:tc>
        <w:tc>
          <w:tcPr>
            <w:tcW w:w="10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3,681,920</w:t>
            </w:r>
          </w:p>
        </w:tc>
        <w:tc>
          <w:tcPr>
            <w:tcW w:w="40" w:type="dxa"/>
            <w:vAlign w:val="bottom"/>
          </w:tcPr>
          <w:p>
            <w:pPr>
              <w:spacing w:after="0"/>
              <w:rPr>
                <w:sz w:val="21"/>
                <w:szCs w:val="21"/>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3,431,428</w:t>
            </w:r>
          </w:p>
        </w:tc>
        <w:tc>
          <w:tcPr>
            <w:tcW w:w="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 (including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1,561,651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1,572,556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1,629,537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1,633,272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1,382,543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1,269,813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1,169,756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1,188,202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97"/>
              </w:rPr>
              <w:t>1,084,241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1,096,282</w:t>
            </w:r>
          </w:p>
        </w:tc>
        <w:tc>
          <w:tcPr>
            <w:tcW w:w="80" w:type="dxa"/>
            <w:vAlign w:val="bottom"/>
          </w:tcPr>
          <w:p>
            <w:pPr>
              <w:spacing w:after="0"/>
              <w:rPr>
                <w:sz w:val="21"/>
                <w:szCs w:val="2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ind w:left="660" w:right="40" w:hanging="328"/>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2019 results include a $6.1 million pre-tax loss on early extinguishment of debt and a $0.7 million gain on the sale of a non-core line of business within our Environmental Services segment. The 2018 results include a $2.5 million pre-tax loss on early extinguishment of debt. The 2017 results include a net benefit of $93.0 million resulting from impacts of the tax law changes enacted in December of 2017, a $7.9 million pre-tax loss on early extinguishment of debt and a $30.7 million pre-tax gain on the sale of a non-core line of business within our Environmental Services segment. The 2016 results include a $34.0 million goodwill impairment charge and a $16.9 million pre-tax gain on the sale of a non-core line of business within our Environmental Services segment. The 2015 results include a $32.0 million goodwill impairment charge in our Environmental Services segment. In 2016, we did not record any income tax benefit as a result of the goodwill impairment charge. In 2015, we recorded an income tax benefit of $2.0 million as a result of the goodwill impairment charge.</w:t>
      </w:r>
    </w:p>
    <w:p>
      <w:pPr>
        <w:spacing w:after="0" w:line="1" w:lineRule="exact"/>
        <w:rPr>
          <w:rFonts w:ascii="Arial" w:cs="Arial" w:eastAsia="Arial" w:hAnsi="Arial"/>
          <w:sz w:val="17"/>
          <w:szCs w:val="17"/>
          <w:color w:val="auto"/>
        </w:rPr>
      </w:pPr>
    </w:p>
    <w:p>
      <w:pPr>
        <w:ind w:left="660" w:right="4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following is a reconciliation of net income (loss) to Adjusted EBITDA for the following periods (in thousands). See additional information regarding this non-GAAP measure under the heading </w:t>
      </w:r>
      <w:r>
        <w:rPr>
          <w:rFonts w:ascii="Arial" w:cs="Arial" w:eastAsia="Arial" w:hAnsi="Arial"/>
          <w:sz w:val="18"/>
          <w:szCs w:val="18"/>
          <w:i w:val="1"/>
          <w:iCs w:val="1"/>
          <w:color w:val="auto"/>
        </w:rPr>
        <w:t>"Adjusted EBITDA"</w:t>
      </w:r>
      <w:r>
        <w:rPr>
          <w:rFonts w:ascii="Arial" w:cs="Arial" w:eastAsia="Arial" w:hAnsi="Arial"/>
          <w:sz w:val="18"/>
          <w:szCs w:val="18"/>
          <w:color w:val="auto"/>
        </w:rPr>
        <w:t xml:space="preserve"> in Item 7, "Management's Discussion and Analysis of Financial Condition and Results of Operations," of this report.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for percentages)</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97,740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44,102</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26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10,136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9,806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10,402</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300,725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298,625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288,422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5"/>
              </w:rPr>
              <w:t>287,002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274,194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6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34,013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31,992</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(2,897)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1,380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6,131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78,670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81,094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85,808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83,525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76,553</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50,499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28,846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48,589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65,544</w:t>
            </w:r>
          </w:p>
        </w:tc>
      </w:tr>
      <w:tr>
        <w:trPr>
          <w:trHeight w:val="297"/>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540,317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491,005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425,657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5"/>
              </w:rPr>
              <w:t>400,354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504,167</w:t>
            </w:r>
          </w:p>
        </w:tc>
      </w:tr>
      <w:tr>
        <w:trPr>
          <w:trHeight w:val="352"/>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a percentage of total revenues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4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8" w:right="23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right="1260"/>
        <w:spacing w:after="0" w:line="409"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are North America’s leading provider of environmental, energy and industrial services supporting our customers in finding environmentally responsible solutions to further their sustainability goals in today's world.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North America and the largest provider of parts cleaning and related environmental services to commercial, industrial and automotive customers in North America.</w:t>
      </w:r>
    </w:p>
    <w:p>
      <w:pPr>
        <w:spacing w:after="0" w:line="9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have two operating segments</w:t>
      </w:r>
      <w:r>
        <w:rPr>
          <w:rFonts w:ascii="Arial" w:cs="Arial" w:eastAsia="Arial" w:hAnsi="Arial"/>
          <w:sz w:val="18"/>
          <w:szCs w:val="18"/>
          <w:i w:val="1"/>
          <w:iCs w:val="1"/>
          <w:color w:val="auto"/>
        </w:rPr>
        <w:t>;</w:t>
      </w:r>
      <w:r>
        <w:rPr>
          <w:rFonts w:ascii="Arial" w:cs="Arial" w:eastAsia="Arial" w:hAnsi="Arial"/>
          <w:sz w:val="18"/>
          <w:szCs w:val="18"/>
          <w:color w:val="auto"/>
        </w:rPr>
        <w:t xml:space="preserve"> (i) the Environmental Services segment and (ii) the Safety-Kleen segment. Performance of our segments is evaluated on several factors of which the primary financial measure is Adjusted EBITDA as described more fully below. The following is a discussion of how management evaluates its segments including key performance indicators that management uses to assess the segments’ results, as well as certain macroeconomic trends and influences that impact each reportable segment:</w:t>
      </w:r>
    </w:p>
    <w:p>
      <w:pPr>
        <w:spacing w:after="0" w:line="102" w:lineRule="exact"/>
        <w:rPr>
          <w:sz w:val="20"/>
          <w:szCs w:val="20"/>
          <w:color w:val="auto"/>
        </w:rPr>
      </w:pPr>
    </w:p>
    <w:p>
      <w:pPr>
        <w:ind w:left="980" w:hanging="324"/>
        <w:spacing w:after="0" w:line="270"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Services - </w:t>
      </w:r>
      <w:r>
        <w:rPr>
          <w:rFonts w:ascii="Arial" w:cs="Arial" w:eastAsia="Arial" w:hAnsi="Arial"/>
          <w:sz w:val="17"/>
          <w:szCs w:val="17"/>
          <w:color w:val="auto"/>
        </w:rPr>
        <w:t>Environmental Services segment results are predicated upon the demand by our customers for waste services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waste volumes generated by them and project work for which waste handling and/or disposal is required. In managing the business and evaluating performance, management tracks the volumes and mix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technology, changing regulations, competition, market pricing of our services and the management of our related operating costs. Environmental Services results are also impacted by the demand for planned and unplanned industrial related cleaning and maintenance services at customer sites and for environmental cleanup services on a scheduled or emergency basis, including response to national events such as major chemical spills, natural disasters or other events where immediate and specialized services are required.</w:t>
      </w:r>
    </w:p>
    <w:p>
      <w:pPr>
        <w:spacing w:after="0" w:line="96" w:lineRule="exact"/>
        <w:rPr>
          <w:rFonts w:ascii="Arial" w:cs="Arial" w:eastAsia="Arial" w:hAnsi="Arial"/>
          <w:sz w:val="17"/>
          <w:szCs w:val="17"/>
          <w:color w:val="auto"/>
        </w:rPr>
      </w:pPr>
    </w:p>
    <w:p>
      <w:pPr>
        <w:ind w:left="980" w:right="60" w:hanging="324"/>
        <w:spacing w:after="0" w:line="261"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Safety-Kleen - </w:t>
      </w:r>
      <w:r>
        <w:rPr>
          <w:rFonts w:ascii="Arial" w:cs="Arial" w:eastAsia="Arial" w:hAnsi="Arial"/>
          <w:sz w:val="17"/>
          <w:szCs w:val="17"/>
          <w:color w:val="auto"/>
        </w:rPr>
        <w:t>Safety-Kleen segment results are impacted by an array of core service and product offerings that serve to attract small quantity</w:t>
      </w:r>
      <w:r>
        <w:rPr>
          <w:rFonts w:ascii="Arial" w:cs="Arial" w:eastAsia="Arial" w:hAnsi="Arial"/>
          <w:sz w:val="17"/>
          <w:szCs w:val="17"/>
          <w:b w:val="1"/>
          <w:bCs w:val="1"/>
          <w:color w:val="auto"/>
        </w:rPr>
        <w:t xml:space="preserve"> </w:t>
      </w:r>
      <w:r>
        <w:rPr>
          <w:rFonts w:ascii="Arial" w:cs="Arial" w:eastAsia="Arial" w:hAnsi="Arial"/>
          <w:sz w:val="17"/>
          <w:szCs w:val="17"/>
          <w:color w:val="auto"/>
        </w:rPr>
        <w:t>waste producers as customers and integrate them into the Clean Harbors waste network. Core service offerings include parts washer services, containerized waste services, vac services, used motor oil collection and contract blending and packaging services. Key performance indicators tracked by the Company relative to these services include the number of parts washer services performed and pricing and volume of used motor oil and waste collected. Results from these services are primarily driven by the overall number of parts washers placed at customer sites and volumes of waste collected, as well as the demand for and frequency of other offered services. These factors can be impacted by overall economic conditions in the marketplace, especially in the automotive related area. In addition to its core service offerings, Safety-Kleen offers high quality recycled base and blended oil products to end users including fleet customers, distributors and manufacturers of oil products. Other product offerings include automotive related fluids and shop supplies. Relative to its oil related products, management tracks the Company's volumes and relative percentages of base and blended oil sales along with various pricing metrics associated with the commodity driven marketplace. The segment’s results are significantly impacted by overall market pricing and product mix associated with base and blended oil products and, more specifically, the market prices of Group II base oils. Costs incurred in connection with the collection of used oil and other raw materials associated with the segment’s oil related products can also be volatile. Our OilPlus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closed loop initiative, which results in the sale of our renewable oil products directly to our end customers, may also be impacted by changes in customer demand for high-quality, environmentally responsible recycled oil.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44"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Total revenues for 2019 increased 3.4% to $3.4 billion, compared with $3.3 billion in 2018. Our Environmental Services segment increased direct revenues $95.9 million in 2019 compared with 2018 due to greater activity at our sales and service branches and improvements in average pricing which was driven by a more profitable mix of waste streams across our incinerator network. Direct revenues recorded by Safety-Kleen increased $16.8 million in 2019 compared to 2018 as a result of continued growth across Safety-Kleen’s core service offerings and higher volumes of blended oil sales. Foreign currency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18" w:right="2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translation of our Canadian operations negatively impacted our consolidated direct revenues by $12.9 million in 2019 as compared to 2018.</w:t>
      </w:r>
    </w:p>
    <w:p>
      <w:pPr>
        <w:spacing w:after="0" w:line="14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 xml:space="preserve">Income from operations in 2019 was $229.5 million, compared with $182.6 million in 2018. We reported net income in 2019 and 2018 of $97.7 million and $65.6 million, respectively. Adjusted EBITDA, which is the primary financial measure by which our segments are evaluated, increased 10.0% to $540.3 million in 2019 from $491.0 million in 2018. The increased level of Adjusted EBITDA in 2019 was primarily attributable to higher revenue amounts as described above and improved operating margins. Additional information regarding Adjusted EBITDA, which is a non-GAAP measure, including a reconciliation of Adjusted EBITDA to net income, appears below under </w:t>
      </w:r>
      <w:r>
        <w:rPr>
          <w:rFonts w:ascii="Arial" w:cs="Arial" w:eastAsia="Arial" w:hAnsi="Arial"/>
          <w:sz w:val="17"/>
          <w:szCs w:val="17"/>
          <w:i w:val="1"/>
          <w:iCs w:val="1"/>
          <w:color w:val="auto"/>
        </w:rPr>
        <w:t>"Adjusted EBITDA."</w:t>
      </w:r>
    </w:p>
    <w:p>
      <w:pPr>
        <w:spacing w:after="0" w:line="9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Net cash from operating activities for 2019 was $413.2 million, an increase of $40.0 million from 2018. Adjusted free cash flow, which management uses to measure our financial strength and ability to generate cash, was $208.5 million in 2019, which represented a $13.2 million increase over 2018 primarily due to greater levels of operating income and lower levels of working capital, which was due in part to a change in timing of interest payments associated with the debt refinancing completed in the third quarter of 2019. These increases were partially offset by increased capital and environmental spending. Additional information regarding adjusted free cash flow, which is a non-GAAP measure, including a reconciliation of adjusted free cash flow to net cash from operating activities, appears below under "</w:t>
      </w:r>
      <w:r>
        <w:rPr>
          <w:rFonts w:ascii="Arial" w:cs="Arial" w:eastAsia="Arial" w:hAnsi="Arial"/>
          <w:sz w:val="17"/>
          <w:szCs w:val="17"/>
          <w:i w:val="1"/>
          <w:iCs w:val="1"/>
          <w:color w:val="auto"/>
        </w:rPr>
        <w:t>Adjusted Free Cash Flow</w:t>
      </w:r>
      <w:r>
        <w:rPr>
          <w:rFonts w:ascii="Arial" w:cs="Arial" w:eastAsia="Arial" w:hAnsi="Arial"/>
          <w:sz w:val="17"/>
          <w:szCs w:val="17"/>
          <w:color w:val="auto"/>
        </w:rPr>
        <w:t>."</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18" w:right="3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Performance</w:t>
      </w:r>
    </w:p>
    <w:p>
      <w:pPr>
        <w:spacing w:after="0" w:line="148"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The primary financial measure by which we evaluate the performance of our segments is Adjusted EBITDA. The following table sets forth certain financial information associated with our results of operations for the years ended December 31, 2019, 2018 and 2017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ind w:left="600"/>
              <w:spacing w:after="0"/>
              <w:rPr>
                <w:sz w:val="20"/>
                <w:szCs w:val="20"/>
                <w:color w:val="auto"/>
              </w:rPr>
            </w:pPr>
            <w:r>
              <w:rPr>
                <w:rFonts w:ascii="Arial" w:cs="Arial" w:eastAsia="Arial" w:hAnsi="Arial"/>
                <w:sz w:val="16"/>
                <w:szCs w:val="16"/>
                <w:b w:val="1"/>
                <w:bCs w:val="1"/>
                <w:color w:val="auto"/>
                <w:w w:val="93"/>
              </w:rPr>
              <w:t>Summary of Operations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500" w:type="dxa"/>
            <w:vAlign w:val="bottom"/>
            <w:gridSpan w:val="8"/>
          </w:tcPr>
          <w:p>
            <w:pPr>
              <w:ind w:left="440"/>
              <w:spacing w:after="0"/>
              <w:rPr>
                <w:sz w:val="20"/>
                <w:szCs w:val="20"/>
                <w:color w:val="auto"/>
              </w:rPr>
            </w:pPr>
            <w:r>
              <w:rPr>
                <w:rFonts w:ascii="Arial" w:cs="Arial" w:eastAsia="Arial" w:hAnsi="Arial"/>
                <w:sz w:val="16"/>
                <w:szCs w:val="16"/>
                <w:b w:val="1"/>
                <w:bCs w:val="1"/>
                <w:color w:val="auto"/>
              </w:rPr>
              <w:t>For the years ended December 31,</w:t>
            </w:r>
          </w:p>
        </w:tc>
        <w:tc>
          <w:tcPr>
            <w:tcW w:w="180" w:type="dxa"/>
            <w:vAlign w:val="bottom"/>
          </w:tcPr>
          <w:p>
            <w:pPr>
              <w:spacing w:after="0"/>
              <w:rPr>
                <w:sz w:val="23"/>
                <w:szCs w:val="23"/>
                <w:color w:val="auto"/>
              </w:rPr>
            </w:pPr>
          </w:p>
        </w:tc>
        <w:tc>
          <w:tcPr>
            <w:tcW w:w="2200" w:type="dxa"/>
            <w:vAlign w:val="bottom"/>
            <w:gridSpan w:val="5"/>
          </w:tcPr>
          <w:p>
            <w:pPr>
              <w:ind w:left="460"/>
              <w:spacing w:after="0"/>
              <w:rPr>
                <w:sz w:val="20"/>
                <w:szCs w:val="20"/>
                <w:color w:val="auto"/>
              </w:rPr>
            </w:pPr>
            <w:r>
              <w:rPr>
                <w:rFonts w:ascii="Arial" w:cs="Arial" w:eastAsia="Arial" w:hAnsi="Arial"/>
                <w:sz w:val="16"/>
                <w:szCs w:val="16"/>
                <w:b w:val="1"/>
                <w:bCs w:val="1"/>
                <w:color w:val="auto"/>
              </w:rPr>
              <w:t>2019 over 2018</w:t>
            </w:r>
          </w:p>
        </w:tc>
        <w:tc>
          <w:tcPr>
            <w:tcW w:w="280" w:type="dxa"/>
            <w:vAlign w:val="bottom"/>
          </w:tcPr>
          <w:p>
            <w:pPr>
              <w:spacing w:after="0"/>
              <w:rPr>
                <w:sz w:val="23"/>
                <w:szCs w:val="23"/>
                <w:color w:val="auto"/>
              </w:rPr>
            </w:pPr>
          </w:p>
        </w:tc>
        <w:tc>
          <w:tcPr>
            <w:tcW w:w="1860" w:type="dxa"/>
            <w:vAlign w:val="bottom"/>
            <w:gridSpan w:val="3"/>
          </w:tcPr>
          <w:p>
            <w:pPr>
              <w:ind w:left="280"/>
              <w:spacing w:after="0"/>
              <w:rPr>
                <w:sz w:val="20"/>
                <w:szCs w:val="20"/>
                <w:color w:val="auto"/>
              </w:rPr>
            </w:pPr>
            <w:r>
              <w:rPr>
                <w:rFonts w:ascii="Arial" w:cs="Arial" w:eastAsia="Arial" w:hAnsi="Arial"/>
                <w:sz w:val="16"/>
                <w:szCs w:val="16"/>
                <w:b w:val="1"/>
                <w:bCs w:val="1"/>
                <w:color w:val="auto"/>
              </w:rPr>
              <w:t>2018 over 2017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6"/>
                <w:szCs w:val="16"/>
                <w:b w:val="1"/>
                <w:bCs w:val="1"/>
                <w:color w:val="auto"/>
              </w:rPr>
              <w:t>$ Change</w:t>
            </w: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 Change</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2,237,068</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2,141,194</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1,857,474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95,874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4.5%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283,720</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15.3%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1,178,129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73,396</w:t>
            </w:r>
          </w:p>
        </w:tc>
        <w:tc>
          <w:tcPr>
            <w:tcW w:w="11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6.7</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color w:val="auto"/>
              </w:rPr>
              <w:t>N/M</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3,412,190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2,944,978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111,887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355,325</w:t>
            </w:r>
          </w:p>
        </w:tc>
        <w:tc>
          <w:tcPr>
            <w:tcW w:w="11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12.1</w:t>
            </w:r>
          </w:p>
        </w:tc>
        <w:tc>
          <w:tcPr>
            <w:tcW w:w="0" w:type="dxa"/>
            <w:vAlign w:val="bottom"/>
          </w:tcPr>
          <w:p>
            <w:pPr>
              <w:spacing w:after="0"/>
              <w:rPr>
                <w:sz w:val="1"/>
                <w:szCs w:val="1"/>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1,576,705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1,373,789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43,333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202,916</w:t>
            </w:r>
          </w:p>
        </w:tc>
        <w:tc>
          <w:tcPr>
            <w:tcW w:w="11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14.8</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749,407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725,734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690,344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23,673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35,390</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15,262</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20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2,387,819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2,305,551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2,062,673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242,878</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11.8</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4"/>
              </w:rPr>
              <w:t>Selling, General and Administrative Expenses:</w:t>
            </w: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170,746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183,633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162,375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(12,887)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21,258</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13.1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147,731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5,788</w:t>
            </w:r>
          </w:p>
        </w:tc>
        <w:tc>
          <w:tcPr>
            <w:tcW w:w="11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166,964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166,595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146,542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20,053</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13.7</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503,747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(19,693)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47,099</w:t>
            </w:r>
          </w:p>
        </w:tc>
        <w:tc>
          <w:tcPr>
            <w:tcW w:w="11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10.3</w:t>
            </w:r>
          </w:p>
        </w:tc>
        <w:tc>
          <w:tcPr>
            <w:tcW w:w="0" w:type="dxa"/>
            <w:vAlign w:val="bottom"/>
          </w:tcPr>
          <w:p>
            <w:pPr>
              <w:spacing w:after="0"/>
              <w:rPr>
                <w:sz w:val="1"/>
                <w:szCs w:val="1"/>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Environmental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65,428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59,546</w:t>
            </w:r>
          </w:p>
        </w:tc>
        <w:tc>
          <w:tcPr>
            <w:tcW w:w="114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18.5</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Safety-Kleen</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282,378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282,029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249,811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32,218</w:t>
            </w:r>
          </w:p>
        </w:tc>
        <w:tc>
          <w:tcPr>
            <w:tcW w:w="11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12.9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Items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(188,345)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(171,880)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(145,464)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(16,465)</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(26,416)</w:t>
            </w:r>
          </w:p>
        </w:tc>
        <w:tc>
          <w:tcPr>
            <w:tcW w:w="11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0"/>
              </w:rPr>
              <w:t>(18.2)</w:t>
            </w:r>
          </w:p>
        </w:tc>
        <w:tc>
          <w:tcPr>
            <w:tcW w:w="0" w:type="dxa"/>
            <w:vAlign w:val="bottom"/>
          </w:tcPr>
          <w:p>
            <w:pPr>
              <w:spacing w:after="0"/>
              <w:rPr>
                <w:sz w:val="1"/>
                <w:szCs w:val="1"/>
                <w:color w:val="auto"/>
              </w:rPr>
            </w:pPr>
          </w:p>
        </w:tc>
      </w:tr>
      <w:tr>
        <w:trPr>
          <w:trHeight w:val="244"/>
        </w:trPr>
        <w:tc>
          <w:tcPr>
            <w:tcW w:w="320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540,317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491,005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425,657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49,312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65,348</w:t>
            </w:r>
          </w:p>
        </w:tc>
        <w:tc>
          <w:tcPr>
            <w:tcW w:w="114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15.4%</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w w:val="90"/>
              </w:rPr>
              <w:t>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N/M = not meaningful</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consolidated statements of operations, which consist of (i) accretion of environmental liabilities and (ii) depreciation and amortization.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There are many factors which have impacted and continue to impact our revenues. These factors include, but are not limited to: overall industrial activity and growth in North America, existence or non-existence of large scale environmental waste and remediation projects, competitive industry pricing, impacts of acquisitions and divestitures, the level of emergency response projects, base and blended oil pricing, market changes relative to the collection of used oil, the number of parts washers placed at customer sites and foreign currency translation. In addition, customer efforts to minimalize hazardous waste and changes in regulation can also impact our revenues.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90"/>
              </w:rPr>
              <w:t>For the years ended December 31,</w:t>
            </w:r>
          </w:p>
        </w:tc>
        <w:tc>
          <w:tcPr>
            <w:tcW w:w="180" w:type="dxa"/>
            <w:vAlign w:val="bottom"/>
          </w:tcPr>
          <w:p>
            <w:pPr>
              <w:spacing w:after="0"/>
              <w:rPr>
                <w:sz w:val="18"/>
                <w:szCs w:val="18"/>
                <w:color w:val="auto"/>
              </w:rPr>
            </w:pPr>
          </w:p>
        </w:tc>
        <w:tc>
          <w:tcPr>
            <w:tcW w:w="234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2019 over 2018</w:t>
            </w:r>
          </w:p>
        </w:tc>
        <w:tc>
          <w:tcPr>
            <w:tcW w:w="2040" w:type="dxa"/>
            <w:vAlign w:val="bottom"/>
            <w:gridSpan w:val="3"/>
          </w:tcPr>
          <w:p>
            <w:pPr>
              <w:jc w:val="right"/>
              <w:ind w:right="496"/>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ind w:right="376"/>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41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ind w:right="396"/>
              <w:spacing w:after="0"/>
              <w:rPr>
                <w:sz w:val="20"/>
                <w:szCs w:val="20"/>
                <w:color w:val="auto"/>
              </w:rPr>
            </w:pPr>
            <w:r>
              <w:rPr>
                <w:rFonts w:ascii="Arial" w:cs="Arial" w:eastAsia="Arial" w:hAnsi="Arial"/>
                <w:sz w:val="16"/>
                <w:szCs w:val="16"/>
                <w:b w:val="1"/>
                <w:bCs w:val="1"/>
                <w:color w:val="auto"/>
              </w:rPr>
              <w:t>%</w:t>
            </w:r>
          </w:p>
        </w:tc>
      </w:tr>
      <w:tr>
        <w:trPr>
          <w:trHeight w:val="237"/>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2,237,068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2,141,194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1,857,474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95,874</w:t>
            </w: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  $</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283,720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2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Environmental Services direct revenues for the year ended December 31, 2019 increased $95.9 million from the comparable period in 2018. Greater levels of activity at our sales and service branches and improved average pricing for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disposal of waste streams at our incinerators drove this increase in 2019. Service related revenues increased, in part, due to $15.1 million of emergency response work associated with Field and Emergency Response revenue streams during 2019, compared to $9.8 million during 2018. Despite a higher number of down days at our Deer Park facility in Q1 2019 as a result of a fire at a neighboring facility, utilization at our incinerator facilities in 2019 remained relatively consistent with the prior year at approximately 85%. A mix of higher priced waste streams resulted in an increase in direct revenues from our incinerator facilities year over year. Average price per ton increased approximately 11% from the prior year for a $35.1 million increase in direct revenues in 2019. These increases were partially offset by a decrease in Industrial Services revenue as we continue to focus on selecting higher margin turnaround projects. Also impacting the year over year change in direct revenues within this segment was the negative impact of foreign currency translation on our Canadian operations of $9.3 million.</w:t>
      </w:r>
    </w:p>
    <w:p>
      <w:pPr>
        <w:spacing w:after="0" w:line="11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Environmental Services direct revenues for the year ended December 31, 2018 increased $283.7 million from the comparable period in 2017. Included in the current year revenues was $154.0 million of direct revenues from the Veolia Business, which we acquired on February 23, 2018. Excluding the impacts from the Veolia Business, Environmental Services direct revenues increased $129.5 million primarily due to greater levels of activity at our sales and service branches and increased levels of disposal related revenues from improved pricing conditions and mix associated with waste streams at our incinerators in 2018. For the year ended December 31, 2018, landfill volumes increased slightly as compared to 2017. The utilization rate at our incinerators was 86.7% on a practical capacity of 561,721 tons for the year ended December 31, 2018, compared with 87.6% on a practical capacity of 561,721 tons in 2017. The decrease in utilization rates in 2018 was impacted by a slightly higher number of down days at our facilities during 2018; however, impacts on the profitability of the business from an increase in down days was more than offset by improved pricing conditions and an increase in volumes of higher margin waste streams received in 2018. The impact of foreign currency translation on our Canadian operations within the Environmental Services segment was minimal in the year ended December 31, 2018 as compared to 2017.</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Safety-Kleen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374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90"/>
              </w:rPr>
              <w:t>For the years ended December 31,</w:t>
            </w:r>
          </w:p>
        </w:tc>
        <w:tc>
          <w:tcPr>
            <w:tcW w:w="200" w:type="dxa"/>
            <w:vAlign w:val="bottom"/>
          </w:tcPr>
          <w:p>
            <w:pPr>
              <w:spacing w:after="0"/>
              <w:rPr>
                <w:sz w:val="18"/>
                <w:szCs w:val="18"/>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rPr>
              <w:t>2019 over 2018</w:t>
            </w:r>
          </w:p>
        </w:tc>
        <w:tc>
          <w:tcPr>
            <w:tcW w:w="2240" w:type="dxa"/>
            <w:vAlign w:val="bottom"/>
            <w:gridSpan w:val="3"/>
          </w:tcPr>
          <w:p>
            <w:pPr>
              <w:jc w:val="right"/>
              <w:ind w:right="616"/>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76"/>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7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56"/>
              <w:spacing w:after="0"/>
              <w:rPr>
                <w:sz w:val="20"/>
                <w:szCs w:val="20"/>
                <w:color w:val="auto"/>
              </w:rPr>
            </w:pPr>
            <w:r>
              <w:rPr>
                <w:rFonts w:ascii="Arial" w:cs="Arial" w:eastAsia="Arial" w:hAnsi="Arial"/>
                <w:sz w:val="16"/>
                <w:szCs w:val="16"/>
                <w:b w:val="1"/>
                <w:bCs w:val="1"/>
                <w:color w:val="auto"/>
              </w:rPr>
              <w:t>%</w:t>
            </w:r>
          </w:p>
        </w:tc>
      </w:tr>
      <w:tr>
        <w:trPr>
          <w:trHeight w:val="237"/>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7"/>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 revenues</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1,178,129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  1,161,282</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  1,087,886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16,847</w:t>
            </w:r>
          </w:p>
        </w:tc>
        <w:tc>
          <w:tcPr>
            <w:tcW w:w="1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  $</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73,396</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Safety-Kleen direct revenues for the year ended December 31, 2019 increased $16.8 million from the comparable period in 2018 primarily due to growth in the business’ core service offerings and increased blended oil volumes. Revenues generated through our core service offerings, such as handling of containerized waste and vacuum services, accounted for $22.3 million of incremental revenues driven both by volume and pricing increases. Higher volumes of blended oil sales and increased pricing of our used motor oil collections contributed $15.6 million and $5.2 million, respectively, to the growth in direct revenues from the comparable period in 2018. Revenue from contract blending and packaging also increased $9.3 million due to increased volume. These increases were partially offset by a $17.5 million decrease in base oil sales due to reductions in pricing experienced in 2019 in response to lower demand across the base oil market and lower base oil volumes, most significantly seen in the first quarter of 2019. Sales of recycled fuel oil and refinery bi-products decreased by $12.3 million from prior year due to a reduction in volume. In 2019, parts washer services were relatively consistent with the prior year. Also included in the change within this segment was the negative impact of foreign currency translation on our Canadian operations of $3.4 million.</w:t>
      </w:r>
    </w:p>
    <w:p>
      <w:pPr>
        <w:spacing w:after="0" w:line="86"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Safety-Kleen direct revenues for the year ended December 31, 2018 increased $73.4 million from the comparable period in 2017 primarily due to more favorable pricing on oil products and growth in the business’ core service offerings. Revenues generated through our core service offerings such as handling of containerized waste and vac services, parts washer services as well as sales of automotive and industrial cleaning products accounted for $21.3 million of incremental revenues. Increased base and blended volumes and oil pricing accounted for $34.7 million of incremental direct revenues from the comparable period in 2017. Sales of contract packaging and blending services, refinery bi-products and recycled fuel oil also increased by $38.9 million from the comparable period in 2017. These increases were partially offset by a decrease in used motor oil collection revenues of $19.5 million as market pricing for these services was negatively impacted as crude oil prices generally rose throughout the earlier parts of 2018. The impact of foreign currency translation on our Canadian operations within the Safety-Kleen segment was minimal in the year ended December 31, 2018 as compared to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while also continuing to optimize our management and operating structure in an effort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maintain and increase operating margins. These strategic cost saving actions help to reduce the impacts of naturally rising costs such as labor and other core operating costs across our businesses.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6"/>
          </w:tcPr>
          <w:p>
            <w:pPr>
              <w:ind w:left="620"/>
              <w:spacing w:after="0"/>
              <w:rPr>
                <w:sz w:val="20"/>
                <w:szCs w:val="20"/>
                <w:color w:val="auto"/>
              </w:rPr>
            </w:pPr>
            <w:r>
              <w:rPr>
                <w:rFonts w:ascii="Arial" w:cs="Arial" w:eastAsia="Arial" w:hAnsi="Arial"/>
                <w:sz w:val="16"/>
                <w:szCs w:val="16"/>
                <w:b w:val="1"/>
                <w:bCs w:val="1"/>
                <w:color w:val="auto"/>
              </w:rPr>
              <w:t>For the years ended December 31,</w:t>
            </w:r>
          </w:p>
        </w:tc>
        <w:tc>
          <w:tcPr>
            <w:tcW w:w="180" w:type="dxa"/>
            <w:vAlign w:val="bottom"/>
          </w:tcPr>
          <w:p>
            <w:pPr>
              <w:spacing w:after="0"/>
              <w:rPr>
                <w:sz w:val="18"/>
                <w:szCs w:val="18"/>
                <w:color w:val="auto"/>
              </w:rPr>
            </w:pPr>
          </w:p>
        </w:tc>
        <w:tc>
          <w:tcPr>
            <w:tcW w:w="236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2019 over 2018</w:t>
            </w:r>
          </w:p>
        </w:tc>
        <w:tc>
          <w:tcPr>
            <w:tcW w:w="2120" w:type="dxa"/>
            <w:vAlign w:val="bottom"/>
            <w:gridSpan w:val="3"/>
          </w:tcPr>
          <w:p>
            <w:pPr>
              <w:jc w:val="right"/>
              <w:ind w:right="554"/>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9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2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43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0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r>
      <w:tr>
        <w:trPr>
          <w:trHeight w:val="237"/>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7"/>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Change</w:t>
            </w: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1,620,038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$1,576,705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$1,373,789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43,333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2.7 %  $</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202,916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As a % of Direct revenues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148"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Environmental Services cost of revenues increased $43.3 million for the year ended December 31, 2019, however these costs decreased as a percentage of direct revenue due to a mix of higher priced waste streams in our incineration network, which increased profitability, and the results of ongoing cost reduction projects, including site consolidations. The overall cost increase was due to compensation and benefits related costs, equipment and supply costs and transportation, outside disposal and fuel costs which increased $20.4 million, $11.4 million and $3.9 million, respectively. The incremental operating costs were commensurate with greater activity levels in 2019.</w:t>
      </w:r>
    </w:p>
    <w:p>
      <w:pPr>
        <w:spacing w:after="0" w:line="91"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Environmental Services cost of revenues for the year ended December 31, 2018 increased $202.9 million from the comparable period in 2017. The acquired Veolia Business had cost of revenues of $131.2 million in the year ended December 31, 2018. Excluding these costs, Environmental Services cost of revenues for the year ended December 31, 2018 increased $71.7 million, however these costs as a percentage of direct revenues decreased slightly over the comparable period of 2017, due to a more favorable mix of waste streams in our incineration network which increased profitability. The overall cost increase was due to labor and benefit related costs, transportation, disposal and fuel costs, and equipment, supply and various other expenses of $45.4 million, $16.2 million and $10.0 million, respectively. The incremental operating costs were commensurate with greater activity levels in 2018 and overall inflationary pressure across several cost categories including certain commodity supplies such as fuel and other supplies.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80" w:type="dxa"/>
            <w:vAlign w:val="bottom"/>
            <w:gridSpan w:val="8"/>
          </w:tcPr>
          <w:p>
            <w:pPr>
              <w:ind w:left="48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460" w:type="dxa"/>
            <w:vAlign w:val="bottom"/>
            <w:gridSpan w:val="5"/>
          </w:tcPr>
          <w:p>
            <w:pPr>
              <w:ind w:left="480"/>
              <w:spacing w:after="0"/>
              <w:rPr>
                <w:sz w:val="20"/>
                <w:szCs w:val="20"/>
                <w:color w:val="auto"/>
              </w:rPr>
            </w:pPr>
            <w:r>
              <w:rPr>
                <w:rFonts w:ascii="Arial" w:cs="Arial" w:eastAsia="Arial" w:hAnsi="Arial"/>
                <w:sz w:val="16"/>
                <w:szCs w:val="16"/>
                <w:b w:val="1"/>
                <w:bCs w:val="1"/>
                <w:color w:val="auto"/>
              </w:rPr>
              <w:t>2019 over 2018</w:t>
            </w:r>
          </w:p>
        </w:tc>
        <w:tc>
          <w:tcPr>
            <w:tcW w:w="2240" w:type="dxa"/>
            <w:vAlign w:val="bottom"/>
            <w:gridSpan w:val="3"/>
          </w:tcPr>
          <w:p>
            <w:pPr>
              <w:jc w:val="right"/>
              <w:ind w:right="594"/>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6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2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r>
      <w:tr>
        <w:trPr>
          <w:trHeight w:val="237"/>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Change</w:t>
            </w: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749,407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725,734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690,344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23,673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3.3%  $</w:t>
            </w:r>
          </w:p>
        </w:tc>
        <w:tc>
          <w:tcPr>
            <w:tcW w:w="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35,390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740"/>
              <w:spacing w:after="0"/>
              <w:rPr>
                <w:sz w:val="20"/>
                <w:szCs w:val="20"/>
                <w:color w:val="auto"/>
              </w:rPr>
            </w:pPr>
            <w:r>
              <w:rPr>
                <w:rFonts w:ascii="Arial" w:cs="Arial" w:eastAsia="Arial" w:hAnsi="Arial"/>
                <w:sz w:val="18"/>
                <w:szCs w:val="18"/>
                <w:color w:val="auto"/>
                <w:w w:val="97"/>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4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Safety-Kleen cost of revenues for the year ended December 31, 2019 increased $23.7 million from the comparable period in 2018. As a percentage of direct revenues, these costs increased as well mainly due to lower average pricing on the oil products sold leading to reduced leverage of our fixed cost base. Increased logistics costs, largely due to weather at the beginning of the year, also negatively impacted costs as a percentage of direct revenues. The overall cost increase was due to higher compensation and benefits related costs of $8.5 million, raw material costs associated with blended oil products of $5.5 million and transportation, disposal and fuel costs of $2.7 million. These increases were in line with the overall growth of our core service offerings and blended oil sales.</w:t>
      </w:r>
    </w:p>
    <w:p>
      <w:pPr>
        <w:spacing w:after="0" w:line="112"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Safety-Kleen cost of revenues for the year ended December 31, 2018 increased $35.4 million from the comparable period in 2017, however these costs decreased as a percentage of revenue due to our effective management of the spread between used oil input costs and base oil pricing, as well as the implementation of new pricing strategies, which generated greater levels of direct revenue. The overall cost increase was primarily due to increased costs of raw materials associated with oil products of $15.8 million, increased transportation, disposal and fuel costs of $12.3 million and labor related costs of $6.3 million. These increases were in line with the overall growth of the business and increased costs of commodities.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 strive to manage our selling, general and administrative ("SG&amp;A")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ind w:left="620"/>
              <w:spacing w:after="0"/>
              <w:rPr>
                <w:sz w:val="20"/>
                <w:szCs w:val="20"/>
                <w:color w:val="auto"/>
              </w:rPr>
            </w:pPr>
            <w:r>
              <w:rPr>
                <w:rFonts w:ascii="Arial" w:cs="Arial" w:eastAsia="Arial" w:hAnsi="Arial"/>
                <w:sz w:val="16"/>
                <w:szCs w:val="16"/>
                <w:b w:val="1"/>
                <w:bCs w:val="1"/>
                <w:color w:val="auto"/>
              </w:rPr>
              <w:t>2019 over 2018</w:t>
            </w:r>
          </w:p>
        </w:tc>
        <w:tc>
          <w:tcPr>
            <w:tcW w:w="2040" w:type="dxa"/>
            <w:vAlign w:val="bottom"/>
            <w:gridSpan w:val="3"/>
          </w:tcPr>
          <w:p>
            <w:pPr>
              <w:jc w:val="right"/>
              <w:ind w:right="494"/>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12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9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0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r>
      <w:tr>
        <w:trPr>
          <w:trHeight w:val="23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Change</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170,746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183,633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5"/>
              </w:rPr>
              <w:t>162,375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   (12,887)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(7.0)%  $</w:t>
            </w: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21,258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As a % of Direct revenues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8"/>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148"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Environmental Services SG&amp;A expenses for the year ended December 31, 2019 decreased $12.9 million from the comparable period in 2018 and SG&amp;A as a percentage of direct revenue decreased as well. The primary driver of these decreases relates to certain trade receivables which were reserved for in 2018 and subsequently recovered in 2019, generating a favorable difference of nearly $13.0 million. The favorable resolution of a litigation matter further reduced SG&amp;A expenses by $5.5 million in 2019. These decreases were partially offset by a $5.2 million increase in compensation and benefits related costs which was consistent with the growth of the business in 2019. Excluding the recovery of trade receivables and litigation impacts, 2019 SG&amp;A expenses as a percentage of direct revenues still improved over the prior year.</w:t>
      </w:r>
    </w:p>
    <w:p>
      <w:pPr>
        <w:spacing w:after="0" w:line="9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Environmental Services SG&amp;A expenses for the year ended December 31, 2018 increased $21.3 million from the comparable period in 2017, however as a percentage of direct revenues, these costs remained consistent between the two periods. The increase in SG&amp;A expenses was primarily due to increases in salary, benefits and variable compensation related costs of $14.7 million and bad debt expense of $7.0 million, partially offset by cost reductions across various expense categories. The increases in salary, benefits and variable compensation are in line with the growth of the business in 2018 as compared to 2017.</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5"/>
          </w:tcPr>
          <w:p>
            <w:pPr>
              <w:ind w:left="420"/>
              <w:spacing w:after="0"/>
              <w:rPr>
                <w:sz w:val="20"/>
                <w:szCs w:val="20"/>
                <w:color w:val="auto"/>
              </w:rPr>
            </w:pPr>
            <w:r>
              <w:rPr>
                <w:rFonts w:ascii="Arial" w:cs="Arial" w:eastAsia="Arial" w:hAnsi="Arial"/>
                <w:sz w:val="16"/>
                <w:szCs w:val="16"/>
                <w:b w:val="1"/>
                <w:bCs w:val="1"/>
                <w:color w:val="auto"/>
              </w:rPr>
              <w:t>2019 over 2018</w:t>
            </w:r>
          </w:p>
        </w:tc>
        <w:tc>
          <w:tcPr>
            <w:tcW w:w="2060" w:type="dxa"/>
            <w:vAlign w:val="bottom"/>
            <w:gridSpan w:val="3"/>
          </w:tcPr>
          <w:p>
            <w:pPr>
              <w:jc w:val="right"/>
              <w:ind w:right="494"/>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2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9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20" w:type="dxa"/>
            <w:vAlign w:val="bottom"/>
          </w:tcPr>
          <w:p>
            <w:pPr>
              <w:jc w:val="right"/>
              <w:ind w:right="414"/>
              <w:spacing w:after="0"/>
              <w:rPr>
                <w:sz w:val="20"/>
                <w:szCs w:val="20"/>
                <w:color w:val="auto"/>
              </w:rPr>
            </w:pPr>
            <w:r>
              <w:rPr>
                <w:rFonts w:ascii="Arial" w:cs="Arial" w:eastAsia="Arial" w:hAnsi="Arial"/>
                <w:sz w:val="16"/>
                <w:szCs w:val="16"/>
                <w:b w:val="1"/>
                <w:bCs w:val="1"/>
                <w:color w:val="auto"/>
              </w:rPr>
              <w:t>%</w:t>
            </w:r>
          </w:p>
        </w:tc>
      </w:tr>
      <w:tr>
        <w:trPr>
          <w:trHeight w:val="23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Change</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146,344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153,519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5"/>
              </w:rPr>
              <w:t>147,731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(7,175)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(4.7)%  $</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As a % of Direct revenues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w w:val="94"/>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148"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Safety-Kleen SG&amp;A expenses for the year ended December 31, 2019 decreased $7.2 million from the comparable period in 2018 and SG&amp;A as a percentage of direct revenues decreased as well. The primary driver of these decreases is a $4.4 million decrease in compensation and benefits related costs resulting from lower headcount and cost saving initiatives implemented by the business throughout 2019. A reduction in legal related costs of $1.6 million also contributed to the overall decrease in SG&amp;A expenses.</w:t>
      </w:r>
    </w:p>
    <w:p>
      <w:pPr>
        <w:spacing w:after="0" w:line="106"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Safety-Kleen SG&amp;A expenses for the year ended December 31, 2018 increased $5.8 million from the comparable period in 2017, however these costs decreased as a percentage of direct revenues, as the additional direct revenues outpaced incremental SG&amp;A expenses. The overall increase in SG&amp;A expenses was primarily due to increased salaries, benefits and variable compensation of $5.7 million as we continue to grow the business.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Corporate Items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6"/>
          </w:tcPr>
          <w:p>
            <w:pPr>
              <w:jc w:val="center"/>
              <w:ind w:left="456"/>
              <w:spacing w:after="0"/>
              <w:rPr>
                <w:sz w:val="20"/>
                <w:szCs w:val="20"/>
                <w:color w:val="auto"/>
              </w:rPr>
            </w:pPr>
            <w:r>
              <w:rPr>
                <w:rFonts w:ascii="Arial" w:cs="Arial" w:eastAsia="Arial" w:hAnsi="Arial"/>
                <w:sz w:val="16"/>
                <w:szCs w:val="16"/>
                <w:b w:val="1"/>
                <w:bCs w:val="1"/>
                <w:color w:val="auto"/>
                <w:w w:val="90"/>
              </w:rPr>
              <w:t>For the years ended December 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2019 over 2018</w:t>
            </w:r>
          </w:p>
        </w:tc>
        <w:tc>
          <w:tcPr>
            <w:tcW w:w="2040" w:type="dxa"/>
            <w:vAlign w:val="bottom"/>
            <w:gridSpan w:val="3"/>
          </w:tcPr>
          <w:p>
            <w:pPr>
              <w:jc w:val="right"/>
              <w:ind w:right="496"/>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41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ind w:right="396"/>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41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00" w:type="dxa"/>
            <w:vAlign w:val="bottom"/>
          </w:tcPr>
          <w:p>
            <w:pPr>
              <w:jc w:val="right"/>
              <w:ind w:right="396"/>
              <w:spacing w:after="0"/>
              <w:rPr>
                <w:sz w:val="20"/>
                <w:szCs w:val="20"/>
                <w:color w:val="auto"/>
              </w:rPr>
            </w:pPr>
            <w:r>
              <w:rPr>
                <w:rFonts w:ascii="Arial" w:cs="Arial" w:eastAsia="Arial" w:hAnsi="Arial"/>
                <w:sz w:val="16"/>
                <w:szCs w:val="16"/>
                <w:b w:val="1"/>
                <w:bCs w:val="1"/>
                <w:color w:val="auto"/>
              </w:rPr>
              <w:t>%</w:t>
            </w:r>
          </w:p>
        </w:tc>
      </w:tr>
      <w:tr>
        <w:trPr>
          <w:trHeight w:val="237"/>
        </w:trPr>
        <w:tc>
          <w:tcPr>
            <w:tcW w:w="2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w w:val="84"/>
              </w:rPr>
              <w:t>2017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SG&amp;A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166,964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166,595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146,542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  $</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20,053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2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Corporate Items SG&amp;A expenses for the year ended December 31, 2019 were consistent with the comparable period in 2018. Continued investment in our employees increased our compensation and benefits related costs by $6.6 million and stock-based compensation increased by $1.0 million due to the achievement of certain performance metrics associated with performance based awards. These costs were offset by a $6.9 million reduction in legal and consulting fees due to cost saving initiatives.</w:t>
      </w:r>
    </w:p>
    <w:p>
      <w:pPr>
        <w:spacing w:after="0" w:line="106"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Corporate Items SG&amp;A expenses for the year ended December 31, 2018 increased $20.1 million from the comparable period in 2017 primarily due to increased salaries and benefits resulting from continued commitments to investing in our employees and variable compensation totaling $14.8 million, as well as increased stock-based compensation of $4.3 million primarily attributable to the achievement of performance metrics associated with performance based awards in 2018. Incremental costs associated with the acquired Veolia Business also contributed to the increased costs.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4"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73"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is being managed.</w:t>
      </w:r>
    </w:p>
    <w:p>
      <w:pPr>
        <w:spacing w:after="0" w:line="10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net income to Adjusted EBITDA for the following periods (in thousands, except percentages):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gridSpan w:val="6"/>
          </w:tcPr>
          <w:p>
            <w:pPr>
              <w:jc w:val="right"/>
              <w:ind w:right="230"/>
              <w:spacing w:after="0"/>
              <w:rPr>
                <w:sz w:val="20"/>
                <w:szCs w:val="20"/>
                <w:color w:val="auto"/>
              </w:rPr>
            </w:pPr>
            <w:r>
              <w:rPr>
                <w:rFonts w:ascii="Arial" w:cs="Arial" w:eastAsia="Arial" w:hAnsi="Arial"/>
                <w:sz w:val="16"/>
                <w:szCs w:val="16"/>
                <w:b w:val="1"/>
                <w:bCs w:val="1"/>
                <w:color w:val="auto"/>
                <w:w w:val="92"/>
              </w:rPr>
              <w:t>For the years ended December 31,</w:t>
            </w:r>
          </w:p>
        </w:tc>
        <w:tc>
          <w:tcPr>
            <w:tcW w:w="1380" w:type="dxa"/>
            <w:vAlign w:val="bottom"/>
          </w:tcPr>
          <w:p>
            <w:pPr>
              <w:spacing w:after="0"/>
              <w:rPr>
                <w:sz w:val="18"/>
                <w:szCs w:val="18"/>
                <w:color w:val="auto"/>
              </w:rPr>
            </w:pPr>
          </w:p>
        </w:tc>
      </w:tr>
      <w:tr>
        <w:trPr>
          <w:trHeight w:val="33"/>
        </w:trPr>
        <w:tc>
          <w:tcPr>
            <w:tcW w:w="5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5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jc w:val="right"/>
              <w:ind w:right="671"/>
              <w:spacing w:after="0"/>
              <w:rPr>
                <w:sz w:val="20"/>
                <w:szCs w:val="20"/>
                <w:color w:val="auto"/>
              </w:rPr>
            </w:pPr>
            <w:r>
              <w:rPr>
                <w:rFonts w:ascii="Arial" w:cs="Arial" w:eastAsia="Arial" w:hAnsi="Arial"/>
                <w:sz w:val="16"/>
                <w:szCs w:val="16"/>
                <w:b w:val="1"/>
                <w:bCs w:val="1"/>
                <w:color w:val="auto"/>
              </w:rPr>
              <w:t>2017</w:t>
            </w:r>
          </w:p>
        </w:tc>
      </w:tr>
      <w:tr>
        <w:trPr>
          <w:trHeight w:val="33"/>
        </w:trPr>
        <w:tc>
          <w:tcPr>
            <w:tcW w:w="5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97,740</w:t>
            </w:r>
          </w:p>
        </w:tc>
        <w:tc>
          <w:tcPr>
            <w:tcW w:w="7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65,636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100,739</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Accretion of environmental liabilities</w:t>
            </w:r>
          </w:p>
        </w:tc>
        <w:tc>
          <w:tcPr>
            <w:tcW w:w="4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10,136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231"/>
              <w:spacing w:after="0"/>
              <w:rPr>
                <w:sz w:val="20"/>
                <w:szCs w:val="20"/>
                <w:color w:val="auto"/>
              </w:rPr>
            </w:pPr>
            <w:r>
              <w:rPr>
                <w:rFonts w:ascii="Arial" w:cs="Arial" w:eastAsia="Arial" w:hAnsi="Arial"/>
                <w:sz w:val="18"/>
                <w:szCs w:val="18"/>
                <w:color w:val="auto"/>
              </w:rPr>
              <w:t>9,806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231"/>
              <w:spacing w:after="0"/>
              <w:rPr>
                <w:sz w:val="20"/>
                <w:szCs w:val="20"/>
                <w:color w:val="auto"/>
              </w:rPr>
            </w:pPr>
            <w:r>
              <w:rPr>
                <w:rFonts w:ascii="Arial" w:cs="Arial" w:eastAsia="Arial" w:hAnsi="Arial"/>
                <w:sz w:val="18"/>
                <w:szCs w:val="18"/>
                <w:color w:val="auto"/>
              </w:rPr>
              <w:t>9,460</w:t>
            </w:r>
          </w:p>
        </w:tc>
      </w:tr>
      <w:tr>
        <w:trPr>
          <w:trHeight w:val="27"/>
        </w:trPr>
        <w:tc>
          <w:tcPr>
            <w:tcW w:w="5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300,725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298,625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288,422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231"/>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231"/>
              <w:spacing w:after="0"/>
              <w:rPr>
                <w:sz w:val="20"/>
                <w:szCs w:val="20"/>
                <w:color w:val="auto"/>
              </w:rPr>
            </w:pPr>
            <w:r>
              <w:rPr>
                <w:rFonts w:ascii="Arial" w:cs="Arial" w:eastAsia="Arial" w:hAnsi="Arial"/>
                <w:sz w:val="18"/>
                <w:szCs w:val="18"/>
                <w:color w:val="auto"/>
              </w:rPr>
              <w:t>6,119</w:t>
            </w:r>
          </w:p>
        </w:tc>
      </w:tr>
      <w:tr>
        <w:trPr>
          <w:trHeight w:val="27"/>
        </w:trPr>
        <w:tc>
          <w:tcPr>
            <w:tcW w:w="5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7,891</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Gain on sale of businesses</w:t>
            </w:r>
          </w:p>
        </w:tc>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(30,732)</w:t>
            </w:r>
          </w:p>
        </w:tc>
      </w:tr>
      <w:tr>
        <w:trPr>
          <w:trHeight w:val="27"/>
        </w:trPr>
        <w:tc>
          <w:tcPr>
            <w:tcW w:w="5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78,670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81,094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85,808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50,499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231"/>
              <w:spacing w:after="0"/>
              <w:rPr>
                <w:sz w:val="20"/>
                <w:szCs w:val="20"/>
                <w:color w:val="auto"/>
              </w:rPr>
            </w:pPr>
            <w:r>
              <w:rPr>
                <w:rFonts w:ascii="Arial" w:cs="Arial" w:eastAsia="Arial" w:hAnsi="Arial"/>
                <w:sz w:val="18"/>
                <w:szCs w:val="18"/>
                <w:color w:val="auto"/>
              </w:rPr>
              <w:t>28,846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color w:val="auto"/>
              </w:rPr>
              <w:t>(42,050)</w:t>
            </w:r>
          </w:p>
        </w:tc>
      </w:tr>
      <w:tr>
        <w:trPr>
          <w:trHeight w:val="27"/>
        </w:trPr>
        <w:tc>
          <w:tcPr>
            <w:tcW w:w="5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540,317</w:t>
            </w: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491,005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425,657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ind w:left="40"/>
              <w:spacing w:after="0"/>
              <w:rPr>
                <w:sz w:val="20"/>
                <w:szCs w:val="20"/>
                <w:color w:val="auto"/>
              </w:rPr>
            </w:pPr>
            <w:r>
              <w:rPr>
                <w:rFonts w:ascii="Arial" w:cs="Arial" w:eastAsia="Arial" w:hAnsi="Arial"/>
                <w:sz w:val="18"/>
                <w:szCs w:val="18"/>
                <w:color w:val="auto"/>
              </w:rPr>
              <w:t>As a % of Direct revenues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14"/>
              <w:spacing w:after="0"/>
              <w:rPr>
                <w:sz w:val="20"/>
                <w:szCs w:val="20"/>
                <w:color w:val="auto"/>
              </w:rPr>
            </w:pPr>
            <w:r>
              <w:rPr>
                <w:rFonts w:ascii="Arial" w:cs="Arial" w:eastAsia="Arial" w:hAnsi="Arial"/>
                <w:sz w:val="18"/>
                <w:szCs w:val="18"/>
                <w:color w:val="auto"/>
                <w:w w:val="97"/>
              </w:rPr>
              <w:t>15.8%</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14.9%</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14.5%</w:t>
            </w:r>
          </w:p>
        </w:tc>
      </w:tr>
      <w:tr>
        <w:trPr>
          <w:trHeight w:val="378"/>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2"/>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8"/>
          </w:tcPr>
          <w:p>
            <w:pPr>
              <w:ind w:left="380"/>
              <w:spacing w:after="0"/>
              <w:rPr>
                <w:sz w:val="20"/>
                <w:szCs w:val="20"/>
                <w:color w:val="auto"/>
              </w:rPr>
            </w:pPr>
            <w:r>
              <w:rPr>
                <w:rFonts w:ascii="Arial" w:cs="Arial" w:eastAsia="Arial" w:hAnsi="Arial"/>
                <w:sz w:val="16"/>
                <w:szCs w:val="16"/>
                <w:b w:val="1"/>
                <w:bCs w:val="1"/>
                <w:color w:val="auto"/>
              </w:rPr>
              <w:t>For the years ended December 31,</w:t>
            </w:r>
          </w:p>
        </w:tc>
        <w:tc>
          <w:tcPr>
            <w:tcW w:w="280" w:type="dxa"/>
            <w:vAlign w:val="bottom"/>
          </w:tcPr>
          <w:p>
            <w:pPr>
              <w:spacing w:after="0"/>
              <w:rPr>
                <w:sz w:val="24"/>
                <w:szCs w:val="24"/>
                <w:color w:val="auto"/>
              </w:rPr>
            </w:pPr>
          </w:p>
        </w:tc>
        <w:tc>
          <w:tcPr>
            <w:tcW w:w="2060" w:type="dxa"/>
            <w:vAlign w:val="bottom"/>
            <w:gridSpan w:val="4"/>
          </w:tcPr>
          <w:p>
            <w:pPr>
              <w:ind w:left="340"/>
              <w:spacing w:after="0"/>
              <w:rPr>
                <w:sz w:val="20"/>
                <w:szCs w:val="20"/>
                <w:color w:val="auto"/>
              </w:rPr>
            </w:pPr>
            <w:r>
              <w:rPr>
                <w:rFonts w:ascii="Arial" w:cs="Arial" w:eastAsia="Arial" w:hAnsi="Arial"/>
                <w:sz w:val="16"/>
                <w:szCs w:val="16"/>
                <w:b w:val="1"/>
                <w:bCs w:val="1"/>
                <w:color w:val="auto"/>
              </w:rPr>
              <w:t>2019 over 2018</w:t>
            </w:r>
          </w:p>
        </w:tc>
        <w:tc>
          <w:tcPr>
            <w:tcW w:w="160" w:type="dxa"/>
            <w:vAlign w:val="bottom"/>
          </w:tcPr>
          <w:p>
            <w:pPr>
              <w:spacing w:after="0"/>
              <w:rPr>
                <w:sz w:val="24"/>
                <w:szCs w:val="24"/>
                <w:color w:val="auto"/>
              </w:rPr>
            </w:pPr>
          </w:p>
        </w:tc>
        <w:tc>
          <w:tcPr>
            <w:tcW w:w="2120" w:type="dxa"/>
            <w:vAlign w:val="bottom"/>
            <w:gridSpan w:val="3"/>
          </w:tcPr>
          <w:p>
            <w:pPr>
              <w:jc w:val="right"/>
              <w:ind w:right="532"/>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3080" w:type="dxa"/>
            <w:vAlign w:val="bottom"/>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22"/>
                <w:szCs w:val="22"/>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114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215"/>
        </w:trPr>
        <w:tc>
          <w:tcPr>
            <w:tcW w:w="3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fixed assets and</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landfills and finance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265,531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264,254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251,403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3080" w:type="dxa"/>
            <w:vAlign w:val="bottom"/>
          </w:tcPr>
          <w:p>
            <w:pPr>
              <w:ind w:left="40"/>
              <w:spacing w:after="0"/>
              <w:rPr>
                <w:sz w:val="20"/>
                <w:szCs w:val="20"/>
                <w:color w:val="auto"/>
              </w:rPr>
            </w:pPr>
            <w:r>
              <w:rPr>
                <w:rFonts w:ascii="Arial" w:cs="Arial" w:eastAsia="Arial" w:hAnsi="Arial"/>
                <w:sz w:val="18"/>
                <w:szCs w:val="18"/>
                <w:color w:val="auto"/>
              </w:rPr>
              <w:t>Permits and other intangibles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0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35,194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34,371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300,725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298,625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288,422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10,203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Depreciation and amortization for the year ended December 31, 2019 remained relatively consistent with the same period in the prior year. Depreciation and amortization for the year ended December 31, 2018 increased $10.2 million from the comparable period in 2017, primarily due to incremental depreciation from acquisitions and a slight increase in volumes at our landfills that drove higher landfill amortization.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8"/>
          </w:tcPr>
          <w:p>
            <w:pPr>
              <w:ind w:left="360"/>
              <w:spacing w:after="0"/>
              <w:rPr>
                <w:sz w:val="20"/>
                <w:szCs w:val="20"/>
                <w:color w:val="auto"/>
              </w:rPr>
            </w:pPr>
            <w:r>
              <w:rPr>
                <w:rFonts w:ascii="Arial" w:cs="Arial" w:eastAsia="Arial" w:hAnsi="Arial"/>
                <w:sz w:val="16"/>
                <w:szCs w:val="16"/>
                <w:b w:val="1"/>
                <w:bCs w:val="1"/>
                <w:color w:val="auto"/>
              </w:rPr>
              <w:t>For the years ended December 31,</w:t>
            </w:r>
          </w:p>
        </w:tc>
        <w:tc>
          <w:tcPr>
            <w:tcW w:w="180" w:type="dxa"/>
            <w:vAlign w:val="bottom"/>
          </w:tcPr>
          <w:p>
            <w:pPr>
              <w:spacing w:after="0"/>
              <w:rPr>
                <w:sz w:val="18"/>
                <w:szCs w:val="18"/>
                <w:color w:val="auto"/>
              </w:rPr>
            </w:pPr>
          </w:p>
        </w:tc>
        <w:tc>
          <w:tcPr>
            <w:tcW w:w="2600" w:type="dxa"/>
            <w:vAlign w:val="bottom"/>
            <w:gridSpan w:val="5"/>
          </w:tcPr>
          <w:p>
            <w:pPr>
              <w:jc w:val="right"/>
              <w:ind w:right="1000"/>
              <w:spacing w:after="0"/>
              <w:rPr>
                <w:sz w:val="20"/>
                <w:szCs w:val="20"/>
                <w:color w:val="auto"/>
              </w:rPr>
            </w:pPr>
            <w:r>
              <w:rPr>
                <w:rFonts w:ascii="Arial" w:cs="Arial" w:eastAsia="Arial" w:hAnsi="Arial"/>
                <w:sz w:val="16"/>
                <w:szCs w:val="16"/>
                <w:b w:val="1"/>
                <w:bCs w:val="1"/>
                <w:color w:val="auto"/>
              </w:rPr>
              <w:t>2019 over 2018</w:t>
            </w:r>
          </w:p>
        </w:tc>
        <w:tc>
          <w:tcPr>
            <w:tcW w:w="2180" w:type="dxa"/>
            <w:vAlign w:val="bottom"/>
            <w:gridSpan w:val="3"/>
          </w:tcPr>
          <w:p>
            <w:pPr>
              <w:jc w:val="right"/>
              <w:ind w:right="574"/>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2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w w:val="97"/>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4"/>
              </w:rPr>
              <w:t>$ Change</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 Change</w:t>
            </w:r>
          </w:p>
        </w:tc>
      </w:tr>
      <w:tr>
        <w:trPr>
          <w:trHeight w:val="243"/>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7,407</w:t>
            </w:r>
          </w:p>
        </w:tc>
        <w:tc>
          <w:tcPr>
            <w:tcW w:w="12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(164.2)%  $</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2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For the year ended December 31, 2019, other income (expense), net increased $7.4 million from the comparable period in 2018 primarily due to insurance proceeds received in 2019 and smaller comparative losses recognized on sales or disposals of fixed assets. Other income (expense), net increased $1.6 million from 2017 to 2018 primarily due to smaller losses recognized on sales or disposals of fixed assets in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0"/>
              </w:rPr>
              <w:t>For the years ended December 31,</w:t>
            </w:r>
          </w:p>
        </w:tc>
        <w:tc>
          <w:tcPr>
            <w:tcW w:w="180" w:type="dxa"/>
            <w:vAlign w:val="bottom"/>
          </w:tcPr>
          <w:p>
            <w:pPr>
              <w:spacing w:after="0"/>
              <w:rPr>
                <w:sz w:val="18"/>
                <w:szCs w:val="18"/>
                <w:color w:val="auto"/>
              </w:rPr>
            </w:pPr>
          </w:p>
        </w:tc>
        <w:tc>
          <w:tcPr>
            <w:tcW w:w="254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2019 over 2018</w:t>
            </w:r>
          </w:p>
        </w:tc>
        <w:tc>
          <w:tcPr>
            <w:tcW w:w="2320" w:type="dxa"/>
            <w:vAlign w:val="bottom"/>
            <w:gridSpan w:val="3"/>
          </w:tcPr>
          <w:p>
            <w:pPr>
              <w:jc w:val="right"/>
              <w:ind w:right="634"/>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8"/>
        </w:trPr>
        <w:tc>
          <w:tcPr>
            <w:tcW w:w="268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22"/>
                <w:szCs w:val="22"/>
                <w:color w:val="auto"/>
              </w:rPr>
            </w:pPr>
          </w:p>
        </w:tc>
        <w:tc>
          <w:tcPr>
            <w:tcW w:w="8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4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 Change</w:t>
            </w: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60" w:type="dxa"/>
            <w:vAlign w:val="bottom"/>
          </w:tcPr>
          <w:p>
            <w:pPr>
              <w:jc w:val="right"/>
              <w:ind w:right="174"/>
              <w:spacing w:after="0"/>
              <w:rPr>
                <w:sz w:val="20"/>
                <w:szCs w:val="20"/>
                <w:color w:val="auto"/>
              </w:rPr>
            </w:pPr>
            <w:r>
              <w:rPr>
                <w:rFonts w:ascii="Arial" w:cs="Arial" w:eastAsia="Arial" w:hAnsi="Arial"/>
                <w:sz w:val="16"/>
                <w:szCs w:val="16"/>
                <w:b w:val="1"/>
                <w:bCs w:val="1"/>
                <w:color w:val="auto"/>
              </w:rPr>
              <w:t>% Change</w:t>
            </w:r>
          </w:p>
        </w:tc>
      </w:tr>
      <w:tr>
        <w:trPr>
          <w:trHeight w:val="215"/>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auto"/>
            </w:tcBorders>
            <w:shd w:val="clear" w:color="auto" w:fill="CCEEFF"/>
          </w:tcPr>
          <w:p>
            <w:pPr>
              <w:spacing w:after="0"/>
              <w:rPr>
                <w:sz w:val="18"/>
                <w:szCs w:val="18"/>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  $</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5,403</w:t>
            </w:r>
          </w:p>
        </w:tc>
        <w:tc>
          <w:tcPr>
            <w:tcW w:w="100" w:type="dxa"/>
            <w:vAlign w:val="bottom"/>
            <w:shd w:val="clear" w:color="auto" w:fill="CCEEFF"/>
          </w:tcPr>
          <w:p>
            <w:pPr>
              <w:spacing w:after="0"/>
              <w:rPr>
                <w:sz w:val="20"/>
                <w:szCs w:val="20"/>
                <w:color w:val="auto"/>
              </w:rPr>
            </w:pPr>
          </w:p>
        </w:tc>
        <w:tc>
          <w:tcPr>
            <w:tcW w:w="12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tcBorders>
              <w:right w:val="single" w:sz="8" w:color="auto"/>
            </w:tcBorders>
            <w:shd w:val="clear" w:color="auto" w:fill="CCEEFF"/>
          </w:tcPr>
          <w:p>
            <w:pPr>
              <w:spacing w:after="0"/>
              <w:rPr>
                <w:sz w:val="2"/>
                <w:szCs w:val="2"/>
                <w:color w:val="auto"/>
              </w:rPr>
            </w:pPr>
          </w:p>
        </w:tc>
      </w:tr>
    </w:tbl>
    <w:p>
      <w:pPr>
        <w:spacing w:after="0" w:line="121"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During the year ended December 31, 2019, we recorded a $6.1 million loss on early extinguishment of debt in connection with the extinguishment of $845.0 million of unsecured senior notes due 2021 which were repaid during the current year. During the year ended December 31, 2018, we recorded a $2.5 million loss on early extinguishment of debt in connection with the extinguishment of the remaining $400.0 million previously outstanding senior unsecured notes. During the year ended December 31, 2017, we recorded a $7.9 million loss on early extinguishment of debt in connection with the extinguishment of $400.0 million of the previously outstanding senior unsecured notes. The losses recognized in each of these years consisted of amounts paid in excess of par in order to extinguish the debt prior to maturity and non-cash expenses related to the write-off of unamortized financing costs. For additional information regarding our financing arrangements, see Note 12, "Financing Arrangements," under Item 8, "Financial Statements and Supplementary Data," of this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89"/>
              </w:rPr>
              <w:t>For the years ended December 31,</w:t>
            </w:r>
          </w:p>
        </w:tc>
        <w:tc>
          <w:tcPr>
            <w:tcW w:w="180" w:type="dxa"/>
            <w:vAlign w:val="bottom"/>
          </w:tcPr>
          <w:p>
            <w:pPr>
              <w:spacing w:after="0"/>
              <w:rPr>
                <w:sz w:val="18"/>
                <w:szCs w:val="18"/>
                <w:color w:val="auto"/>
              </w:rPr>
            </w:pPr>
          </w:p>
        </w:tc>
        <w:tc>
          <w:tcPr>
            <w:tcW w:w="2320" w:type="dxa"/>
            <w:vAlign w:val="bottom"/>
            <w:gridSpan w:val="4"/>
          </w:tcPr>
          <w:p>
            <w:pPr>
              <w:ind w:left="520"/>
              <w:spacing w:after="0"/>
              <w:rPr>
                <w:sz w:val="20"/>
                <w:szCs w:val="20"/>
                <w:color w:val="auto"/>
              </w:rPr>
            </w:pPr>
            <w:r>
              <w:rPr>
                <w:rFonts w:ascii="Arial" w:cs="Arial" w:eastAsia="Arial" w:hAnsi="Arial"/>
                <w:sz w:val="16"/>
                <w:szCs w:val="16"/>
                <w:b w:val="1"/>
                <w:bCs w:val="1"/>
                <w:color w:val="auto"/>
              </w:rPr>
              <w:t>2019 over 2018</w:t>
            </w:r>
          </w:p>
        </w:tc>
        <w:tc>
          <w:tcPr>
            <w:tcW w:w="180" w:type="dxa"/>
            <w:vAlign w:val="bottom"/>
          </w:tcPr>
          <w:p>
            <w:pPr>
              <w:spacing w:after="0"/>
              <w:rPr>
                <w:sz w:val="18"/>
                <w:szCs w:val="18"/>
                <w:color w:val="auto"/>
              </w:rPr>
            </w:pPr>
          </w:p>
        </w:tc>
        <w:tc>
          <w:tcPr>
            <w:tcW w:w="2080" w:type="dxa"/>
            <w:vAlign w:val="bottom"/>
            <w:gridSpan w:val="3"/>
          </w:tcPr>
          <w:p>
            <w:pPr>
              <w:ind w:left="44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7"/>
              </w:rPr>
              <w:t>$ Change</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4"/>
              </w:rPr>
              <w:t>$ Change</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businesses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r>
      <w:tr>
        <w:trPr>
          <w:trHeight w:val="27"/>
        </w:trPr>
        <w:tc>
          <w:tcPr>
            <w:tcW w:w="2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During the year ended December 31, 2019, we recorded a $0.7 million gain on the sale of a non-core business within our Environmental Services segment. During the year ended December 31, 2017, we recorded a $30.7 million gain on the sale of our Transformer Services business which had been part of our Environmental Services segment. For additional information regarding these gains on sale of businesses, see Note 5, "Disposition of Businesses," under Item 8, "Financial Statements and Supplementary Data," of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0"/>
              </w:rPr>
              <w:t>For the years ended December 31,</w:t>
            </w:r>
          </w:p>
        </w:tc>
        <w:tc>
          <w:tcPr>
            <w:tcW w:w="180" w:type="dxa"/>
            <w:vAlign w:val="bottom"/>
          </w:tcPr>
          <w:p>
            <w:pPr>
              <w:spacing w:after="0"/>
              <w:rPr>
                <w:sz w:val="18"/>
                <w:szCs w:val="18"/>
                <w:color w:val="auto"/>
              </w:rPr>
            </w:pPr>
          </w:p>
        </w:tc>
        <w:tc>
          <w:tcPr>
            <w:tcW w:w="244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2019 over 2018</w:t>
            </w:r>
          </w:p>
        </w:tc>
        <w:tc>
          <w:tcPr>
            <w:tcW w:w="2080" w:type="dxa"/>
            <w:vAlign w:val="bottom"/>
            <w:gridSpan w:val="3"/>
          </w:tcPr>
          <w:p>
            <w:pPr>
              <w:ind w:left="460"/>
              <w:spacing w:after="0"/>
              <w:rPr>
                <w:sz w:val="20"/>
                <w:szCs w:val="20"/>
                <w:color w:val="auto"/>
              </w:rPr>
            </w:pPr>
            <w:r>
              <w:rPr>
                <w:rFonts w:ascii="Arial" w:cs="Arial" w:eastAsia="Arial" w:hAnsi="Arial"/>
                <w:sz w:val="16"/>
                <w:szCs w:val="16"/>
                <w:b w:val="1"/>
                <w:bCs w:val="1"/>
                <w:color w:val="auto"/>
              </w:rPr>
              <w:t>2018 over 2017</w:t>
            </w:r>
          </w:p>
        </w:tc>
      </w:tr>
      <w:tr>
        <w:trPr>
          <w:trHeight w:val="33"/>
        </w:trPr>
        <w:tc>
          <w:tcPr>
            <w:tcW w:w="2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8"/>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7"/>
              </w:rPr>
              <w:t>$ Change</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7"/>
              </w:rPr>
              <w:t>$ Change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50,499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28,846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21,653</w:t>
            </w:r>
          </w:p>
        </w:tc>
        <w:tc>
          <w:tcPr>
            <w:tcW w:w="1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75.1%  $</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70,896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(168.6)%</w:t>
            </w:r>
          </w:p>
        </w:tc>
      </w:tr>
      <w:tr>
        <w:trPr>
          <w:trHeight w:val="27"/>
        </w:trPr>
        <w:tc>
          <w:tcPr>
            <w:tcW w:w="2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For the year ended December 31, 2019, provision for income taxes increased $21.7 million from the comparable period in 2018 due to higher earnings in the United States and the impact from a nonrecurring $9.8 million benefit recognized in 2018 related to the filing of then current and amended prior year tax returns in that year. The effective tax rate for 2019 was 34.1% as compared to 30.5% in the prior year.</w:t>
      </w:r>
    </w:p>
    <w:p>
      <w:pPr>
        <w:spacing w:after="0" w:line="10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income tax benefit in 2017 was primarily driven by impacts from the enactment of the Tax Cuts and Jobs Act (the "Tax Act") signed into law in December 2017. Impacts of the Tax Act resulted in a net benefit of $93.0 million being recorded in 2017. Excluding the impacts of the Tax Act, a provision of $51.0 million would have been recognized.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rPr>
              <w:t>For the years ended December 31,</w:t>
            </w:r>
          </w:p>
        </w:tc>
        <w:tc>
          <w:tcPr>
            <w:tcW w:w="136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413,192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373,210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285,698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(217,856)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(349,659)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(203,267)</w:t>
            </w: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w:t>
            </w:r>
          </w:p>
        </w:tc>
      </w:tr>
      <w:tr>
        <w:trPr>
          <w:trHeight w:val="27"/>
        </w:trPr>
        <w:tc>
          <w:tcPr>
            <w:tcW w:w="5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from operating activities</w:t>
      </w:r>
    </w:p>
    <w:p>
      <w:pPr>
        <w:spacing w:after="0" w:line="144"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Net cash from operating activities for the year ended December 31, 2019 was $413.2 million, an increase of $40.0 million compared to the year ended December 31, 2018. The increase was most directly attributable to greater levels of operating income and lower working capital, partially offset by an increase in environmental spending. The reduction in working capital was primarily attributable to the timing of interest payments associated with the debt refinancing completed in the third quarter of 2019. Refinancing this debt changed the timing of our related interest payments from June and December to January and July.</w:t>
      </w:r>
    </w:p>
    <w:p>
      <w:pPr>
        <w:spacing w:after="0" w:line="107"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Net cash from operating activities for the year ended December 31, 2018 was $373.2 million, an increase of $87.5 million compared to the year ended December 31, 2017. The increase was most directly attributable to greater levels of operating income, lower interest payments and a reduction in environmental expenditures, which was offset by higher working capital levels due to overall growth in our business.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Net cash used in investing activities for the year ended December 31, 2019 was $217.9 million, a decrease of $131.8 million compared to the year ended December 31, 2018. This decrease was due to less cash used to fund acquisitions in 2019 and an increase in net proceeds from sales of marketable securities, partially offset by $26.8 million of increased capital expenditure levels, net of proceeds, primarily due to 2019 investments in facility upgrades and landfill spending.</w:t>
      </w:r>
    </w:p>
    <w:p>
      <w:pPr>
        <w:spacing w:after="0" w:line="106"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Net cash used in investing activities for the year ended December 31, 2018 was $349.7 million, an increase of $146.4 million compared to the year ended December 31, 2017. The change was primarily driven by the 2018 use of cash to fund acquisitions, increased capital expenditure levels net of proceeds primarily related to sales of manufacturing assets in Western Canada, a reduction in net purchases of marketable securities and the lack in 2018 of proceeds from sale of a business, which occurred in 2017 with the Transformer Services divestiture.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4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Net cash used in financing activities for the year ended December 31, 2019 was $53.4 million, a decrease of $57.6 million compared to the year ended December 31, 2018. The decrease was primarily driven by a $50.0 million reduction in net principal payments on debt obligations in 2019 and a $23.7 million decrease in repurchases of common stock, partially offset by increased outflows for deferred financing costs associated with debt refinancing activities in 2019 of $6.1 million, tax payments related to withholdings on vested restricted stock of $4.2 million and changes in uncashed checks of $3.8 million.</w:t>
      </w:r>
    </w:p>
    <w:p>
      <w:pPr>
        <w:spacing w:after="0" w:line="10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cash used in financing activities for the year ended December 31, 2018 was $111.0 million, an increase of $38.2 million compared to the year ended December 31, 2017. The primary reason for the increase in 2018 was the increase in funds used for the net pay down of debt obligations totaling $55.8 million which occurred during the year. Offsetting this increase was decreased outflows related to stock repurchases of $3.9 million, premiums paid on the extinguishment of debt of $4.8 million, and changes in uncashed checks of $5.8 million.</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Adjusted Free Cash Flow</w:t>
      </w:r>
    </w:p>
    <w:p>
      <w:pPr>
        <w:spacing w:after="0" w:line="14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from net cash from operating activities to adjusted free cash flow for the following periods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rPr>
              <w:t>For the years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413,192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373,210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285,698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(193,344)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(167,007)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and disposal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liability on sale of business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14,423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free cash flow</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208,523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195,311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140,238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Summary of Capital Resources</w:t>
      </w:r>
    </w:p>
    <w:p>
      <w:pPr>
        <w:spacing w:after="0" w:line="14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At December 31, 2019, cash and cash equivalents and marketable securities totaled $414.4 million, compared to $279.4 million at December 31, 2018. At December 31, 2019, cash and cash equivalents held by foreign subsidiaries totaled $74.5 million and were readily convertible into other currencies including U.S. Dollars. At December 31, 2019, the cash and cash equivalents and marketable securities balance for our U.S. operations was $339.9 million, and our U.S. operations had net operating cash flows of $392.7 million for the year ended December 31, 2019. Additionally, we have a $400.0 million revolving credit facility, of which approximately $229.2 million was available to borrow at December 31, 2019. Based on the above and our current plans, we believe that our operations have adequate financial resources to satisfy their current liquidity needs.</w:t>
      </w:r>
    </w:p>
    <w:p>
      <w:pPr>
        <w:spacing w:after="0" w:line="97" w:lineRule="exact"/>
        <w:rPr>
          <w:sz w:val="20"/>
          <w:szCs w:val="20"/>
          <w:color w:val="auto"/>
        </w:rPr>
      </w:pPr>
    </w:p>
    <w:p>
      <w:pPr>
        <w:ind w:right="420" w:firstLine="432"/>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additional borrowings under our revolving credit facility provide additional potential sources of liquidity should they be required.</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financing arrangements and principal terms of our $545.0 million principal amount of 4.875% senior unsecured notes due 2027 and $300.0 million principal amount of 5.125% senior unsecured notes due 2029, and $734.7 million senior secured notes due 2024 which were outstanding at December 31, 2019, and our $400.0 million revolving credit facility, are discussed further in Note 12, “Financing Arrangements,” to our consolidated financial statements included in Item 8 of this report.</w:t>
      </w:r>
    </w:p>
    <w:p>
      <w:pPr>
        <w:spacing w:after="0" w:line="106"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of December 31, 2019, we were in compliance with the covenants of all of our debt agreements, and we believe we will continue to meet such covenants.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ind w:left="280"/>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Pr>
          <w:p>
            <w:pPr>
              <w:spacing w:after="0"/>
              <w:rPr>
                <w:sz w:val="18"/>
                <w:szCs w:val="18"/>
                <w:color w:val="auto"/>
              </w:rPr>
            </w:pPr>
          </w:p>
        </w:tc>
        <w:tc>
          <w:tcPr>
            <w:tcW w:w="2340" w:type="dxa"/>
            <w:vAlign w:val="bottom"/>
            <w:gridSpan w:val="3"/>
          </w:tcPr>
          <w:p>
            <w:pPr>
              <w:jc w:val="right"/>
              <w:ind w:right="632"/>
              <w:spacing w:after="0"/>
              <w:rPr>
                <w:sz w:val="20"/>
                <w:szCs w:val="20"/>
                <w:color w:val="auto"/>
              </w:rPr>
            </w:pPr>
            <w:r>
              <w:rPr>
                <w:rFonts w:ascii="Arial" w:cs="Arial" w:eastAsia="Arial" w:hAnsi="Arial"/>
                <w:sz w:val="16"/>
                <w:szCs w:val="16"/>
                <w:b w:val="1"/>
                <w:bCs w:val="1"/>
                <w:color w:val="auto"/>
              </w:rPr>
              <w:t>2019 over 2018</w:t>
            </w:r>
          </w:p>
        </w:tc>
      </w:tr>
      <w:tr>
        <w:trPr>
          <w:trHeight w:val="33"/>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8"/>
        </w:trPr>
        <w:tc>
          <w:tcPr>
            <w:tcW w:w="64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2"/>
                <w:szCs w:val="22"/>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250"/>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Remedial liabilities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114,173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121,017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environmental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189,824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190,948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Total environmental liabilities as of December 31, 2019 were $189.8 million, a decrease of $1.1 million compared to December 31, 2018. This decrease was primarily due to expenditures of $18.7 million, partially offset by accretion of $10.1 million, changes in environmental liability estimates recorded to the consolidated balance sheet of $3.9 million and new asset retirement obligations and liabilities assumed in acquisitions of $2.9 million.</w:t>
      </w:r>
    </w:p>
    <w:p>
      <w:pPr>
        <w:spacing w:after="0" w:line="8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During 2019, 2018 and 2017, we recognized a net benefit of $0.3 million, net charge of $2.1 million and net benefit of $0.2 million, respectively, for changes in estimates of recorded environmental liabilities. Generally, we recognize benefits primarily due to the successful introduction of new technology for remedial activities, favorable results from environmental studies of the on-going remediation, including favorable regulatory approvals and lower project costs realized by utilizing internal labor and equipment. In 2018, the net increase in our environmental liabilities from changes in estimates recorded to the consolidated statement of operations was $2.1 million and primarily related to an increase in projected cleanup costs at third party Superfund sites where we are a potentially responsible party.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has been included to assist in understanding our debt and similar obligations as of December 31, 2019 and our ability to meet such contractual obligations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520"/>
              <w:spacing w:after="0"/>
              <w:rPr>
                <w:sz w:val="20"/>
                <w:szCs w:val="20"/>
                <w:color w:val="auto"/>
              </w:rPr>
            </w:pPr>
            <w:r>
              <w:rPr>
                <w:rFonts w:ascii="Arial" w:cs="Arial" w:eastAsia="Arial" w:hAnsi="Arial"/>
                <w:sz w:val="16"/>
                <w:szCs w:val="16"/>
                <w:b w:val="1"/>
                <w:bCs w:val="1"/>
                <w:color w:val="auto"/>
              </w:rPr>
              <w:t>Payments due in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4-5 years</w:t>
            </w:r>
          </w:p>
        </w:tc>
        <w:tc>
          <w:tcPr>
            <w:tcW w:w="16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6"/>
                <w:szCs w:val="16"/>
                <w:b w:val="1"/>
                <w:bCs w:val="1"/>
                <w:color w:val="auto"/>
                <w:w w:val="92"/>
              </w:rPr>
              <w:t>After 5 years</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Closure, post-closure and remedial liabilities</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458,409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51,804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28,304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354,001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and long-term obligations, at par</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1,579,697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712,091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845,000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on current and long-term obligations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477,233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71,769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142,615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127,127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135,722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65,222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51,151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28,444</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2,768,086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157,151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284,865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911,752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1,414,318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50" w:lineRule="auto"/>
        <w:tabs>
          <w:tab w:leader="none" w:pos="2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undiscounted value of closure, post-closure and remedial liabilities of $458.4 million is equivalent to the present value of $189.8 million based on discounting of $178.5 million and the undiscounted remainder of $90.1 million to be accrued for closure and post-closure liabilities over the remaining site lives.</w:t>
      </w:r>
    </w:p>
    <w:p>
      <w:pPr>
        <w:spacing w:after="0" w:line="1" w:lineRule="exact"/>
        <w:rPr>
          <w:rFonts w:ascii="Arial" w:cs="Arial" w:eastAsia="Arial" w:hAnsi="Arial"/>
          <w:sz w:val="18"/>
          <w:szCs w:val="18"/>
          <w:color w:val="auto"/>
        </w:rPr>
      </w:pPr>
    </w:p>
    <w:p>
      <w:pPr>
        <w:ind w:left="260" w:right="260" w:hanging="252"/>
        <w:spacing w:after="0" w:line="254"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on our variable-rate $734.7 million senior secured term loans was calculated based on the effective interest rate of that debt as of December 31, 2019. Our interest rate swap agreements effectively fix the interest rate on $350.0 million of that variable rate debt at an annual rate of approximately 4.67%, while the remaining balance pays interest based upon LIBOR and an applicable margin. The assumed rate reflected in the table above for this variable rate debt after considering the swap agreements is 4.06%.</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Off-Balance Sheet Arrangements</w:t>
      </w:r>
    </w:p>
    <w:p>
      <w:pPr>
        <w:spacing w:after="0" w:line="144"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December 31, 2019, there were $146.9 million outstanding letters of credit. See Note 12, "Financing Arrangements," to our consolidated financial statements included in Item 8 of this report for further discussion of our standby letters of credit and other financing arrangements.</w:t>
      </w:r>
    </w:p>
    <w:p>
      <w:pPr>
        <w:spacing w:after="0" w:line="10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Except for our obligations under letters of credit described above and performance obligations incurred in the ordinary course of business, we are not party to any off-balance sheet arrangements involving guarantee, contingency or similar obligations to entities whose financial statements are not consolidated with our results, and that have or are reasonably likely to have a current or future effect on our financial condition, changes in financial condition, revenues or expenses, results of operations, liquidity, capital expenditures or capital resources that would be material to investors in our securities.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Capital Expenditures</w:t>
      </w:r>
    </w:p>
    <w:p>
      <w:pPr>
        <w:spacing w:after="0" w:line="14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2019, our capital expenditures, net of disposals, were $204.7 million. We anticipate that 2020 capital spending, net of disposals, will be in the range of $215.0 million to $240.0 million, inclusive of $20.0 million to $25.0 million for the purchase of our corporate headquarters in January 2020 and some expected capital improvements to that facility during 2020. However, unanticipated changes in environmental regulations could require us to make significant capital expenditures for our facilities and adversely affect our results of operations and cash flow.</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The preparation of our financial statements requires us to make estimates and judgments that affect the reported amounts of our assets, liabilities, revenues and expenses and related disclosures of contingent liabilities. Our significant accounting policies are discussed in Note 2, "Significant Accounting Policies," to our consolidated financial statements included in Item 8 of this report. We believe that, of our significant accounting policies, the following contain estimates that involve a higher degree of complexity in their application: accounting for landfills, non-landfill closure and post-closure liabilities, remedial liabilities, goodwill, permits and other intangible assets and legal matters. Our management reviews critical accounting estimates with the Audit Committee of our Board of Directors on an ongoing basis and as needed prior to the release of our annual financial statements.</w:t>
      </w:r>
    </w:p>
    <w:p>
      <w:pPr>
        <w:spacing w:after="0" w:line="8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i w:val="1"/>
          <w:iCs w:val="1"/>
          <w:color w:val="auto"/>
        </w:rPr>
        <w:t xml:space="preserve">Landfill Accounting. </w:t>
      </w:r>
      <w:r>
        <w:rPr>
          <w:rFonts w:ascii="Arial" w:cs="Arial" w:eastAsia="Arial" w:hAnsi="Arial"/>
          <w:sz w:val="17"/>
          <w:szCs w:val="17"/>
          <w:color w:val="auto"/>
        </w:rPr>
        <w:t>We amortize landfill improvements and certain landfill-related permits over their estimated useful 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98" w:lineRule="exact"/>
        <w:rPr>
          <w:sz w:val="20"/>
          <w:szCs w:val="20"/>
          <w:color w:val="auto"/>
        </w:rPr>
      </w:pPr>
    </w:p>
    <w:p>
      <w:pPr>
        <w:ind w:right="740" w:firstLine="405"/>
        <w:spacing w:after="0" w:line="308" w:lineRule="auto"/>
        <w:rPr>
          <w:sz w:val="20"/>
          <w:szCs w:val="20"/>
          <w:color w:val="auto"/>
        </w:rPr>
      </w:pPr>
      <w:r>
        <w:rPr>
          <w:rFonts w:ascii="Arial" w:cs="Arial" w:eastAsia="Arial" w:hAnsi="Arial"/>
          <w:sz w:val="17"/>
          <w:szCs w:val="17"/>
          <w:i w:val="1"/>
          <w:iCs w:val="1"/>
          <w:color w:val="auto"/>
        </w:rPr>
        <w:t xml:space="preserve">Landfill Assets. </w:t>
      </w:r>
      <w:r>
        <w:rPr>
          <w:rFonts w:ascii="Arial" w:cs="Arial" w:eastAsia="Arial" w:hAnsi="Arial"/>
          <w:sz w:val="17"/>
          <w:szCs w:val="17"/>
          <w:color w:val="auto"/>
        </w:rPr>
        <w:t>Landfill assets include the costs of landfill site acquisition, permits and cell construction incurred to date. These amounts are</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under the units-of-consumption method such that the asset is completely amortized when the landfill ceases accepting waste.</w:t>
      </w:r>
    </w:p>
    <w:p>
      <w:pPr>
        <w:spacing w:after="0" w:line="66" w:lineRule="exact"/>
        <w:rPr>
          <w:sz w:val="20"/>
          <w:szCs w:val="20"/>
          <w:color w:val="auto"/>
        </w:rPr>
      </w:pPr>
    </w:p>
    <w:p>
      <w:pPr>
        <w:jc w:val="both"/>
        <w:ind w:right="500" w:firstLine="405"/>
        <w:spacing w:after="0" w:line="279" w:lineRule="auto"/>
        <w:rPr>
          <w:sz w:val="20"/>
          <w:szCs w:val="20"/>
          <w:color w:val="auto"/>
        </w:rPr>
      </w:pPr>
      <w:r>
        <w:rPr>
          <w:rFonts w:ascii="Arial" w:cs="Arial" w:eastAsia="Arial" w:hAnsi="Arial"/>
          <w:sz w:val="17"/>
          <w:szCs w:val="17"/>
          <w:i w:val="1"/>
          <w:iCs w:val="1"/>
          <w:color w:val="auto"/>
        </w:rPr>
        <w:t xml:space="preserve">Landfill Capacity. </w:t>
      </w:r>
      <w:r>
        <w:rPr>
          <w:rFonts w:ascii="Arial" w:cs="Arial" w:eastAsia="Arial" w:hAnsi="Arial"/>
          <w:sz w:val="17"/>
          <w:szCs w:val="17"/>
          <w:color w:val="auto"/>
        </w:rPr>
        <w:t>Landfill capacity, which is the basis for the amortization of landfill assets and for the accrual of final closure and post-closure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represents total permitted airspace plus unpermitted airspace that management believes is probable of ultimately being permitted based on established criteria. Our management applies the following criteria for evaluating the probability of obtaining a permit for future expansion airspace at existing sites, which provides management a basis to evaluate the likelihood of success of unpermitted expansions:</w:t>
      </w:r>
    </w:p>
    <w:p>
      <w:pPr>
        <w:spacing w:after="0" w:line="90" w:lineRule="exact"/>
        <w:rPr>
          <w:sz w:val="20"/>
          <w:szCs w:val="20"/>
          <w:color w:val="auto"/>
        </w:rPr>
      </w:pPr>
    </w:p>
    <w:p>
      <w:pPr>
        <w:ind w:left="660" w:right="5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Personnel are actively working to obtain the permit or permit modifications (land use, state and federal) necessary for expansion of an existing landfill, and progress is being made on the project.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Management expects to submit the application within the next year and to receive all necessary approvals to accept waste within the next five years.</w:t>
      </w:r>
    </w:p>
    <w:p>
      <w:pPr>
        <w:spacing w:after="0" w:line="167"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 the time the expansion is included in management's estimate of the landfill's useful economic life, it is probable that the required approvals will be received within the normal application and processing time periods for approvals in the jurisdiction in which the landfill is located.</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legal right to use or obtain the right to use the land associated with the expansion plan through title or lease.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are no significant known political, technical, legal or business restrictions or other issues that could impair the success of such expansion.</w:t>
      </w:r>
    </w:p>
    <w:p>
      <w:pPr>
        <w:spacing w:after="0" w:line="167" w:lineRule="exact"/>
        <w:rPr>
          <w:rFonts w:ascii="Arial" w:cs="Arial" w:eastAsia="Arial" w:hAnsi="Arial"/>
          <w:sz w:val="16"/>
          <w:szCs w:val="16"/>
          <w:color w:val="auto"/>
        </w:rPr>
      </w:pPr>
    </w:p>
    <w:p>
      <w:pPr>
        <w:ind w:left="660" w:right="3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is committed to pursuing the expansion which is supported by a complete financial feasibility analysis which demonstrates that the expansion will have a positive financial and operational impact.</w:t>
      </w:r>
    </w:p>
    <w:p>
      <w:pPr>
        <w:spacing w:after="0" w:line="89"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airspace and related additional costs, including permitting, final closure and post-closure costs have been estimated based on the conceptual design of the proposed expansion.</w:t>
      </w:r>
    </w:p>
    <w:p>
      <w:pPr>
        <w:spacing w:after="0" w:line="89" w:lineRule="exact"/>
        <w:rPr>
          <w:sz w:val="20"/>
          <w:szCs w:val="20"/>
          <w:color w:val="auto"/>
        </w:rPr>
      </w:pPr>
    </w:p>
    <w:p>
      <w:pPr>
        <w:ind w:right="320" w:firstLine="405"/>
        <w:spacing w:after="0" w:line="257" w:lineRule="auto"/>
        <w:rPr>
          <w:sz w:val="20"/>
          <w:szCs w:val="20"/>
          <w:color w:val="auto"/>
        </w:rPr>
      </w:pPr>
      <w:r>
        <w:rPr>
          <w:rFonts w:ascii="Arial" w:cs="Arial" w:eastAsia="Arial" w:hAnsi="Arial"/>
          <w:sz w:val="18"/>
          <w:szCs w:val="18"/>
          <w:color w:val="auto"/>
        </w:rPr>
        <w:t>As of December 31, 2019, there were no unpermitted expansions included in management's landfill calculation.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10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i w:val="1"/>
          <w:iCs w:val="1"/>
          <w:color w:val="auto"/>
        </w:rPr>
        <w:t xml:space="preserve">Landfill Final Closure and Post-Closure Liabilities. </w:t>
      </w:r>
      <w:r>
        <w:rPr>
          <w:rFonts w:ascii="Arial" w:cs="Arial" w:eastAsia="Arial" w:hAnsi="Arial"/>
          <w:sz w:val="18"/>
          <w:szCs w:val="18"/>
          <w:color w:val="auto"/>
        </w:rPr>
        <w:t>The balance of landfill final closure and post-closure liabilities at December 31,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was $39.4 million and $37.8 million, respectively.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8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or provincial regulatory agency. These costs generally include the costs required to cap the final cell of the landfill (if not included in cell closure),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discontinues accepting waste.</w:t>
      </w:r>
    </w:p>
    <w:p>
      <w:pPr>
        <w:spacing w:after="0" w:line="97"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i w:val="1"/>
          <w:iCs w:val="1"/>
          <w:color w:val="auto"/>
        </w:rPr>
        <w:t xml:space="preserve">Non-Landfill Closure and Post-Closure Liabilities. </w:t>
      </w:r>
      <w:r>
        <w:rPr>
          <w:rFonts w:ascii="Arial" w:cs="Arial" w:eastAsia="Arial" w:hAnsi="Arial"/>
          <w:sz w:val="16"/>
          <w:szCs w:val="16"/>
          <w:color w:val="auto"/>
        </w:rPr>
        <w:t>The balance of our non-landfill closure and post-closure liabilities at December 31, 2019 and 2018</w:t>
      </w:r>
      <w:r>
        <w:rPr>
          <w:rFonts w:ascii="Arial" w:cs="Arial" w:eastAsia="Arial" w:hAnsi="Arial"/>
          <w:sz w:val="16"/>
          <w:szCs w:val="16"/>
          <w:i w:val="1"/>
          <w:iCs w:val="1"/>
          <w:color w:val="auto"/>
        </w:rPr>
        <w:t xml:space="preserve"> </w:t>
      </w:r>
      <w:r>
        <w:rPr>
          <w:rFonts w:ascii="Arial" w:cs="Arial" w:eastAsia="Arial" w:hAnsi="Arial"/>
          <w:sz w:val="16"/>
          <w:szCs w:val="16"/>
          <w:color w:val="auto"/>
        </w:rPr>
        <w:t>was $36.3 million and $32.1 million, respectively. We base estimates for non-landfill closure and post-closure liabilities on our interpretations of existing permit and regulatory requirements for closure and post-closure maintenance and monitoring. Our cost estimates are calculated using internal sources as well as input from third-party experts. We estimate when future operations will cease and inflate the current cost of closing the non-landfill facility using the 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impacting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in the market price of a significant cost item, in estimates as to when future operations may cease or in the expected timing of the cost expenditures. Changes in estimates for non-landfill closure and post-closure events immediately impact the required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material changes to non-landfill closure and post-closure estimates have been infrequent. See Note 10, "Closure and Post-Closure Liabilities," to our consolidated financial statements included in Item 8 of this report for the changes to these Landfill and Non-Landfill Closure and Post-Closure liabilities during the years ended December 31, 2018 and 2017.</w:t>
      </w:r>
    </w:p>
    <w:p>
      <w:pPr>
        <w:spacing w:after="0" w:line="88"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i w:val="1"/>
          <w:iCs w:val="1"/>
          <w:color w:val="auto"/>
        </w:rPr>
        <w:t xml:space="preserve">Remedial Liabilities. </w:t>
      </w:r>
      <w:r>
        <w:rPr>
          <w:rFonts w:ascii="Arial" w:cs="Arial" w:eastAsia="Arial" w:hAnsi="Arial"/>
          <w:sz w:val="16"/>
          <w:szCs w:val="16"/>
          <w:color w:val="auto"/>
        </w:rPr>
        <w:t>The balance of our remedial liabilities at December 31, 2019 and 2018 was $114.2 million and $121.0 million, respectively.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 11, "Remedial Liabilities," to our consolidated financial statements included in Item 8 of this report for the changes to the remedial liabilities during the years ended December 31, 2019 and 2018. Remedial liabilities are obligations to investigate, alleviate and/or eliminate the effects of a release (or threat of a release) of hazardous substances into the environment and may also include corrective action under RCRA. Our remediation obligations can be further characterized as legal, superfund, long-term maintenance and one-time projects.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actions or inactions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As described in Note 18, "Commitments and Contingencies," to our consolidated financial statements included in Item 8 of this report, Superfund liabilities also include certain liabilities payable to government entities for which we are potentially liable to reimburse the sellers in connection with our 2002 acquisition of substantially all of the assets of the Chemical Services Division (the "CSD assets") of Safety-Kleen Corp.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9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Remedial liabilities are discounted when the timing of the payments is estimable and the amounts are determinable, with the exception of remedial liabilities assumed as part of an acquisition that are measured at fair value at the acquisition date.</w:t>
      </w:r>
    </w:p>
    <w:p>
      <w:pPr>
        <w:spacing w:after="0" w:line="89"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 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w:t>
      </w:r>
    </w:p>
    <w:p>
      <w:pPr>
        <w:spacing w:after="0" w:line="97"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i w:val="1"/>
          <w:iCs w:val="1"/>
          <w:color w:val="auto"/>
        </w:rPr>
        <w:t>Goodwill and Other Long-Lived Assets</w:t>
      </w:r>
      <w:r>
        <w:rPr>
          <w:rFonts w:ascii="Arial" w:cs="Arial" w:eastAsia="Arial" w:hAnsi="Arial"/>
          <w:sz w:val="18"/>
          <w:szCs w:val="18"/>
          <w:color w:val="auto"/>
        </w:rPr>
        <w:t>. Goodwill is reviewed for impairment annually as of December 31 or when events or changes in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06"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We determine our reporting units by identifying the components of each operating segment, and then in some circumstances aggregate components having similar economic characteristics based on quantitative and/or qualitative factors. As of December 31, 2019, we have four reporting units, consisting of Environmental Sales and Service, Environmental Facilities, Safety-Kleen Oil and Safety-Kleen Environmental Services.</w:t>
      </w:r>
    </w:p>
    <w:p>
      <w:pPr>
        <w:spacing w:after="0" w:line="8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conducted our annual impairment test of goodwill for all of our reporting units to which goodwill was allocated as of December 31, 2019 and determined that no adjustment to the carrying value of goodwill for any reporting unit was then necessary. In all cases the estimated fair value of each reporting unit significantly exceeded its carrying value. We measure fair value for all of our reporting units using an income approach (a discounted cash flow analysis) which incorporates several estimates and assumptions with varying degrees of uncertainty.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108" w:lineRule="exact"/>
        <w:rPr>
          <w:sz w:val="20"/>
          <w:szCs w:val="20"/>
          <w:color w:val="auto"/>
        </w:rPr>
      </w:pPr>
    </w:p>
    <w:p>
      <w:pPr>
        <w:ind w:right="260" w:firstLine="392"/>
        <w:spacing w:after="0" w:line="297" w:lineRule="auto"/>
        <w:rPr>
          <w:sz w:val="20"/>
          <w:szCs w:val="20"/>
          <w:color w:val="auto"/>
        </w:rPr>
      </w:pPr>
      <w:r>
        <w:rPr>
          <w:rFonts w:ascii="Arial" w:cs="Arial" w:eastAsia="Arial" w:hAnsi="Arial"/>
          <w:sz w:val="16"/>
          <w:szCs w:val="16"/>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we perform a quantitative test to determine the fair value. The impairment loss, if any, is measured as the excess of the carrying value of the asset over its fair value. The estimated fair values of the indefinite-lived intangibles exceeded their carrying values at December 31, 2019. However, we will continue to monitor the performance of our indefinite-lived intangible assets, and future events might result in an impairment of indefinite-lived intangible assets.</w:t>
      </w:r>
    </w:p>
    <w:p>
      <w:pPr>
        <w:spacing w:after="0" w:line="7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projected undiscounted future cash flows associated with the related asset or group of assets to the respective carrying amounts. The impairment loss, if any, would be measured as the excess of the carrying amount over the fair value of the asset and is recorded in the period in which the determination is made. Any resulting impairment losses recorded by us would have an adverse impact on our results of operations.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In consideration of historical goodwill impairments for our Oil and Gas Field Services and Lodging Services operations and continued lower than historical results in the oil and gas related industries, specifically in Western Canada, we continue to monitor the carrying value of those businesses’ long-lived assets and assess the risk of asset impairment. We concluded that no events or circumstances have arisen during 2019 which would indicate that the carrying values of those asset groups are not recoverable.</w:t>
      </w:r>
    </w:p>
    <w:p>
      <w:pPr>
        <w:spacing w:after="0" w:line="106" w:lineRule="exact"/>
        <w:rPr>
          <w:sz w:val="20"/>
          <w:szCs w:val="20"/>
          <w:color w:val="auto"/>
        </w:rPr>
      </w:pPr>
    </w:p>
    <w:p>
      <w:pPr>
        <w:ind w:right="300" w:firstLine="405"/>
        <w:spacing w:after="0" w:line="297" w:lineRule="auto"/>
        <w:rPr>
          <w:sz w:val="20"/>
          <w:szCs w:val="20"/>
          <w:color w:val="auto"/>
        </w:rPr>
      </w:pPr>
      <w:r>
        <w:rPr>
          <w:rFonts w:ascii="Arial" w:cs="Arial" w:eastAsia="Arial" w:hAnsi="Arial"/>
          <w:sz w:val="16"/>
          <w:szCs w:val="16"/>
          <w:color w:val="auto"/>
        </w:rPr>
        <w:t>We will continue to evaluate all of our goodwill and other long-lived assets impacted by economic downturns most predominantly in the oil and gas related markets in which we operate. If further economic difficulties resulting from depressed oil and gas related pricing and lower overall activity levels, particularly in our Canadian operations, continue for a significant foreseeable period of time and thus future operating results are significantly less than current expectations, additional impairment charges may be recognized. The market conditions which could lead to such future impairments are currently most prevalent in our Oil and Gas Field Services and Lodging Services operations within the Environmental Sales &amp; Services reporting unit.</w:t>
      </w:r>
    </w:p>
    <w:p>
      <w:pPr>
        <w:spacing w:after="0" w:line="7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Legal Matters. </w:t>
      </w:r>
      <w:r>
        <w:rPr>
          <w:rFonts w:ascii="Arial" w:cs="Arial" w:eastAsia="Arial" w:hAnsi="Arial"/>
          <w:sz w:val="17"/>
          <w:szCs w:val="17"/>
          <w:color w:val="auto"/>
        </w:rPr>
        <w:t>As described in Note 18, "Commitments and Contingencies," to our consolidated financial statements included in Item 8 of this report,</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legal proceedings which relate to our past acquisitions or which have arisen in the ordinary course of business. Accruals are established for legal matters when, in our opinion, it is probable that a liability exists and the liability can be reasonably estimated. As of December 31, 2019, we had reserves of $26.0 million consisting of (i) $18.4 million related to pending legal or administrative proceedings, including Superfund liabilities, which were included in remedial liabilities on the consolidated balance sheets and (ii) $7.6 million primarily related to legal claims as well as federal, state and provincial enforcement actions, which were included in accrued expenses on the consolidated balance sheets. In management's opinion, it is not reasonably possible that the potential liability in excess of what is recorded, if any, that may result from these actions, either individually or collectively, will have a material effect on our financial position, results of operations or cash flows.</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18" w:right="2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4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foreign currency rates, primarily relating to the Canadian dollar. Our philosophy in managing interest rate risk is to maintain a debt portfolio inclusive of both variable and fixed-rate debt so as to limit our interest expense and exposure to interest rate volatility. In 2018, we entered into interest rate swap agreements with the intention of hedging interest rate exposure on a portion of our outstanding LIBOR-based variable rate senior secured term loans. Under the terms of the swaps, we receive interest based on the 1-month LIBOR index and pay interest at a weighted average rate of approximately 2.92% on an initial notional amount of $350.0 million. When combined with the 1.75% interest rate margin for Eurocurrency borrowings, the effective annual interest rate on such $350.0 million aggregate principal amount of term loans is therefore approximately 4.67%.</w:t>
      </w:r>
    </w:p>
    <w:p>
      <w:pPr>
        <w:spacing w:after="0" w:line="9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designated our interest rate swap agreements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regarding our fixed and variable rate borrowings at December 31, 2019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Scheduled Maturity Dates</w:t>
            </w:r>
          </w:p>
        </w:tc>
        <w:tc>
          <w:tcPr>
            <w:tcW w:w="22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loans due 2024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734,697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Unsecured senior notes due 2027</w:t>
            </w:r>
          </w:p>
        </w:tc>
        <w:tc>
          <w:tcPr>
            <w:tcW w:w="22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545,000</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senior notes due 2029</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Long term obligations, at par</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704,557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845,000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1,579,697</w:t>
            </w:r>
          </w:p>
        </w:tc>
      </w:tr>
    </w:tbl>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interest rate on the $545.0 million senior unsecured notes due July 15, 2027 is fixed at 4.875%. Interest payments on this debt are due semiannually on January 15 and July 15 in the amount of $13.2 million upon each date commencing January 15, 2020. The interest rate on the $300.0 million senior unsecured notes due July 15, 2029 is fixed at 5.125%. Interest payments on these $300.0 million notes are also due semiannually on January 15 and July 15 in the amount of $7.6 million upon each date commencing on January 15, 2020.</w:t>
      </w:r>
    </w:p>
    <w:p>
      <w:pPr>
        <w:spacing w:after="0" w:line="106"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continue to have interest rate risk relative to the portion of our term loans which exceeds the $350.0 million of principal which is subject to our interest rate swap agreement. As of December 31, 2019, $384.7 million of those term loans was subject to variable interest rate risk. The effective interest rate on the variable portion of the term loans as of December 31, 2019 was 3.55%. Should the average interest rate on the variable rate portion of our long-term obligations change by 100 basis points, we estimate that our annual interest expense would change by up to approximately $3.8 million.</w:t>
      </w:r>
    </w:p>
    <w:p>
      <w:pPr>
        <w:spacing w:after="0" w:line="73"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In addition to the fixed and variable rate borrowings described in the above table, we have a revolving credit agreement with maximum borrowings of up to $400.0 million (with a $325.0 million sub-limit for letters of credit), under which no borrowings were outstanding at December 31, 2019.</w:t>
      </w:r>
    </w:p>
    <w:p>
      <w:pPr>
        <w:spacing w:after="0" w:line="43"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We view our investment in our foreign subsidiaries as long-term; thus, we have not entered into any hedging transactions between any two foreign currencies or between any of the foreign currencies and the U.S. Dollar. Given our significant investment in Canada and the fluctuations that have and can occur between the U.S. Dollar and Canadian Dollar exchange rates, significant movements in cumulative translation adjustment amounts recorded as a component of other comprehensive income (loss) can occur in any given period.</w:t>
      </w:r>
    </w:p>
    <w:p>
      <w:pPr>
        <w:spacing w:after="0" w:line="10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2019, our Canadian subsidiaries transacted a portion of their business in U.S. Dollars and at any period end had cash on deposit in U.S. Dollars and outstanding U.S. Dollar accounts receivable related to those transactions. Those cash and receivable amounts are vulnerable to foreign currency transaction gains or losses. Exchange rate movements also affect the translation of Canadian generated profits and losses into U.S. Dollars. Had the Canadian Dollar been 10.0% stronger or weaker against the U.S. Dollar, we would have reported increased or decreased net income of $5.3 million and $4.8 million for the years ended December 31, 2019 and 2018,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Clean Harbors,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Clean Harbors, Inc. and subsidiaries (the "Company") as of December 31, 2019 and 2018, the related consolidated statements of operations, comprehensive income, cash flows and stockholders’ equity, for each of the three years in the period ended December 31, 2019, and the related notes and the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2020,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7" w:lineRule="exact"/>
        <w:rPr>
          <w:sz w:val="20"/>
          <w:szCs w:val="20"/>
          <w:color w:val="auto"/>
        </w:rPr>
      </w:pPr>
    </w:p>
    <w:p>
      <w:pPr>
        <w:ind w:right="1620"/>
        <w:spacing w:after="0" w:line="407" w:lineRule="auto"/>
        <w:rPr>
          <w:sz w:val="20"/>
          <w:szCs w:val="20"/>
          <w:color w:val="auto"/>
        </w:rPr>
      </w:pPr>
      <w:r>
        <w:rPr>
          <w:rFonts w:ascii="Arial" w:cs="Arial" w:eastAsia="Arial" w:hAnsi="Arial"/>
          <w:sz w:val="18"/>
          <w:szCs w:val="18"/>
          <w:b w:val="1"/>
          <w:bCs w:val="1"/>
          <w:i w:val="1"/>
          <w:iCs w:val="1"/>
          <w:color w:val="auto"/>
        </w:rPr>
        <w:t xml:space="preserve">Remedial Liabilities - Refer to Note 2, Significant Accounting Policies, and Note 11, Remedial Liabilities, to the financial statements </w:t>
      </w:r>
      <w:r>
        <w:rPr>
          <w:rFonts w:ascii="Arial" w:cs="Arial" w:eastAsia="Arial" w:hAnsi="Arial"/>
          <w:sz w:val="18"/>
          <w:szCs w:val="18"/>
          <w:i w:val="1"/>
          <w:iCs w:val="1"/>
          <w:color w:val="auto"/>
        </w:rPr>
        <w:t>Critical Audit Matter Description</w:t>
      </w:r>
    </w:p>
    <w:p>
      <w:pPr>
        <w:ind w:right="20"/>
        <w:spacing w:after="0" w:line="270" w:lineRule="auto"/>
        <w:rPr>
          <w:sz w:val="20"/>
          <w:szCs w:val="20"/>
          <w:color w:val="auto"/>
        </w:rPr>
      </w:pPr>
      <w:r>
        <w:rPr>
          <w:rFonts w:ascii="Arial" w:cs="Arial" w:eastAsia="Arial" w:hAnsi="Arial"/>
          <w:sz w:val="17"/>
          <w:szCs w:val="17"/>
          <w:color w:val="auto"/>
        </w:rPr>
        <w:t>Remedial liabilities include the costs of removal or containment of contaminated material, the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and Superfund sites owned by third parties for which the Company, or the prior owners of certain of the Company's facilities, may have certain indemnification obligations. The Company's estimate of remedial liabilities involved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satisfy the costs which have been apportioned to these other parties.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Remedial liabilities are inherently difficult to estimate and involve a significant amount of judgment. Estimating remedial liabilities requires that the existing environmental contamination be understood. There are risks that the actual quantities of contaminants differ from the results of the site investigation, and that contaminants exist that have not been identified by the site investigation. In addition, the amount of remedial liabilities recorded is dependent on the remedial method selected. There is a risk that funds will be expended on a remedial solution that is not successful, which could result in the Company incurring incremental costs of an alternative solution.</w:t>
      </w:r>
    </w:p>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routinely reviews and evaluates the sites for which remedial liabilities have been recognized to determine if there should be changes in the cost estimates. As a result, the valuation of liabilities is subject to material changes as additional information becomes available, particularly as it relates to changes in technologies and changes in laws and regulations that govern the remediation efforts.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Total remedial liabilities recorded as of December 31, 2019 were $114.2 million.</w:t>
      </w:r>
    </w:p>
    <w:p>
      <w:pPr>
        <w:spacing w:after="0" w:line="14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Given the subjectivity and judgment involved in measuring remedial liabilities due to the (i) uncertainty as to the types and quantities of contaminants to be remediated, (ii) the stage of remediation and extended period over which the remediation efforts are expected to occur, (iii) complexities and uncertainties of the selection of the method of remediation and inherent variability in the efficacy of the selected remediation efforts, and (iv) understanding the effects on the estimates due to changes in technology and changes in laws and regulations, auditing remedial liabilities involved especially subjective judgment and an increased extent of effort, including the need to involve our specialists who have expertise in environmental remediation.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remedial liabilities included the following, among others:</w:t>
      </w:r>
    </w:p>
    <w:p>
      <w:pPr>
        <w:spacing w:after="0" w:line="144" w:lineRule="exact"/>
        <w:rPr>
          <w:sz w:val="20"/>
          <w:szCs w:val="20"/>
          <w:color w:val="auto"/>
        </w:rPr>
      </w:pPr>
    </w:p>
    <w:p>
      <w:pPr>
        <w:ind w:left="660" w:right="22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the recognition and measurement of remedial liabilities, including those controls over changes in estimates.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cash flows by comparing actual results to management’s historical forecasts through retrospective reviews.</w:t>
      </w:r>
    </w:p>
    <w:p>
      <w:pPr>
        <w:ind w:left="660" w:right="1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remedial liabilities by confirming specific facts and circumstances related to a selection of sites with project managers and other Company personnel responsible for monitoring these sites, including internal and external counsel.</w:t>
      </w:r>
    </w:p>
    <w:p>
      <w:pPr>
        <w:spacing w:after="0" w:line="1"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the assistance of auditor specialists who have expertise in environmental matters and specialized skills and training, we evaluated the reasonableness of the Company’s estimates by:</w:t>
      </w:r>
    </w:p>
    <w:p>
      <w:pPr>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Searching for information in the public domain for completeness of sites identified for remediation.</w:t>
      </w:r>
    </w:p>
    <w:p>
      <w:pPr>
        <w:spacing w:after="0" w:line="9" w:lineRule="exact"/>
        <w:rPr>
          <w:rFonts w:ascii="Arial" w:cs="Arial" w:eastAsia="Arial" w:hAnsi="Arial"/>
          <w:sz w:val="18"/>
          <w:szCs w:val="18"/>
          <w:color w:val="auto"/>
        </w:rPr>
      </w:pPr>
    </w:p>
    <w:p>
      <w:pPr>
        <w:ind w:left="1300" w:right="120" w:hanging="320"/>
        <w:spacing w:after="0" w:line="250"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Assessing the completeness of the Company’s costs estimate for a selection of sites, specifically, comparing the costs estimates to relevant regulatory guidelines and specifications.</w:t>
      </w:r>
    </w:p>
    <w:p>
      <w:pPr>
        <w:ind w:left="1300" w:right="220" w:hanging="320"/>
        <w:spacing w:after="0" w:line="290"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Testing the accuracy of the amounts recorded for a selection of sites, specifically, verifying the mathematical accuracy of the calculation, agreeing cost components to supporting documents, and/or developing an independent range of cost estimates.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18" w:right="2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371,991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226,507</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Short-term marketable securities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42,421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52,856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 of allowances aggregating $38,711 and $44,315,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644,738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606,952</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Unbilled accounts receivable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56,326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54,794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18,770</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Inventories and supplies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214,744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199,479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42,800</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1,400,908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1,202,158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1,588,151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1,561,978</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525,013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514,189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Permits and other 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419,066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441,875</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13,560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18,121</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974,185</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4,108,904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3,738,321</w:t>
            </w:r>
          </w:p>
        </w:tc>
        <w:tc>
          <w:tcPr>
            <w:tcW w:w="0" w:type="dxa"/>
            <w:vAlign w:val="bottom"/>
          </w:tcPr>
          <w:p>
            <w:pPr>
              <w:spacing w:after="0"/>
              <w:rPr>
                <w:sz w:val="1"/>
                <w:szCs w:val="1"/>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Current portion of long-term obligations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7,535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7,535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276,461</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73,370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61,843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233,405</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Current portion of closure, post-closure and remedial liabilities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23,301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23,034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Current portion of operating lease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720,100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602,278</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Closure and post-closure liabilities, less current portion of $7,283 and $9,592, respectively</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68,368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60,339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Remedial liabilities, less current portion of $16,018 and $13,442,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107,575</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Long-term obligations, less current portion</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1,554,116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1,565,021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lease liabilities, less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Deferred taxes, unrecognized tax benefits and other long-term liabilities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277,332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233,352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2,118,991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1,966,287</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Commitments and contingent liabilities (See Note 18)</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Common stock, $0.01 par value: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Authorized 80,000,000 shares; issued and outstanding 55,797,734 and 55,847,261 shares,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644,412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655,415</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(223,371)</w:t>
            </w:r>
          </w:p>
        </w:tc>
        <w:tc>
          <w:tcPr>
            <w:tcW w:w="0" w:type="dxa"/>
            <w:vAlign w:val="bottom"/>
          </w:tcPr>
          <w:p>
            <w:pPr>
              <w:spacing w:after="0"/>
              <w:rPr>
                <w:sz w:val="1"/>
                <w:szCs w:val="1"/>
                <w:color w:val="auto"/>
              </w:rPr>
            </w:pPr>
          </w:p>
        </w:tc>
      </w:tr>
      <w:tr>
        <w:trPr>
          <w:trHeight w:val="237"/>
        </w:trPr>
        <w:tc>
          <w:tcPr>
            <w:tcW w:w="8800" w:type="dxa"/>
            <w:vAlign w:val="bottom"/>
          </w:tcPr>
          <w:p>
            <w:pPr>
              <w:ind w:left="120"/>
              <w:spacing w:after="0"/>
              <w:rPr>
                <w:sz w:val="20"/>
                <w:szCs w:val="20"/>
                <w:color w:val="auto"/>
              </w:rPr>
            </w:pPr>
            <w:r>
              <w:rPr>
                <w:rFonts w:ascii="Arial" w:cs="Arial" w:eastAsia="Arial" w:hAnsi="Arial"/>
                <w:sz w:val="16"/>
                <w:szCs w:val="16"/>
                <w:color w:val="auto"/>
              </w:rPr>
              <w:t>Accumulated earnings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834,894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737,154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1,269,813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1,169,756</w:t>
            </w:r>
          </w:p>
        </w:tc>
        <w:tc>
          <w:tcPr>
            <w:tcW w:w="0" w:type="dxa"/>
            <w:vAlign w:val="bottom"/>
          </w:tcPr>
          <w:p>
            <w:pPr>
              <w:spacing w:after="0"/>
              <w:rPr>
                <w:sz w:val="1"/>
                <w:szCs w:val="1"/>
                <w:color w:val="auto"/>
              </w:rPr>
            </w:pPr>
          </w:p>
        </w:tc>
      </w:tr>
      <w:tr>
        <w:trPr>
          <w:trHeight w:val="244"/>
        </w:trPr>
        <w:tc>
          <w:tcPr>
            <w:tcW w:w="880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4,108,904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3,738,321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880"/>
              <w:spacing w:after="0"/>
              <w:rPr>
                <w:sz w:val="20"/>
                <w:szCs w:val="20"/>
                <w:color w:val="auto"/>
              </w:rPr>
            </w:pPr>
            <w:r>
              <w:rPr>
                <w:rFonts w:ascii="Arial" w:cs="Arial" w:eastAsia="Arial" w:hAnsi="Arial"/>
                <w:sz w:val="16"/>
                <w:szCs w:val="16"/>
                <w:color w:val="auto"/>
                <w:w w:val="94"/>
              </w:rPr>
              <w:t>The accompanying notes are an integral part of these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18" w:right="23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60"/>
              <w:spacing w:after="0"/>
              <w:rPr>
                <w:sz w:val="20"/>
                <w:szCs w:val="20"/>
                <w:color w:val="auto"/>
              </w:rPr>
            </w:pPr>
            <w:r>
              <w:rPr>
                <w:rFonts w:ascii="Arial" w:cs="Arial" w:eastAsia="Arial" w:hAnsi="Arial"/>
                <w:sz w:val="18"/>
                <w:szCs w:val="18"/>
                <w:color w:val="auto"/>
              </w:rPr>
              <w:t>Service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2,842,881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2,709,239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2,398,650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569,309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591,064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546,328</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3,412,190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3,300,303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2,944,978</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60"/>
              <w:spacing w:after="0"/>
              <w:rPr>
                <w:sz w:val="20"/>
                <w:szCs w:val="20"/>
                <w:color w:val="auto"/>
              </w:rPr>
            </w:pPr>
            <w:r>
              <w:rPr>
                <w:rFonts w:ascii="Arial" w:cs="Arial" w:eastAsia="Arial" w:hAnsi="Arial"/>
                <w:sz w:val="18"/>
                <w:szCs w:val="18"/>
                <w:color w:val="auto"/>
              </w:rPr>
              <w:t>Service revenues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1,945,021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1,861,975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1,641,798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442,798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420,875</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2,387,819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2,305,551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2,062,673</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456,648</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300,725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298,625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288,422</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229,456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182,574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127,775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30,732</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Interest expense, net of interest income of $4,227, $2,958 and $1,897, respectively</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(85,808)</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(benefit)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148,239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58,689</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50,499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(42,050)</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97,740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65,636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100,739</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5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share — Basic</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55,845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57,072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00" w:type="dxa"/>
            <w:vAlign w:val="bottom"/>
          </w:tcPr>
          <w:p>
            <w:pPr>
              <w:ind w:left="20"/>
              <w:spacing w:after="0"/>
              <w:rPr>
                <w:sz w:val="20"/>
                <w:szCs w:val="20"/>
                <w:color w:val="auto"/>
              </w:rPr>
            </w:pPr>
            <w:r>
              <w:rPr>
                <w:rFonts w:ascii="Arial" w:cs="Arial" w:eastAsia="Arial" w:hAnsi="Arial"/>
                <w:sz w:val="18"/>
                <w:szCs w:val="18"/>
                <w:color w:val="auto"/>
              </w:rPr>
              <w:t>Shares used to compute earnings per share — Diluted</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56,129</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56,340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57,200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100,739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(losses) gains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w w:val="96"/>
              </w:rPr>
              <w:t>Reclassification adjustment for losses on available-for-sale securities included in net income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loss on interest rate hedge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Reclassification adjustment for losses on interest rate hedge included in net income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41,636</w:t>
            </w: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Unfunded pension liability</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41,919</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111,060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14,672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142,658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50" w:name="page51"/>
    <w:bookmarkEnd w:id="50"/>
    <w:p>
      <w:pPr>
        <w:spacing w:after="0" w:line="6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5"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CLEAN HARBORS, INC. AND SUBSIDIARIES</w:t>
      </w:r>
    </w:p>
    <w:p>
      <w:pPr>
        <w:spacing w:after="0" w:line="61"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97,740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65,636</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100,739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300,725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298,625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288,422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7,901</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Amortization of deferred financing costs and debt discount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Accretion of environmental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9,460</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Changes in environmental liability estimates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(83,335)</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6,119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13,146</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Gain on sale of businesses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(30,732)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7,891</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Environmental expenditures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(12,965)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Changes in assets and liabilities, net of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Accounts receivable and unbilled accounts receivable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(79,563)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(33,764)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Inventories and supplies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16,720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(10,684)</w:t>
            </w:r>
          </w:p>
        </w:tc>
        <w:tc>
          <w:tcPr>
            <w:tcW w:w="0" w:type="dxa"/>
            <w:vAlign w:val="bottom"/>
          </w:tcPr>
          <w:p>
            <w:pPr>
              <w:spacing w:after="0"/>
              <w:rPr>
                <w:sz w:val="1"/>
                <w:szCs w:val="1"/>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Other current and long-term liabilities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45,447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12,121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8,495</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373,210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285,698</w:t>
            </w:r>
          </w:p>
        </w:tc>
        <w:tc>
          <w:tcPr>
            <w:tcW w:w="0" w:type="dxa"/>
            <w:vAlign w:val="bottom"/>
          </w:tcPr>
          <w:p>
            <w:pPr>
              <w:spacing w:after="0"/>
              <w:rPr>
                <w:sz w:val="1"/>
                <w:szCs w:val="1"/>
                <w:color w:val="auto"/>
              </w:rPr>
            </w:pP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(193,344)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(167,007)</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sale and disposal of fixed assets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7,124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(151,023)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(49,227)</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Additions to intangible assets including costs to obtain or renew permits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(4,688)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(38,342)</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sale of available-for-sale securities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51,202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28,723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businesses, net of transactional costs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45,426</w:t>
            </w:r>
          </w:p>
        </w:tc>
        <w:tc>
          <w:tcPr>
            <w:tcW w:w="0" w:type="dxa"/>
            <w:vAlign w:val="bottom"/>
          </w:tcPr>
          <w:p>
            <w:pPr>
              <w:spacing w:after="0"/>
              <w:rPr>
                <w:sz w:val="1"/>
                <w:szCs w:val="1"/>
                <w:color w:val="auto"/>
              </w:rPr>
            </w:pP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(217,856)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(349,659)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(203,267)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Change in uncashed checks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Tax payments related to withholdings on vested restricted stock</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(48,971)</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Deferred financing costs paid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Premiums paid on early extinguishment of 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(6,028)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(405,768)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(402,000)</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issuance of debt, net of discount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845,000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348,250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399,000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 from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Payment on revolving credit facility</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(72,760)</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Effect of exchange rate change on cash</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3,573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(5,446)</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2,731</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Increase (decrease)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145,484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(92,892)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226,507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319,399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306,997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year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371,991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226,507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319,399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 for interest and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60,852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89,171</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93,174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paid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18,682</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plant and equipment accrued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16,109</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Transfer of inventory to property, plant and equipment</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12,641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Payable for estimated purchase price adjustment</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The accompanying notes are an integral part of these consolidated financial statements.</w:t>
      </w:r>
    </w:p>
    <w:p>
      <w:pPr>
        <w:sectPr>
          <w:pgSz w:w="11900" w:h="16838" w:orient="portrait"/>
          <w:cols w:equalWidth="0" w:num="1">
            <w:col w:w="9019"/>
          </w:cols>
          <w:pgMar w:left="1440" w:top="157" w:right="1440"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019"/>
          </w:cols>
          <w:pgMar w:left="1440" w:top="157" w:right="1440"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88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Shares Held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Under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5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Employee</w:t>
            </w:r>
          </w:p>
        </w:tc>
        <w:tc>
          <w:tcPr>
            <w:tcW w:w="8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restart"/>
          </w:tcPr>
          <w:p>
            <w:pPr>
              <w:jc w:val="right"/>
              <w:ind w:right="20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2"/>
        </w:trPr>
        <w:tc>
          <w:tcPr>
            <w:tcW w:w="4580" w:type="dxa"/>
            <w:vAlign w:val="bottom"/>
          </w:tcPr>
          <w:p>
            <w:pPr>
              <w:spacing w:after="0"/>
              <w:rPr>
                <w:sz w:val="8"/>
                <w:szCs w:val="8"/>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$0.01 Par</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Participation</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continue"/>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2017</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57,298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725,670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(214,326)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572,793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1,084,241</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100,739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100,739</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Cumulative effect of change in accounting for stock 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41,919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41,919</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13,146</w:t>
            </w:r>
          </w:p>
        </w:tc>
        <w:tc>
          <w:tcPr>
            <w:tcW w:w="0" w:type="dxa"/>
            <w:vAlign w:val="bottom"/>
          </w:tcPr>
          <w:p>
            <w:pPr>
              <w:spacing w:after="0"/>
              <w:rPr>
                <w:sz w:val="1"/>
                <w:szCs w:val="1"/>
                <w:color w:val="auto"/>
              </w:rPr>
            </w:pPr>
          </w:p>
        </w:tc>
      </w:tr>
      <w:tr>
        <w:trPr>
          <w:trHeight w:val="157"/>
        </w:trPr>
        <w:tc>
          <w:tcPr>
            <w:tcW w:w="4580" w:type="dxa"/>
            <w:vAlign w:val="bottom"/>
          </w:tcPr>
          <w:p>
            <w:pPr>
              <w:ind w:left="180"/>
              <w:spacing w:after="0" w:line="157" w:lineRule="exact"/>
              <w:rPr>
                <w:sz w:val="20"/>
                <w:szCs w:val="20"/>
                <w:color w:val="auto"/>
              </w:rPr>
            </w:pPr>
            <w:r>
              <w:rPr>
                <w:rFonts w:ascii="Arial" w:cs="Arial" w:eastAsia="Arial" w:hAnsi="Arial"/>
                <w:sz w:val="14"/>
                <w:szCs w:val="14"/>
                <w:color w:val="auto"/>
                <w:w w:val="94"/>
              </w:rPr>
              <w:t>Issuance of common stock for restricted share vesting, net of employee tax</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180"/>
              <w:spacing w:after="0"/>
              <w:rPr>
                <w:sz w:val="20"/>
                <w:szCs w:val="20"/>
                <w:color w:val="auto"/>
              </w:rPr>
            </w:pPr>
            <w:r>
              <w:rPr>
                <w:rFonts w:ascii="Arial" w:cs="Arial" w:eastAsia="Arial" w:hAnsi="Arial"/>
                <w:sz w:val="14"/>
                <w:szCs w:val="14"/>
                <w:color w:val="auto"/>
              </w:rPr>
              <w:t>withholding</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(48,962)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(48,971)</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held under employee participation plan</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56,501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686,962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673,082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1,188,202</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65,636</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Cumulative effect of change in accounting principle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(50,964)</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16,792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16,792</w:t>
            </w:r>
          </w:p>
        </w:tc>
        <w:tc>
          <w:tcPr>
            <w:tcW w:w="0" w:type="dxa"/>
            <w:vAlign w:val="bottom"/>
          </w:tcPr>
          <w:p>
            <w:pPr>
              <w:spacing w:after="0"/>
              <w:rPr>
                <w:sz w:val="1"/>
                <w:szCs w:val="1"/>
                <w:color w:val="auto"/>
              </w:rPr>
            </w:pPr>
          </w:p>
        </w:tc>
      </w:tr>
      <w:tr>
        <w:trPr>
          <w:trHeight w:val="163"/>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Issuance of common stock for restricted share vesting, net of employee tax</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withholding</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Repurchases of common stock</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(45,072)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(45,080)</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655,415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737,154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1,169,756</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97,740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97,740</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13,320</w:t>
            </w:r>
          </w:p>
        </w:tc>
        <w:tc>
          <w:tcPr>
            <w:tcW w:w="0" w:type="dxa"/>
            <w:vAlign w:val="bottom"/>
          </w:tcPr>
          <w:p>
            <w:pPr>
              <w:spacing w:after="0"/>
              <w:rPr>
                <w:sz w:val="1"/>
                <w:szCs w:val="1"/>
                <w:color w:val="auto"/>
              </w:rPr>
            </w:pPr>
          </w:p>
        </w:tc>
      </w:tr>
      <w:tr>
        <w:trPr>
          <w:trHeight w:val="264"/>
        </w:trPr>
        <w:tc>
          <w:tcPr>
            <w:tcW w:w="45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17,816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17,816</w:t>
            </w:r>
          </w:p>
        </w:tc>
        <w:tc>
          <w:tcPr>
            <w:tcW w:w="0" w:type="dxa"/>
            <w:vAlign w:val="bottom"/>
          </w:tcPr>
          <w:p>
            <w:pPr>
              <w:spacing w:after="0"/>
              <w:rPr>
                <w:sz w:val="1"/>
                <w:szCs w:val="1"/>
                <w:color w:val="auto"/>
              </w:rPr>
            </w:pPr>
          </w:p>
        </w:tc>
      </w:tr>
      <w:tr>
        <w:trPr>
          <w:trHeight w:val="163"/>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Issuance of common stock for restricted share vesting, net of employee tax</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withholding</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(7,429)</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Repurchases of common stock</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(21,390)</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55,798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644,412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834,894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1,269,813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w:t>
      </w:r>
    </w:p>
    <w:p>
      <w:pPr>
        <w:spacing w:after="0" w:line="148"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Clean Harbors, Inc., through its subsidiaries (collectively, the "Company"), is a leading provider of environmental, energy and industrial services throughout North America. The Company is also the largest re-refiner and recycler of used oil and the largest provider of parts cleaning and related environmental services to commercial, industrial and automotive customers in North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accompanying consolidated financial statements of the Company reflect the application of certain significant accounting policies as described below:</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Principles of Consolidation</w:t>
      </w:r>
    </w:p>
    <w:p>
      <w:pPr>
        <w:spacing w:after="0" w:line="14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accompanying consolidated statements include the accounts of Clean Harbors, Inc. and its majority-owned subsidiaries. All intercompany accounts and transactions have been eliminated in consolidation.</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Use of Estimates</w:t>
      </w:r>
    </w:p>
    <w:p>
      <w:pPr>
        <w:spacing w:after="0" w:line="14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which are evaluated on an ongoing basis, that affect the amounts reported in the Company's consolidated financial statements and accompanying notes. Management bases its estimates on historical experience and on various other assumptions it believes to be reasonable at the time under the circumstances, the results of which form the basis for making judgments about the carrying values of assets and liabilities and disclosure, if any, of contingent assets and liabilities and reported amounts of revenues and expenses. Actual results could differ from those estimates and judgments.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Cash Equivalents and Uncashed Checks</w:t>
      </w:r>
    </w:p>
    <w:p>
      <w:pPr>
        <w:spacing w:after="0" w:line="14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Cash consists primarily of cash on deposit and money market accounts. Marketable securities with maturities of three months or less from the date of purchase are classified as cash equivalents. The Company's cash management program with its revolving credit lender allows for the maintenance of a zero balance in the U.S. bank disbursement accounts that are used to issue vendor and payroll checks. The program can result in checks outstanding in excess of bank balances in the disbursement accounts. When checks are presented to the bank for payment, cash deposits in amounts sufficient to fund the checks are made, at the Company's discretion, either from funds provided by other accounts or under the terms of the Company's revolving credit facility. Therefore, until checks are presented for payment, there is no right of offset by the bank and the Company continues to have control over cash relating to both released as well as unreleased checks. Checks that have been written to vendors or employees but have not yet been presented for payment at the Company's bank are classified as uncashed checks as part of accounts payable and changes in the balance are reported as a financing activity in the consolidated statements of cash flows.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Marketable Securities</w:t>
      </w:r>
    </w:p>
    <w:p>
      <w:pPr>
        <w:spacing w:after="0" w:line="144"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Company, through its wholly-owned captive insurance subsidiary, invests in marketable securities consisting of U.S. Treasury securities, corporate notes and bonds and commercial paper. As of December 31, 2019 and 2018, the Company had total marketable securities and cash equivalents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CCEEFF"/>
            </w:tcBorders>
          </w:tcPr>
          <w:p>
            <w:pPr>
              <w:spacing w:after="0"/>
              <w:rPr>
                <w:sz w:val="16"/>
                <w:szCs w:val="16"/>
                <w:color w:val="auto"/>
              </w:rPr>
            </w:pPr>
          </w:p>
        </w:tc>
        <w:tc>
          <w:tcPr>
            <w:tcW w:w="3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37"/>
        </w:trPr>
        <w:tc>
          <w:tcPr>
            <w:tcW w:w="430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36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Corporate notes and bonds</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26,678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38,036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6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37"/>
        </w:trPr>
        <w:tc>
          <w:tcPr>
            <w:tcW w:w="4300" w:type="dxa"/>
            <w:vAlign w:val="bottom"/>
          </w:tcPr>
          <w:p>
            <w:pPr>
              <w:ind w:left="260"/>
              <w:spacing w:after="0"/>
              <w:rPr>
                <w:sz w:val="20"/>
                <w:szCs w:val="20"/>
                <w:color w:val="auto"/>
              </w:rPr>
            </w:pPr>
            <w:r>
              <w:rPr>
                <w:rFonts w:ascii="Arial" w:cs="Arial" w:eastAsia="Arial" w:hAnsi="Arial"/>
                <w:sz w:val="18"/>
                <w:szCs w:val="18"/>
                <w:color w:val="auto"/>
              </w:rPr>
              <w:t>Total short-term marketable securities</w:t>
            </w:r>
          </w:p>
        </w:tc>
        <w:tc>
          <w:tcPr>
            <w:tcW w:w="36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42,421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52,856</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financial assets</w:t>
            </w:r>
          </w:p>
        </w:tc>
        <w:tc>
          <w:tcPr>
            <w:tcW w:w="3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44,816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60,982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3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Realized gains and losses on sales of available-for-sale marketable securities in the years ended December 31, 2019, 2018 and 2017 were immaterial.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marketable securities have a remaining maturity of less than one year and fair value approximates cost.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Allowances for Doubtful Accounts</w:t>
      </w:r>
    </w:p>
    <w:p>
      <w:pPr>
        <w:spacing w:after="0" w:line="14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On a regular basis, the Company evaluates its accounts receivable and establishes the allowance for doubtful accounts based on an evaluation of certain criteria and evidence of collection certainty including historical collection trends, current economic trends and changes in customer payment patterns. Past-due receivable balances are written off when the Company's internal collection efforts have been deemed unsuccessful in collecting the outstanding balance due.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Concentration</w:t>
      </w:r>
    </w:p>
    <w:p>
      <w:pPr>
        <w:spacing w:after="0" w:line="144"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direct revenues in the periods presented.</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Inventories and Supplies</w:t>
      </w:r>
    </w:p>
    <w:p>
      <w:pPr>
        <w:spacing w:after="0" w:line="144"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Inventories are stated at the lower of cost or market. The cost of oil and oil products is principally determined on a first-in, first-out ("FIFO") basis. The cost of supplies and drums, solvent and solution and other inventories is determined on a FIFO or a weighted average cost basis. The Company continually reviews its inventories for obsolete or unsalable items and adjusts its carrying value to reflect estimated realizable values.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Plant and Equipment, net (excluding landfill assets)</w:t>
      </w:r>
    </w:p>
    <w:p>
      <w:pPr>
        <w:spacing w:after="0" w:line="14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Property, plant and equipment, net is stated at cost less accumulated depreciation. Expenditures for major renewals and improvements which extend the life or usefulness of the asset are capitalized. Items of an ordinary repair or maintenance nature are charged directly to operating expense as incurred. Gains and losses on the sale of property, plant and equipment are included in other income (expense), net. During the construction and development period of an asset, the costs incurred are classified as construction-in-progress.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depreciates and amortizes the capitalized cost of these assets, using the straight-line method as follows: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Classification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Estimated Useful Life</w:t>
            </w:r>
          </w:p>
        </w:tc>
      </w:tr>
      <w:tr>
        <w:trPr>
          <w:trHeight w:val="250"/>
        </w:trPr>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580" w:type="dxa"/>
            <w:vAlign w:val="bottom"/>
            <w:gridSpan w:val="2"/>
          </w:tcPr>
          <w:p>
            <w:pPr>
              <w:ind w:left="160"/>
              <w:spacing w:after="0"/>
              <w:rPr>
                <w:sz w:val="20"/>
                <w:szCs w:val="20"/>
                <w:color w:val="auto"/>
              </w:rPr>
            </w:pPr>
            <w:r>
              <w:rPr>
                <w:rFonts w:ascii="Arial" w:cs="Arial" w:eastAsia="Arial" w:hAnsi="Arial"/>
                <w:sz w:val="18"/>
                <w:szCs w:val="18"/>
                <w:color w:val="auto"/>
              </w:rPr>
              <w:t>Buildings</w:t>
            </w:r>
          </w:p>
        </w:tc>
        <w:tc>
          <w:tcPr>
            <w:tcW w:w="1800" w:type="dxa"/>
            <w:vAlign w:val="bottom"/>
          </w:tcPr>
          <w:p>
            <w:pPr>
              <w:ind w:left="20"/>
              <w:spacing w:after="0"/>
              <w:rPr>
                <w:sz w:val="20"/>
                <w:szCs w:val="20"/>
                <w:color w:val="auto"/>
              </w:rPr>
            </w:pPr>
            <w:r>
              <w:rPr>
                <w:rFonts w:ascii="Arial" w:cs="Arial" w:eastAsia="Arial" w:hAnsi="Arial"/>
                <w:sz w:val="18"/>
                <w:szCs w:val="18"/>
                <w:color w:val="auto"/>
              </w:rPr>
              <w:t>20-42 years</w:t>
            </w: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Leasehold and building improvements</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2-45 years</w:t>
            </w:r>
          </w:p>
        </w:tc>
      </w:tr>
      <w:tr>
        <w:trPr>
          <w:trHeight w:val="243"/>
        </w:trPr>
        <w:tc>
          <w:tcPr>
            <w:tcW w:w="9580" w:type="dxa"/>
            <w:vAlign w:val="bottom"/>
            <w:gridSpan w:val="2"/>
          </w:tcPr>
          <w:p>
            <w:pPr>
              <w:ind w:left="20"/>
              <w:spacing w:after="0"/>
              <w:rPr>
                <w:sz w:val="20"/>
                <w:szCs w:val="20"/>
                <w:color w:val="auto"/>
              </w:rPr>
            </w:pPr>
            <w:r>
              <w:rPr>
                <w:rFonts w:ascii="Arial" w:cs="Arial" w:eastAsia="Arial" w:hAnsi="Arial"/>
                <w:sz w:val="18"/>
                <w:szCs w:val="18"/>
                <w:color w:val="auto"/>
              </w:rPr>
              <w:t>Camp and lodging equipment</w:t>
            </w:r>
          </w:p>
        </w:tc>
        <w:tc>
          <w:tcPr>
            <w:tcW w:w="1800" w:type="dxa"/>
            <w:vAlign w:val="bottom"/>
          </w:tcPr>
          <w:p>
            <w:pPr>
              <w:ind w:left="20"/>
              <w:spacing w:after="0"/>
              <w:rPr>
                <w:sz w:val="20"/>
                <w:szCs w:val="20"/>
                <w:color w:val="auto"/>
              </w:rPr>
            </w:pPr>
            <w:r>
              <w:rPr>
                <w:rFonts w:ascii="Arial" w:cs="Arial" w:eastAsia="Arial" w:hAnsi="Arial"/>
                <w:sz w:val="18"/>
                <w:szCs w:val="18"/>
                <w:color w:val="auto"/>
              </w:rPr>
              <w:t>8-15 years</w:t>
            </w: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2-15 years</w:t>
            </w:r>
          </w:p>
        </w:tc>
      </w:tr>
      <w:tr>
        <w:trPr>
          <w:trHeight w:val="243"/>
        </w:trPr>
        <w:tc>
          <w:tcPr>
            <w:tcW w:w="9580" w:type="dxa"/>
            <w:vAlign w:val="bottom"/>
            <w:gridSpan w:val="2"/>
          </w:tcPr>
          <w:p>
            <w:pPr>
              <w:ind w:left="20"/>
              <w:spacing w:after="0"/>
              <w:rPr>
                <w:sz w:val="20"/>
                <w:szCs w:val="20"/>
                <w:color w:val="auto"/>
              </w:rPr>
            </w:pPr>
            <w:r>
              <w:rPr>
                <w:rFonts w:ascii="Arial" w:cs="Arial" w:eastAsia="Arial" w:hAnsi="Arial"/>
                <w:sz w:val="18"/>
                <w:szCs w:val="18"/>
                <w:color w:val="auto"/>
              </w:rPr>
              <w:t>Equipment</w:t>
            </w:r>
          </w:p>
        </w:tc>
        <w:tc>
          <w:tcPr>
            <w:tcW w:w="1800" w:type="dxa"/>
            <w:vAlign w:val="bottom"/>
          </w:tcPr>
          <w:p>
            <w:pPr>
              <w:spacing w:after="0"/>
              <w:rPr>
                <w:sz w:val="21"/>
                <w:szCs w:val="21"/>
                <w:color w:val="auto"/>
              </w:rPr>
            </w:pP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Capitalized software and computer equipment</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 years</w:t>
            </w:r>
          </w:p>
        </w:tc>
      </w:tr>
      <w:tr>
        <w:trPr>
          <w:trHeight w:val="243"/>
        </w:trPr>
        <w:tc>
          <w:tcPr>
            <w:tcW w:w="9580" w:type="dxa"/>
            <w:vAlign w:val="bottom"/>
            <w:gridSpan w:val="2"/>
          </w:tcPr>
          <w:p>
            <w:pPr>
              <w:ind w:left="160"/>
              <w:spacing w:after="0"/>
              <w:rPr>
                <w:sz w:val="20"/>
                <w:szCs w:val="20"/>
                <w:color w:val="auto"/>
              </w:rPr>
            </w:pPr>
            <w:r>
              <w:rPr>
                <w:rFonts w:ascii="Arial" w:cs="Arial" w:eastAsia="Arial" w:hAnsi="Arial"/>
                <w:sz w:val="18"/>
                <w:szCs w:val="18"/>
                <w:color w:val="auto"/>
              </w:rPr>
              <w:t>Containers and railcars</w:t>
            </w:r>
          </w:p>
        </w:tc>
        <w:tc>
          <w:tcPr>
            <w:tcW w:w="1800" w:type="dxa"/>
            <w:vAlign w:val="bottom"/>
          </w:tcPr>
          <w:p>
            <w:pPr>
              <w:ind w:left="20"/>
              <w:spacing w:after="0"/>
              <w:rPr>
                <w:sz w:val="20"/>
                <w:szCs w:val="20"/>
                <w:color w:val="auto"/>
              </w:rPr>
            </w:pPr>
            <w:r>
              <w:rPr>
                <w:rFonts w:ascii="Arial" w:cs="Arial" w:eastAsia="Arial" w:hAnsi="Arial"/>
                <w:sz w:val="18"/>
                <w:szCs w:val="18"/>
                <w:color w:val="auto"/>
              </w:rPr>
              <w:t>8-16 years</w:t>
            </w:r>
          </w:p>
        </w:tc>
      </w:tr>
      <w:tr>
        <w:trPr>
          <w:trHeight w:val="27"/>
        </w:trPr>
        <w:tc>
          <w:tcPr>
            <w:tcW w:w="9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All other equipment</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4-30 years</w:t>
            </w:r>
          </w:p>
        </w:tc>
      </w:tr>
      <w:tr>
        <w:trPr>
          <w:trHeight w:val="243"/>
        </w:trPr>
        <w:tc>
          <w:tcPr>
            <w:tcW w:w="958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1800" w:type="dxa"/>
            <w:vAlign w:val="bottom"/>
          </w:tcPr>
          <w:p>
            <w:pPr>
              <w:ind w:left="20"/>
              <w:spacing w:after="0"/>
              <w:rPr>
                <w:sz w:val="20"/>
                <w:szCs w:val="20"/>
                <w:color w:val="auto"/>
              </w:rPr>
            </w:pPr>
            <w:r>
              <w:rPr>
                <w:rFonts w:ascii="Arial" w:cs="Arial" w:eastAsia="Arial" w:hAnsi="Arial"/>
                <w:sz w:val="18"/>
                <w:szCs w:val="18"/>
                <w:color w:val="auto"/>
              </w:rPr>
              <w:t>5-8 years</w:t>
            </w:r>
          </w:p>
        </w:tc>
      </w:tr>
    </w:tbl>
    <w:p>
      <w:pPr>
        <w:spacing w:after="0" w:line="36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recognizes an impairment in the carrying value of long-lived assets when the expected future undiscounted cash flows derived from the assets, or group of assets, are less than their carrying value. The Company did not record any impairment charges related to long-lived assets in any of the periods presented.</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Goodwill is comprised of the purchase price of business acquisitions in excess of the fair value of the net assets acquired. Goodwill is reviewed for impairment annually as of December 31, or when events or circumstances indicate that the carrying value of the reporting unit may exceed its fair value. If the carrying value of a reporting unit exceeds the fair value, an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52" w:right="2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impairment loss will be recognized in an amount equal to that excess, limited to the total amount of goodwill allocated to that reporting unit. The Company did not recognize any impairment losses in any of the periods presented. See Note 8, "Goodwill and Other Intangible Assets," for additional information related to the Company's goodwill impairment tests.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Permits and Other Intangibles</w:t>
      </w:r>
    </w:p>
    <w:p>
      <w:pPr>
        <w:spacing w:after="0" w:line="144"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non-compete agreements.</w:t>
      </w:r>
    </w:p>
    <w:p>
      <w:pPr>
        <w:spacing w:after="0" w:line="43"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Permits relating to landfills are amortized on a units-of-consumption basis. All other permits are amortized over periods ranging from 5 to 30 years on a straight-line basis. Finite-lived intangible assets are amortized on a straight-line basis over their respective useful lives, which range from 5 to 20 years.</w:t>
      </w:r>
    </w:p>
    <w:p>
      <w:pPr>
        <w:spacing w:after="0" w:line="4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All 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pacing w:after="0" w:line="106"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Landfill Accounting</w:t>
      </w:r>
    </w:p>
    <w:p>
      <w:pPr>
        <w:spacing w:after="0" w:line="14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Company amortizes landfill improvements and certain landfill-related permits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 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8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Landfill assets</w:t>
      </w:r>
      <w:r>
        <w:rPr>
          <w:rFonts w:ascii="Arial" w:cs="Arial" w:eastAsia="Arial" w:hAnsi="Arial"/>
          <w:sz w:val="17"/>
          <w:szCs w:val="17"/>
          <w:color w:val="auto"/>
        </w:rPr>
        <w:t>—Landfill assets include the costs of landfill site acquisition, permits and cell construction incurred to date. These amounts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$12.3 million, $10.3 million and $9.5 million for the years ended December 31, 2019, 2018 and 2017, respectively. Changes in estimated costs to complete construction are applied prospectively to the amortization rate.</w:t>
      </w:r>
    </w:p>
    <w:p>
      <w:pPr>
        <w:spacing w:after="0" w:line="97"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i w:val="1"/>
          <w:iCs w:val="1"/>
          <w:color w:val="auto"/>
        </w:rPr>
        <w:t>Landfill capacity</w:t>
      </w:r>
      <w:r>
        <w:rPr>
          <w:rFonts w:ascii="Arial" w:cs="Arial" w:eastAsia="Arial" w:hAnsi="Arial"/>
          <w:sz w:val="17"/>
          <w:szCs w:val="17"/>
          <w:color w:val="auto"/>
        </w:rPr>
        <w:t>—Landfill capacity, which is the basis for the amortization of landfill assets and for the accrual of final closure and post-closure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represents total permitted airspace plus unpermitted airspace that management believes is probable of ultimately being permitted based on established criteria. The Company applies the following criteria for evaluating the probability of obtaining a permit for future expansion airspace at existing sites, which provides management a basis to evaluate the likelihood of success of unpermitted expansions:</w:t>
      </w:r>
    </w:p>
    <w:p>
      <w:pPr>
        <w:spacing w:after="0" w:line="90" w:lineRule="exact"/>
        <w:rPr>
          <w:sz w:val="20"/>
          <w:szCs w:val="20"/>
          <w:color w:val="auto"/>
        </w:rPr>
      </w:pPr>
    </w:p>
    <w:p>
      <w:pPr>
        <w:ind w:left="660" w:right="5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Personnel are actively working to obtain the permit or permit modifications (land use, state and federal) necessary for expansion of an existing landfill, and progress is being made on the project.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Management expects to submit the application within the next year and to receive all necessary approvals to accept waste within the next five years.</w:t>
      </w:r>
    </w:p>
    <w:p>
      <w:pPr>
        <w:spacing w:after="0" w:line="167"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At the time the expansion is included in management's estimate of the landfill's useful economic life, it is probable that the required approvals will be received within the normal application and processing time periods for approvals in the jurisdiction in which the landfill is located.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52"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legal right to use or obtain the right to use the land associated with the expansion plan through title or lease.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are no significant known political, technical, legal or business restrictions or other issues that could impair the success of such expansion.</w:t>
      </w:r>
    </w:p>
    <w:p>
      <w:pPr>
        <w:spacing w:after="0" w:line="167" w:lineRule="exact"/>
        <w:rPr>
          <w:rFonts w:ascii="Arial" w:cs="Arial" w:eastAsia="Arial" w:hAnsi="Arial"/>
          <w:sz w:val="16"/>
          <w:szCs w:val="16"/>
          <w:color w:val="auto"/>
        </w:rPr>
      </w:pPr>
    </w:p>
    <w:p>
      <w:pPr>
        <w:ind w:left="660" w:right="3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is committed to pursuing the expansion which is supported by a complete financial feasibility analysis which demonstrates that the expansion will have a positive financial and operational impact.</w:t>
      </w:r>
    </w:p>
    <w:p>
      <w:pPr>
        <w:spacing w:after="0" w:line="89"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airspace and related additional costs, including permitting, final closure and post-closure costs have been estimated based on the conceptual design of the proposed expansion.</w:t>
      </w:r>
    </w:p>
    <w:p>
      <w:pPr>
        <w:spacing w:after="0" w:line="8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As of December 31, 2019, there were no unpermitted expansions included in the Company's landfill accounting model.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10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of December 31, 2019, the Company had 11 active landfill sites (including the Company's two non-commercial landfills), which have estimated remaining lives (based on anticipated waste volumes and remaining highly probable airspace)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3400" w:type="dxa"/>
            <w:vAlign w:val="bottom"/>
            <w:gridSpan w:val="6"/>
          </w:tcPr>
          <w:p>
            <w:pPr>
              <w:jc w:val="center"/>
              <w:ind w:left="853"/>
              <w:spacing w:after="0"/>
              <w:rPr>
                <w:sz w:val="20"/>
                <w:szCs w:val="20"/>
                <w:color w:val="auto"/>
              </w:rPr>
            </w:pPr>
            <w:r>
              <w:rPr>
                <w:rFonts w:ascii="Arial" w:cs="Arial" w:eastAsia="Arial" w:hAnsi="Arial"/>
                <w:sz w:val="14"/>
                <w:szCs w:val="14"/>
                <w:b w:val="1"/>
                <w:bCs w:val="1"/>
                <w:color w:val="auto"/>
                <w:w w:val="93"/>
              </w:rPr>
              <w:t>Remaining Highly Probable Airspace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2120" w:type="dxa"/>
            <w:vAlign w:val="bottom"/>
            <w:gridSpan w:val="5"/>
          </w:tcPr>
          <w:p>
            <w:pPr>
              <w:jc w:val="center"/>
              <w:ind w:right="360"/>
              <w:spacing w:after="0" w:line="145" w:lineRule="exact"/>
              <w:rPr>
                <w:sz w:val="20"/>
                <w:szCs w:val="20"/>
                <w:color w:val="auto"/>
              </w:rPr>
            </w:pPr>
            <w:r>
              <w:rPr>
                <w:rFonts w:ascii="Arial" w:cs="Arial" w:eastAsia="Arial" w:hAnsi="Arial"/>
                <w:sz w:val="14"/>
                <w:szCs w:val="14"/>
                <w:b w:val="1"/>
                <w:bCs w:val="1"/>
                <w:color w:val="auto"/>
                <w:w w:val="91"/>
              </w:rPr>
              <w:t>(cubic yards) (in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5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Lives</w:t>
            </w: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Facility Name</w:t>
            </w:r>
          </w:p>
        </w:tc>
        <w:tc>
          <w:tcPr>
            <w:tcW w:w="120" w:type="dxa"/>
            <w:vAlign w:val="bottom"/>
            <w:vMerge w:val="restart"/>
          </w:tcPr>
          <w:p>
            <w:pPr>
              <w:spacing w:after="0"/>
              <w:rPr>
                <w:sz w:val="5"/>
                <w:szCs w:val="5"/>
                <w:color w:val="auto"/>
              </w:rPr>
            </w:pPr>
          </w:p>
        </w:tc>
        <w:tc>
          <w:tcPr>
            <w:tcW w:w="286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2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Permitted</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Unpermitted</w:t>
            </w:r>
          </w:p>
        </w:tc>
        <w:tc>
          <w:tcPr>
            <w:tcW w:w="100" w:type="dxa"/>
            <w:vAlign w:val="bottom"/>
            <w:vMerge w:val="restart"/>
          </w:tcPr>
          <w:p>
            <w:pPr>
              <w:spacing w:after="0"/>
              <w:rPr>
                <w:sz w:val="5"/>
                <w:szCs w:val="5"/>
                <w:color w:val="auto"/>
              </w:rPr>
            </w:pPr>
          </w:p>
        </w:tc>
        <w:tc>
          <w:tcPr>
            <w:tcW w:w="460" w:type="dxa"/>
            <w:vAlign w:val="bottom"/>
            <w:vMerge w:val="restart"/>
          </w:tcPr>
          <w:p>
            <w:pPr>
              <w:spacing w:after="0"/>
              <w:rPr>
                <w:sz w:val="5"/>
                <w:szCs w:val="5"/>
                <w:color w:val="auto"/>
              </w:rPr>
            </w:pPr>
          </w:p>
        </w:tc>
        <w:tc>
          <w:tcPr>
            <w:tcW w:w="90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Altair</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Buttonwillow</w:t>
            </w:r>
          </w:p>
        </w:tc>
        <w:tc>
          <w:tcPr>
            <w:tcW w:w="28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Deer Park</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5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Deer Trail</w:t>
            </w:r>
          </w:p>
        </w:tc>
        <w:tc>
          <w:tcPr>
            <w:tcW w:w="2860" w:type="dxa"/>
            <w:vAlign w:val="bottom"/>
          </w:tcPr>
          <w:p>
            <w:pPr>
              <w:ind w:left="20"/>
              <w:spacing w:after="0"/>
              <w:rPr>
                <w:sz w:val="20"/>
                <w:szCs w:val="20"/>
                <w:color w:val="auto"/>
              </w:rPr>
            </w:pPr>
            <w:r>
              <w:rPr>
                <w:rFonts w:ascii="Arial" w:cs="Arial" w:eastAsia="Arial" w:hAnsi="Arial"/>
                <w:sz w:val="18"/>
                <w:szCs w:val="18"/>
                <w:color w:val="auto"/>
              </w:rPr>
              <w:t>Colorado</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Grassy Mountain</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Kimball</w:t>
            </w:r>
          </w:p>
        </w:tc>
        <w:tc>
          <w:tcPr>
            <w:tcW w:w="2860" w:type="dxa"/>
            <w:vAlign w:val="bottom"/>
          </w:tcPr>
          <w:p>
            <w:pPr>
              <w:ind w:left="20"/>
              <w:spacing w:after="0"/>
              <w:rPr>
                <w:sz w:val="20"/>
                <w:szCs w:val="20"/>
                <w:color w:val="auto"/>
              </w:rPr>
            </w:pPr>
            <w:r>
              <w:rPr>
                <w:rFonts w:ascii="Arial" w:cs="Arial" w:eastAsia="Arial" w:hAnsi="Arial"/>
                <w:sz w:val="18"/>
                <w:szCs w:val="18"/>
                <w:color w:val="auto"/>
              </w:rPr>
              <w:t>Nebraska</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Lambton</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Ontario, Canada</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Lone Mountain</w:t>
            </w:r>
          </w:p>
        </w:tc>
        <w:tc>
          <w:tcPr>
            <w:tcW w:w="2860" w:type="dxa"/>
            <w:vAlign w:val="bottom"/>
          </w:tcPr>
          <w:p>
            <w:pPr>
              <w:ind w:left="20"/>
              <w:spacing w:after="0"/>
              <w:rPr>
                <w:sz w:val="20"/>
                <w:szCs w:val="20"/>
                <w:color w:val="auto"/>
              </w:rPr>
            </w:pPr>
            <w:r>
              <w:rPr>
                <w:rFonts w:ascii="Arial" w:cs="Arial" w:eastAsia="Arial" w:hAnsi="Arial"/>
                <w:sz w:val="18"/>
                <w:szCs w:val="18"/>
                <w:color w:val="auto"/>
              </w:rPr>
              <w:t>Oklahoma</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Ryley</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Alberta</w:t>
            </w:r>
          </w:p>
        </w:tc>
        <w:tc>
          <w:tcPr>
            <w:tcW w:w="15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Sawyer</w:t>
            </w:r>
          </w:p>
        </w:tc>
        <w:tc>
          <w:tcPr>
            <w:tcW w:w="2860" w:type="dxa"/>
            <w:vAlign w:val="bottom"/>
          </w:tcPr>
          <w:p>
            <w:pPr>
              <w:ind w:left="20"/>
              <w:spacing w:after="0"/>
              <w:rPr>
                <w:sz w:val="20"/>
                <w:szCs w:val="20"/>
                <w:color w:val="auto"/>
              </w:rPr>
            </w:pPr>
            <w:r>
              <w:rPr>
                <w:rFonts w:ascii="Arial" w:cs="Arial" w:eastAsia="Arial" w:hAnsi="Arial"/>
                <w:sz w:val="18"/>
                <w:szCs w:val="18"/>
                <w:color w:val="auto"/>
              </w:rPr>
              <w:t>North Dakota</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Westmorland</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28,494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and 2018, the Company had no cubic yards of permitted, but not highly probable, airspace.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remaining highly probable airspace from January 1, 2017 through December 31, 2019 (in thousands of cubic yards):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capacity at January 1,</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29,760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32,228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in highly probable airspace, net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Remaining capacity at December 31,</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28,494</w:t>
            </w:r>
          </w:p>
        </w:tc>
        <w:tc>
          <w:tcPr>
            <w:tcW w:w="14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29,760</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31,113</w:t>
            </w:r>
          </w:p>
        </w:tc>
      </w:tr>
      <w:tr>
        <w:trPr>
          <w:trHeight w:val="20"/>
        </w:trPr>
        <w:tc>
          <w:tcPr>
            <w:tcW w:w="7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Amortization of cell construction costs and accrual of cell closure obligations</w:t>
      </w:r>
      <w:r>
        <w:rPr>
          <w:rFonts w:ascii="Arial" w:cs="Arial" w:eastAsia="Arial" w:hAnsi="Arial"/>
          <w:sz w:val="18"/>
          <w:szCs w:val="18"/>
          <w:color w:val="auto"/>
        </w:rPr>
        <w:t>—Landfills are typically comprised of a number of cells,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ectPr>
          <w:pgSz w:w="11900" w:h="16838" w:orient="portrait"/>
          <w:cols w:equalWidth="0" w:num="1">
            <w:col w:w="11420"/>
          </w:cols>
          <w:pgMar w:left="240" w:top="252"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252" w:right="23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consolidated statements of cash flows.</w:t>
      </w:r>
    </w:p>
    <w:p>
      <w:pPr>
        <w:spacing w:after="0" w:line="10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i w:val="1"/>
          <w:iCs w:val="1"/>
          <w:color w:val="auto"/>
        </w:rPr>
        <w:t>Landfill final closure and post-closure liabilities</w:t>
      </w:r>
      <w:r>
        <w:rPr>
          <w:rFonts w:ascii="Arial" w:cs="Arial" w:eastAsia="Arial" w:hAnsi="Arial"/>
          <w:sz w:val="18"/>
          <w:szCs w:val="18"/>
          <w:color w:val="auto"/>
        </w:rPr>
        <w:t>—The balance of landfill final closure and post-closure liabilities at December 31, 2019 and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$39.4 million and $37.8 million, respectively. The Company has material financial commitments for the costs associated with requirements of the Environmental Protection Agency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11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discontinues accepting waste.</w:t>
      </w:r>
    </w:p>
    <w:p>
      <w:pPr>
        <w:spacing w:after="0" w:line="97"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Cell closure, final closure and post-closure costs (also referred to as "asset retirement obligations") are calculated by estimating the total obligation in current dollars, adjusted for inflation (1.02% during both 2019 and 2018) and discounted at the Company's credit-adjusted risk-free interest rate (6.02% and 5.66% during 2019 and 2018, respectively).</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Non-Landfill Closure and Post-Closure Liabilities</w:t>
      </w:r>
    </w:p>
    <w:p>
      <w:pPr>
        <w:spacing w:after="0" w:line="14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balance of non-landfill closure and post-closure liabilities at December 31, 2019 and 2018 was $36.3 million and $32.1 million, respectively. Non-landfill closure and post-closure obligations arise when the Company commences non-landfill facility operations and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generally specified in terms of years in the closure permit, but generally range from 10 to 30 years or more.</w:t>
      </w:r>
    </w:p>
    <w:p>
      <w:pPr>
        <w:spacing w:after="0" w:line="10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 agencies; (ii) estimates as to when future operations may cease; (iii) inflating the current cost estimates of closing the non-landfill facility using the inflation rate to the time of closing; and (iv) discounting the future value back to the present using the credit-adjusted risk-free interest rate.</w:t>
      </w:r>
    </w:p>
    <w:p>
      <w:pPr>
        <w:spacing w:after="0" w:line="7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estimate as to when future operations at a location might cease or in the expected timing of the costs. Changes in estimates for non-landfill closure and post-closure events immediately impact the liability and the value of the corresponding asset. If a change is made to a fully-amortized asset, the adjustment is charged immediately to expense. When a change in estimate relates to an asset that has not been fully amortized, the adjustment to the asset recognized in income prospectively as a component of amortization. Historically, changes to non-landfill closure and post-closure estimates have not been material.</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52" w:right="2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Remedial Liabilities</w:t>
      </w:r>
    </w:p>
    <w:p>
      <w:pPr>
        <w:spacing w:after="0" w:line="144"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balance of remedial liabilities at December 31, 2019 and 2018 was $114.2 million and $121.0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in the last 17 years and Superfund sites owned by third parties for which the Company, or the prior owners of certain of the Company's facilities for which the Company may have certain indemnification obligations, have been identified as potentially responsible parties ("PRPs") or potential PRPs. The Company's estimate of remedial liabilities involves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in the consolidated statements of operations when identified.</w:t>
      </w:r>
    </w:p>
    <w:p>
      <w:pPr>
        <w:spacing w:after="0" w:line="92"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The Company periodically evaluates potential remedial liabilities at sites that it owns or operates or to which the Company or the sellers of the Chemical Services Division of Safety-Kleen ("CSD") assets (or the respective predecessors of the Company or such sellers) transported or disposed of waste, including 130 Superfund sites as of December 31, 2019. The Company periodically reviews and evaluates sites requiring remediation, including Superfund sites, giving consideration to the nature (i.e., owner, operator, arranger, transporter or generator) and the extent (i.e., amount and nature of waste hauled to the location, number of years of site operations or other relevant factors) of the Company's (or such sellers') alleged connection with the site, the extent (if any) to which the Company believes it may have an obligation to indemnify cleanup costs in connection with the site, the regulatory context surrounding the site, the accuracy and strength of evidence connecting the Company (or such sellers) to the location, the number, connection and financial ability of other named and unnamed PRPs and the nature and estimated cost of the likely remedy. Where the Company concludes that it is probable that a liability has been incurred and an amount can be estimated, a provision is made, based upon management's judgment and prior experience of such estimated liability.</w:t>
      </w:r>
    </w:p>
    <w:p>
      <w:pPr>
        <w:spacing w:after="0" w:line="86"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identified by the site investigation. In addition, the amount of remedial liabilities recorded is dependent on the remedial method selected. There is a risk that funds will be expended on a remedial solution that is not successful, which could result in the Company incurring the additional incremental costs of an alternative solution. Such estimates, which are subject to change, are subsequently revised if and when additional or new information becomes available.</w:t>
      </w:r>
    </w:p>
    <w:p>
      <w:pPr>
        <w:spacing w:after="0" w:line="7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Remedial liabilities are discounted when the timing of the payments is determinable and the amounts are estimable.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 rates used in the present value determination of the Company's remedial liabilities range from 1.37% to 4.90%.</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Self-Insurance Liabilities</w:t>
      </w:r>
    </w:p>
    <w:p>
      <w:pPr>
        <w:spacing w:after="0" w:line="144"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The Company self-insures a significant portion of expected losses under its workers' compensation, employee medical, comprehensive general liability and vehicle liability. Liabilities associated with these losses are recorded based on the Company's estimates of the ultimate cost to settle incurred claims, both reported and not yet reported. These recorded liabilities are estimated based on independent actuarial estimates and judgments which consider the frequency and settlement amount of historical claims data.</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The Company generates service and product revenues through the following operating segments: Environmental Services and Safety-Kleen. The Company recognizes revenue when control of the promised goods or services is transferred to the Company's customers, in an amount that reflects the consideration the Company expects to be entitled to in exchange for those goods or services.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52"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majority of the Company’s revenues are for services, which are recognized based on time and materials incurred at contractually agreed-upon rates. Product revenues are recognized when the products are delivered and control transfers to the customer. The Company’s payment terms vary by the type and location of its customers and the products or services offered. The periods between invoicing and when payments are due are not significant. For all periods presented, any amounts billed to customers related to shipping and handling are classified as revenue and the Company's shipping and handling costs are included in costs of revenues. In the course of operations, the Company collects sales tax and other excise taxes from its customers and recognizes a current liability which is then relieved when the taxes are remitted to the appropriate government authorities. The Company excludes sales and other excise taxes that it collects from customers from its revenues.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Environmental Services operating segment generally has the following four sources of revenue:</w:t>
      </w:r>
    </w:p>
    <w:p>
      <w:pPr>
        <w:spacing w:after="0" w:line="14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i w:val="1"/>
          <w:iCs w:val="1"/>
          <w:color w:val="auto"/>
        </w:rPr>
        <w:t>Technical Services</w:t>
      </w:r>
      <w:r>
        <w:rPr>
          <w:rFonts w:ascii="Arial" w:cs="Arial" w:eastAsia="Arial" w:hAnsi="Arial"/>
          <w:sz w:val="16"/>
          <w:szCs w:val="16"/>
          <w:color w:val="auto"/>
        </w:rPr>
        <w:t>—Technical Services revenues are generated from fees charged for waste material management and disposal services including onsite</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from waste that is not yet completely processed and disposed and the related costs are deferred. The deferred revenues and costs are recognized when the related services are completed. The period between collection and transportation and the final processing and disposal ranges depending on location of the customer, but generally is measured in days.</w:t>
      </w:r>
    </w:p>
    <w:p>
      <w:pPr>
        <w:spacing w:after="0" w:line="9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Field and Emergency Response Services</w:t>
      </w:r>
      <w:r>
        <w:rPr>
          <w:rFonts w:ascii="Arial" w:cs="Arial" w:eastAsia="Arial" w:hAnsi="Arial"/>
          <w:sz w:val="17"/>
          <w:szCs w:val="17"/>
          <w:color w:val="auto"/>
        </w:rPr>
        <w:t>—Field Services revenues are generated from cleanup services at customer sites, including municipalities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emergencies include any scale from man-made disasters such as oil spills, to natural disasters such as hurricanes. These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0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i w:val="1"/>
          <w:iCs w:val="1"/>
          <w:color w:val="auto"/>
        </w:rPr>
        <w:t>Industrial Services</w:t>
      </w:r>
      <w:r>
        <w:rPr>
          <w:rFonts w:ascii="Arial" w:cs="Arial" w:eastAsia="Arial" w:hAnsi="Arial"/>
          <w:sz w:val="16"/>
          <w:szCs w:val="16"/>
          <w:color w:val="auto"/>
        </w:rPr>
        <w:t>—Industrial Services revenues are generated from industrial and specialty services provided to refineries, mines, upgraders,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plants, pulp and paper mills, manufacturing facilities, power generation facilities and other industrial customers throughout North America. Services include in-plant cleaning and maintenance services, plant outage and turnaround services, decoking and pigging, chemical cleaning, high and ultra-high pressure water cleaning, pipeline inspection and coating services, large tank and surface impoundment cleaning, oilfield transport, daylighting, production services and directional boring services supporting drilling, completion and production programs.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8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i w:val="1"/>
          <w:iCs w:val="1"/>
          <w:color w:val="auto"/>
        </w:rPr>
        <w:t>Oil, Gas and Lodging Services and Other</w:t>
      </w:r>
      <w:r>
        <w:rPr>
          <w:rFonts w:ascii="Arial" w:cs="Arial" w:eastAsia="Arial" w:hAnsi="Arial"/>
          <w:sz w:val="18"/>
          <w:szCs w:val="18"/>
          <w:color w:val="auto"/>
        </w:rPr>
        <w:t>—Oil, Gas and Lodging Services and Other is primarily comprised of revenues generated from providing Oil</w:t>
      </w:r>
      <w:r>
        <w:rPr>
          <w:rFonts w:ascii="Arial" w:cs="Arial" w:eastAsia="Arial" w:hAnsi="Arial"/>
          <w:sz w:val="18"/>
          <w:szCs w:val="18"/>
          <w:i w:val="1"/>
          <w:iCs w:val="1"/>
          <w:color w:val="auto"/>
        </w:rPr>
        <w:t xml:space="preserve"> </w:t>
      </w:r>
      <w:r>
        <w:rPr>
          <w:rFonts w:ascii="Arial" w:cs="Arial" w:eastAsia="Arial" w:hAnsi="Arial"/>
          <w:sz w:val="18"/>
          <w:szCs w:val="18"/>
          <w:color w:val="auto"/>
        </w:rPr>
        <w:t>and Gas Field Services that support upstream activities such as exploration and drilling for oil and gas companies and Lodging Services to customers in Western Canada and Texas. The Company recognizes Oil and Gas Field Services revenue over time, as the customer receives and consumes the benefits of the services as they are being performed and the Company has a right to payment for performance completed to date. The Company uses the input method to recognize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52"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revenue over time, based on time and materials incurred. Revenue for lodging accommodation services is recognized over time based on passage of time.</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Safety-Kleen operating segment generally has the following two sources of revenue:</w:t>
      </w:r>
    </w:p>
    <w:p>
      <w:pPr>
        <w:spacing w:after="0" w:line="144"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i w:val="1"/>
          <w:iCs w:val="1"/>
          <w:color w:val="auto"/>
        </w:rPr>
        <w:t>Safety-Kleen Environmental Services</w:t>
      </w:r>
      <w:r>
        <w:rPr>
          <w:rFonts w:ascii="Arial" w:cs="Arial" w:eastAsia="Arial" w:hAnsi="Arial"/>
          <w:sz w:val="17"/>
          <w:szCs w:val="17"/>
          <w:color w:val="auto"/>
        </w:rPr>
        <w:t>—Safety-Kleen Environmental Services revenues are generated from providing parts washer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containerized waste handling and disposal services, oil collection services, vacuum services, direct sales of blended oil products, and other complementary services and product sales. Containerized waste services consist of profiling, collecting, transporting and recycling or disposing of a wide variety of waste. Other products and services include sale of complementary supply products including automotive fluids and shop supplies and other environmental services.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Product revenue is recognized upon the transfer of control whereby control transfers when the products are delivered to the customer.</w:t>
      </w:r>
    </w:p>
    <w:p>
      <w:pPr>
        <w:spacing w:after="0" w:line="10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i w:val="1"/>
          <w:iCs w:val="1"/>
          <w:color w:val="auto"/>
        </w:rPr>
        <w:t>Safety-Kleen Oil</w:t>
      </w:r>
      <w:r>
        <w:rPr>
          <w:rFonts w:ascii="Arial" w:cs="Arial" w:eastAsia="Arial" w:hAnsi="Arial"/>
          <w:sz w:val="18"/>
          <w:szCs w:val="18"/>
          <w:color w:val="auto"/>
        </w:rPr>
        <w:t>—Revenues from Safety-Kleen Oil, previously referred to as Kleen Performance Products, are generated from sales of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10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 xml:space="preserve">The Company adopted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on January 1, 2018 without adjusting prior period amounts. The only significant impact from the adoption of this standard related to incremental disclosures now required. Upon adoption, a cumulative effect adjustment was not recorded.</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w:t>
      </w:r>
    </w:p>
    <w:p>
      <w:pPr>
        <w:spacing w:after="0" w:line="14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has international operations, substantially all of which are located in Canada. The functional currencies of those operations are the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from transactions not denominated in the functional currency of an entity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consolidated statements of operations.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Advertising Expense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Advertising costs are expensed as incurred. Advertising expense was $9.8 million in 2019, $10.5 million in 2018 and $11.8 million in 2017.</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w:t>
      </w:r>
    </w:p>
    <w:p>
      <w:pPr>
        <w:spacing w:after="0" w:line="14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established at the grant date. The expense for these awards is recognized over the requisite service period when management believes it is probable those performance targets will be achieved. The fair value of the Company's grants are based on the closing price of the Company's common stock on the respective dates of grant. Forfeitures are recognized as they occur.</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Current income tax expense approximates cash to be paid or refunded for taxes for the applicable period. Deferred tax expense or benefit is the result of changes between deferred tax assets and liabilities. Deferred tax assets and liabilities are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52" w:right="2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7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Company recognizes and measures a tax benefit from uncertain tax positions when it is more likely than not that the tax position will be sustained upon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w:t>
      </w:r>
    </w:p>
    <w:p>
      <w:pPr>
        <w:spacing w:after="0" w:line="9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within the provision (benefit) for income taxes line in the consolidated statements of operations. Accrued interest and penalties are included within the deferred taxes, unrecognized tax benefits and other long-term liabilities line in the consolidated balance sheet.</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 ("EPS")</w:t>
      </w:r>
    </w:p>
    <w:p>
      <w:pPr>
        <w:spacing w:after="0" w:line="14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Basic EPS is calculated by dividing net income by the weighted average number of common shares outstanding during the period. Diluted EPS gives effect to all potentially dilutive common shares that were outstanding during the period.</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Leases</w:t>
      </w:r>
    </w:p>
    <w:p>
      <w:pPr>
        <w:spacing w:after="0" w:line="14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Company’s leases predominately relate to real estate and equipment such as vehicles and industrial equipment utilized in operations as well as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106"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The Company generally enters into real estate leases with five to ten-year terms and non-real estate leases with two to seven-year terms. In the normal course of business, the Company also enters into short-term leases having terms of less than one-year. These leases are generally equipment leases entered into for short periods of time (e.g. daily, weekly or monthly) to satisfy immediate and/or short-term operational needs of the business which can arise based upon the nature of particular services performed or seasonality factors. The Company has elected not to recognize right of use ("ROU") assets and lease liabilities for these short-term leases. Expense for all such short-term leases is disclosed as short-term lease cost as shown in Note 19, "Leases."</w:t>
      </w:r>
    </w:p>
    <w:p>
      <w:pPr>
        <w:spacing w:after="0" w:line="77"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Operating and finance leases with terms exceeding one year are recognized as ROU assets and lease liabilities and measured based on the present value of the future lease payments over the lease term at commencement date. When applicable, the ROU asset includes any lease payments made at or before the commencement date and initial direct costs incurred and is reduced by lease incentives received under the lease agreement.</w:t>
      </w:r>
    </w:p>
    <w:p>
      <w:pPr>
        <w:spacing w:after="0" w:line="6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Certain of the Company's real estate leases contain escalating future lease payments. Escalating lease payments that are based upon explicit amounts contained in the lease or an index (e.g., consumer price index) are included in its determination of future lease payments to determine the ROU asset and lease liability recognized at the commencement date. Any differences in the future lease 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 reasonably certain based upon facts and circumstances specific to the lease and known by the Company. 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52" w:right="2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Standards implemented</w:t>
      </w:r>
    </w:p>
    <w:p>
      <w:pPr>
        <w:spacing w:after="0" w:line="144"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 xml:space="preserve">In February 2016, the Financial Accounting Standards Board issued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amendment increases transparency and comparability among organizations by recognizing lease assets and lease liabilities on the balance sheet and disclosing key information about leasing arrangements. The Company adopted Topic 842 on January 1, 2019 using the modified retrospective method of adoption. Prior period amounts have not been adjusted and continue to be reported in accordance with the Company's historical accounting methodology pursuant to ASC 840, </w:t>
      </w:r>
      <w:r>
        <w:rPr>
          <w:rFonts w:ascii="Arial" w:cs="Arial" w:eastAsia="Arial" w:hAnsi="Arial"/>
          <w:sz w:val="16"/>
          <w:szCs w:val="16"/>
          <w:i w:val="1"/>
          <w:iCs w:val="1"/>
          <w:color w:val="auto"/>
        </w:rPr>
        <w:t>Leases</w:t>
      </w:r>
      <w:r>
        <w:rPr>
          <w:rFonts w:ascii="Arial" w:cs="Arial" w:eastAsia="Arial" w:hAnsi="Arial"/>
          <w:sz w:val="16"/>
          <w:szCs w:val="16"/>
          <w:color w:val="auto"/>
        </w:rPr>
        <w:t>. As permitted under the transition guidance, the Company elected to apply the package of three practical expedients for all existing leases which, among other things, allowed the Company to maintain the lease classification for all existing leases at the adoption date. The adoption of Topic 842 resulted in the recognition of ROU assets of $185.5 million and total current and noncurrent lease liabilities of $188.5 million at adoption. Additionally, Topic 842 required new and expanded disclosures to enable users of financial statements to assess the amount, timing and uncertainty of cash flows arising from leases. The standard did not have a material impact on the consolidated statements of operations or cash flows.</w:t>
      </w:r>
    </w:p>
    <w:p>
      <w:pPr>
        <w:spacing w:after="0" w:line="82" w:lineRule="exact"/>
        <w:rPr>
          <w:sz w:val="20"/>
          <w:szCs w:val="20"/>
          <w:color w:val="auto"/>
        </w:rPr>
      </w:pPr>
    </w:p>
    <w:p>
      <w:pPr>
        <w:ind w:right="9360" w:firstLine="8"/>
        <w:spacing w:after="0" w:line="491" w:lineRule="auto"/>
        <w:tabs>
          <w:tab w:leader="none" w:pos="255"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REVENUES Disaggregation of Revenue</w:t>
      </w:r>
    </w:p>
    <w:p>
      <w:pPr>
        <w:spacing w:after="0" w:line="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disaggregate the Company’s third party revenues by geographic location and source of revenue as we believe these categories depict how revenue and cash flows are affected by economic factors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For the year ended December 31, 2019</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8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34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w:t>
            </w: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02"/>
        </w:trPr>
        <w:tc>
          <w:tcPr>
            <w:tcW w:w="412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Primary Geographical Markets</w:t>
            </w: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1,721,322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1,220,096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2,940,832</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371,041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471,358</w:t>
            </w:r>
          </w:p>
        </w:tc>
      </w:tr>
      <w:tr>
        <w:trPr>
          <w:trHeight w:val="237"/>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2,092,363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1,318,691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3,412,190</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4120" w:type="dxa"/>
            <w:vAlign w:val="bottom"/>
            <w:gridSpan w:val="4"/>
          </w:tcPr>
          <w:p>
            <w:pPr>
              <w:ind w:left="40"/>
              <w:spacing w:after="0" w:line="202"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3"/>
                <w:szCs w:val="23"/>
                <w:b w:val="1"/>
                <w:bCs w:val="1"/>
                <w:color w:val="auto"/>
                <w:vertAlign w:val="superscript"/>
              </w:rPr>
              <w:t>(1)</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Technical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1,120,043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1,120,043</w:t>
            </w: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Field and Emergency Response Services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340,906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340,906</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Industrial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514,390</w:t>
            </w: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Oil, Gas and Lodging Services and Other</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117,024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118,160</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851,520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851,520</w:t>
            </w:r>
          </w:p>
        </w:tc>
      </w:tr>
      <w:tr>
        <w:trPr>
          <w:trHeight w:val="270"/>
        </w:trPr>
        <w:tc>
          <w:tcPr>
            <w:tcW w:w="4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Safety-Kleen Oil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467,171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467,171</w:t>
            </w:r>
          </w:p>
        </w:tc>
      </w:tr>
      <w:tr>
        <w:trPr>
          <w:trHeight w:val="264"/>
        </w:trPr>
        <w:tc>
          <w:tcPr>
            <w:tcW w:w="412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2,092,363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1,318,691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3,412,190</w:t>
            </w:r>
          </w:p>
        </w:tc>
      </w:tr>
      <w:tr>
        <w:trPr>
          <w:trHeight w:val="561"/>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252"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For the year ended December 31, 2018</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Environmental Services</w:t>
            </w:r>
          </w:p>
        </w:tc>
        <w:tc>
          <w:tcPr>
            <w:tcW w:w="28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340" w:type="dxa"/>
            <w:vAlign w:val="bottom"/>
          </w:tcPr>
          <w:p>
            <w:pPr>
              <w:spacing w:after="0"/>
              <w:rPr>
                <w:sz w:val="22"/>
                <w:szCs w:val="22"/>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w:t>
            </w: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02"/>
        </w:trPr>
        <w:tc>
          <w:tcPr>
            <w:tcW w:w="412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Primary Geographical Markets</w:t>
            </w: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1,598,402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1,196,661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2,796,145</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405,441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504,158</w:t>
            </w:r>
          </w:p>
        </w:tc>
      </w:tr>
      <w:tr>
        <w:trPr>
          <w:trHeight w:val="237"/>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2,003,843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1,295,355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3,300,303</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4120" w:type="dxa"/>
            <w:vAlign w:val="bottom"/>
            <w:gridSpan w:val="4"/>
          </w:tcPr>
          <w:p>
            <w:pPr>
              <w:ind w:left="40"/>
              <w:spacing w:after="0" w:line="202"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3"/>
                <w:szCs w:val="23"/>
                <w:b w:val="1"/>
                <w:bCs w:val="1"/>
                <w:color w:val="auto"/>
                <w:vertAlign w:val="superscript"/>
              </w:rPr>
              <w:t>(1)</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Technical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1,037,388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1,037,388</w:t>
            </w: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Field and Emergency Response Services</w:t>
            </w:r>
          </w:p>
        </w:tc>
        <w:tc>
          <w:tcPr>
            <w:tcW w:w="1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304,727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304,727</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Industrial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541,895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541,895</w:t>
            </w: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Oil, Gas and Lodging Services and Other</w:t>
            </w:r>
          </w:p>
        </w:tc>
        <w:tc>
          <w:tcPr>
            <w:tcW w:w="1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119,833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120,938</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Safety-Kleen Environmental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795,077</w:t>
            </w:r>
          </w:p>
        </w:tc>
      </w:tr>
      <w:tr>
        <w:trPr>
          <w:trHeight w:val="270"/>
        </w:trPr>
        <w:tc>
          <w:tcPr>
            <w:tcW w:w="412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Safety-Kleen Oil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500,278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500,278</w:t>
            </w:r>
          </w:p>
        </w:tc>
      </w:tr>
      <w:tr>
        <w:trPr>
          <w:trHeight w:val="264"/>
        </w:trPr>
        <w:tc>
          <w:tcPr>
            <w:tcW w:w="412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third party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2,003,843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1,295,355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3,300,303</w:t>
            </w:r>
          </w:p>
        </w:tc>
      </w:tr>
      <w:tr>
        <w:trPr>
          <w:trHeight w:val="210"/>
        </w:trPr>
        <w:tc>
          <w:tcPr>
            <w:tcW w:w="2460" w:type="dxa"/>
            <w:vAlign w:val="bottom"/>
            <w:gridSpan w:val="3"/>
          </w:tcPr>
          <w:p>
            <w:pPr>
              <w:spacing w:after="0"/>
              <w:rPr>
                <w:sz w:val="20"/>
                <w:szCs w:val="20"/>
                <w:color w:val="auto"/>
              </w:rPr>
            </w:pPr>
            <w:r>
              <w:rPr>
                <w:rFonts w:ascii="Arial" w:cs="Arial" w:eastAsia="Arial" w:hAnsi="Arial"/>
                <w:sz w:val="18"/>
                <w:szCs w:val="18"/>
                <w:color w:val="auto"/>
              </w:rPr>
              <w:t>_____________________</w:t>
            </w:r>
          </w:p>
        </w:tc>
        <w:tc>
          <w:tcPr>
            <w:tcW w:w="1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bl>
    <w:p>
      <w:pPr>
        <w:ind w:left="660" w:right="2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revenue except oil and oil product sales within Safety-Kleen Oil and product sales within Safety-Kleen Environmental Services, which include various automotive related fluids, shop supplies and direct blended oil sales, are recognized over time. Safety-Kleen Oil and Safety-Kleen Environmental Services product sales are recognized at a point in time.</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Safety-Kleen Oil was formerly known as Kleen Performance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644,738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606,952</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Contract assets (unbilled receivables)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56,326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54,794</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 (deferred revenue)</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73,370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61,843</w:t>
            </w:r>
          </w:p>
        </w:tc>
      </w:tr>
      <w:tr>
        <w:trPr>
          <w:trHeight w:val="27"/>
        </w:trPr>
        <w:tc>
          <w:tcPr>
            <w:tcW w:w="7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4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to include in the estimated transaction price based on historical experience, anticipated performance and its best judgment at the time and to the extent it is probable that a significant reversal of cumulative revenue recognized will not occur when the uncertainty associated with the variable consideration is resolved.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48"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Contract costs include direct and incremental costs to obtain or fulfill a contract. The Company’s contract costs that are subject to capitalization are comprised of costs associated with parts washer services and costs associated with the treatment and disposal of waste. Parts washer costs include costs of solvent, commissions paid relating to revenue generated from parts washer services, and transportation costs associated with transferring the product picked up from the services as it is returned to the Company’s facilities or a third party site. Costs related to the treatment of waste include costs for waste receiving, drum movement and storage, waste consolidation and transportation between facilities. Deferred costs associated with parts washer</w:t>
      </w:r>
    </w:p>
    <w:p>
      <w:pPr>
        <w:sectPr>
          <w:pgSz w:w="11900" w:h="16838" w:orient="portrait"/>
          <w:cols w:equalWidth="0" w:num="1">
            <w:col w:w="11420"/>
          </w:cols>
          <w:pgMar w:left="240" w:top="252"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252" w:right="2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services are amortized ratably over the average service interval, which ranges between four and 16 weeks. Deferred costs related to treatment and disposal of waste are recognized when the corresponding waste is disposed of and are included in deferred costs within total current assets in the Company’s consolidated balance sheets. The deferred contract cost balances at the beginning of each period presented were fully recognized in cost of revenue in the subsequent three-month period.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4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On May 31, 2019, the Company acquired a privately-owned business for $14.8 million in cash consideration. The acquired company expands the environmental services and hazardous materials management services of the Company and is included in the Environmental Services segment. In connection with this acquisition, a preliminary goodwill amount of $7.4 million was recognized.</w:t>
      </w:r>
    </w:p>
    <w:p>
      <w:pPr>
        <w:spacing w:after="0" w:line="10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On March 1, 2019, the Company acquired certain assets of a privately-owned business for $10.4 million. The acquired business complements the Safety-Kleen segment's core service offerings, such as used motor oil collection, parts washers, oil filter recycling and vacuum services. In connection with this acquisition, a preliminary goodwill amount of $5.2 million was recognized.</w:t>
      </w:r>
    </w:p>
    <w:p>
      <w:pPr>
        <w:spacing w:after="0" w:line="100"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The results of operations of these acquired businesses were not material in 2019. Pro forma revenue and earnings amounts on a combined basis as if these acquisitions had been completed on January 1, 2018 are immaterial to the consolidated financial statements of the Company since that date.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4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August 31, 2018, the Company acquired a privately-owned company which expands the environmental services and waste oil capabilities of the Company for a $26.7 million purchase price, net of cash. The acquired company is included in the Safety-Kleen and Environmental Services segments. In connection with this acquisition, a goodwill amount of $12.3 million was recognized. The results of operations of this acquired business were not material in 2018.</w:t>
      </w:r>
    </w:p>
    <w:p>
      <w:pPr>
        <w:spacing w:after="0" w:line="10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February 23, 2018, the Company completed the acquisition of the U.S. Industrial Cleaning Business of Veolia Environmental Services North America LLC (the "Veolia Business"). The acquisition provides significant scale and industrial services capabilities while increasing the size of the Company's existing U.S. Industrial Services business. The Company acquired the Veolia Business for a purchase price of $124.5 million. The Veolia Business has been integrated into the Environmental Services segment. The amount of revenue from the Veolia Business included in the Company's results of operations for the year ended December 31, 2018 was $154.0 million. The amount of pre-tax loss from the Veolia Business included in the Company's results of operations for the year ended December 31, 2018 was $0.9 million, which included $14.6 million in depreciation expense as well as $0.6 million of amortization expense related to intangible assets. During the year ended December 31, 2018, the Company incurred acquisition-related costs of approximately $1.4 million in connection with the transaction which are included in selling, general and administrative expenses in the consolidated statements of operations.</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Company finalized purchase accounting for the Veolia Business in the first quarter of 2019. The components and allocation of the purchase price for the Veolia Business consist of the following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CCEEFF"/>
            </w:tcBorders>
          </w:tcPr>
          <w:p>
            <w:pPr>
              <w:spacing w:after="0"/>
              <w:rPr>
                <w:sz w:val="16"/>
                <w:szCs w:val="16"/>
                <w:color w:val="auto"/>
              </w:rPr>
            </w:pPr>
          </w:p>
        </w:tc>
        <w:tc>
          <w:tcPr>
            <w:tcW w:w="5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Final Allocation</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including unbilled receivable</w:t>
            </w:r>
          </w:p>
        </w:tc>
        <w:tc>
          <w:tcPr>
            <w:tcW w:w="5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39,558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Inventories and supplies</w:t>
            </w:r>
          </w:p>
        </w:tc>
        <w:tc>
          <w:tcPr>
            <w:tcW w:w="5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5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72,243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other intangibles</w:t>
            </w:r>
          </w:p>
        </w:tc>
        <w:tc>
          <w:tcPr>
            <w:tcW w:w="5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5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post-closure liabilities</w:t>
            </w:r>
          </w:p>
        </w:tc>
        <w:tc>
          <w:tcPr>
            <w:tcW w:w="50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50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100,169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0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24,331</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50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124,500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60" w:type="dxa"/>
            <w:vAlign w:val="bottom"/>
            <w:vMerge w:val="restart"/>
          </w:tcPr>
          <w:p>
            <w:pPr>
              <w:jc w:val="right"/>
              <w:ind w:right="3830"/>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66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2"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weighted average amortization period for the intangibles acquired is 8.2 years. The excess of the total purchase price, which includes the aggregate cash consideration paid in excess of the fair value of the tangible net assets and intangible assets acquired, was recorded as goodwill. The goodwill recognized is attributable to the expected operating synergies and growth potential that the Company expects to realize from this acquisition. Goodwill generated from the acquisition is deductible for tax purposes.</w:t>
      </w:r>
    </w:p>
    <w:p>
      <w:pPr>
        <w:spacing w:after="0" w:line="10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Pro forma revenue and earnings amounts on a combined basis as if this acquisition had been completed on January 1, 2017 are immaterial to the consolidated financial statements of the Company since that date.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4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July 14, 2017, the Company acquired Lonestar West Inc. ("Lonestar"), a public company headquartered in Alberta, Canada, for CAD $41.8 million, ($33.1 million USD at acquisition date), net of cash acquired, which included an equity payout of CAD $0.72 per share to Lonestar shareholders and the assumption of approximately CAD $21.3 million ($16.8 million USD at acquisition date) in outstanding debt, which Clean Harbors subsequently repaid. The acquisition supports the Company's growth in the daylighting and hydro excavation services markets. In addition to increasing the size of the Company's hydro vacuum fleet, Lonestar's network of locations provides the Company with direct access to key geographic markets in both the United States and Canada. The acquired company is included in the Environmental Services segment. In connection with this acquisition a goodwill amount of $2.8 million was recognized.</w:t>
      </w:r>
    </w:p>
    <w:p>
      <w:pPr>
        <w:spacing w:after="0" w:line="10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January 31, 2017, the Company acquired a privately held company for a purchase price of approximately $11.9 million in cash, net of cash acquired. The acquired business produces and distributes oil products and therefore complements the Company's closed loop model as it relates to the sale of its oil products. The acquired company is included in the Safety-Kleen segment. In connection with this acquisition a goodwill amount of $5.0 million was recognized.</w:t>
      </w:r>
    </w:p>
    <w:p>
      <w:pPr>
        <w:spacing w:after="0" w:line="10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combined amount of direct revenues from the acquisitions included in the Company's results of operations for the year ended December 31, 2017 was approximately $14.5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 OF BUSINESS</w:t>
      </w:r>
    </w:p>
    <w:p>
      <w:pPr>
        <w:spacing w:after="0" w:line="14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On June 30, 2017, the Company completed the sale of its Transformer Services business, a non-core business within the Environmental Services operating segment. The Transformer Services business was sold for $45.5 million ($43.4 million net of $2.1 million in transactional related costs). As a result of the sale, the Company recognized a pre-tax gain of $30.7 million in gain on sale of businesses in the Company’s consolidated statement of operations for the year ended December 31,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 AND SUPPLIES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oil related products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70,823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Supplies and drums</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115,128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104,609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Solvent and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14,235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13,390</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214,744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199,479</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Supplies and drums consist primarily of drums and containers used in providing the Company's products and services as well as critical spare parts to support the Company's incinerator and re-refinery operations. Other inventories consisted primarily of parts washer components, cleaning fluids, absorbents and automotive fluids, such as windshield washer fluid and antifreeze.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52"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6"/>
                <w:szCs w:val="16"/>
                <w:color w:val="auto"/>
              </w:rPr>
            </w:pPr>
          </w:p>
        </w:tc>
        <w:tc>
          <w:tcPr>
            <w:tcW w:w="168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123,734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Asset retirement costs (non-landfill)</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15,924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15,148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Landfill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154,918</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499,159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440,188</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 and lodging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152,998</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Vehicles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785,056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721,735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1,697,490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3,593,814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3,332,595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2,005,663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1,770,617</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1,588,151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1,561,978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(1) December 31, 2019 balances inclusive of ROU assets classified as finance leases.</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Depreciation expense, inclusive of landfill and finance lease amortization was $265.5 million, $264.3 million and $251.4 million for the years ended December 31, 2019, 2018 and 2017,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goodwill for the years ended December 31, 2019 and 2018 were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Environmental</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Safety-Kleen</w:t>
            </w:r>
          </w:p>
        </w:tc>
        <w:tc>
          <w:tcPr>
            <w:tcW w:w="260" w:type="dxa"/>
            <w:vAlign w:val="bottom"/>
          </w:tcPr>
          <w:p>
            <w:pPr>
              <w:spacing w:after="0"/>
              <w:rPr>
                <w:sz w:val="14"/>
                <w:szCs w:val="14"/>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Services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478,523</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from current period acquisitions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37,007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40,704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Decrease from disposition of business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207,019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307,170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514,189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current period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Measurement period adjustments from prior period acquisitions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212,531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312,482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525,013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conducted its annual impairment test of goodwill as of December 31, 2019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 respective carrying values.</w:t>
      </w:r>
    </w:p>
    <w:p>
      <w:pPr>
        <w:spacing w:after="0" w:line="112" w:lineRule="exact"/>
        <w:rPr>
          <w:sz w:val="20"/>
          <w:szCs w:val="20"/>
          <w:color w:val="auto"/>
        </w:rPr>
      </w:pPr>
    </w:p>
    <w:p>
      <w:pPr>
        <w:jc w:val="both"/>
        <w:ind w:right="300" w:firstLine="405"/>
        <w:spacing w:after="0" w:line="259" w:lineRule="auto"/>
        <w:rPr>
          <w:sz w:val="20"/>
          <w:szCs w:val="20"/>
          <w:color w:val="auto"/>
        </w:rPr>
      </w:pPr>
      <w:r>
        <w:rPr>
          <w:rFonts w:ascii="Arial" w:cs="Arial" w:eastAsia="Arial" w:hAnsi="Arial"/>
          <w:sz w:val="18"/>
          <w:szCs w:val="18"/>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w:t>
      </w:r>
    </w:p>
    <w:p>
      <w:pPr>
        <w:sectPr>
          <w:pgSz w:w="11900" w:h="16838" w:orient="portrait"/>
          <w:cols w:equalWidth="0" w:num="1">
            <w:col w:w="11420"/>
          </w:cols>
          <w:pgMar w:left="240" w:top="25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252" w:right="23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in its impairment tests are reasonable, but variations in any of the assumptions may result in different measurements of fair values.</w:t>
      </w:r>
    </w:p>
    <w:p>
      <w:pPr>
        <w:spacing w:after="0" w:line="156"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impacts of any adverse business and market conditions which impact the overall performance of the Company's reporting units will continue to be monitored. If the Company's reporting units do not achieve the financial performance that the Company expects, it is possible that goodwill impairment charges may result. There can therefore be no assurance that future events will not result in an impairment of goodwill.</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2019 and 2018, the Company's finite-lived and indefinite-lived intangible assets consisted of the following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December 31, 2019</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98,225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and supplier relationships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401,696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207,884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193,812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393,487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179,824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213,663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w w:val="93"/>
              </w:rPr>
              <w:t>Total amortizable permits and other intangible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624,262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328,130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296,132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608,332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288,925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319,407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122,934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122,934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122,468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122,468</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permits and other intangible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747,196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328,130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419,066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730,800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288,925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441,875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Company regularly monitors and assesses whether events or changes in circumstances relative to the Company's business might indicate that future cash flows attributable to the Company's asset groups may not be sufficient to recover the current value of those assets. During the year ended and as of December 31, 2019, there were no events or changes in circumstances which would indicate that the carrying values of the Company's asset groups would not be recoverable and thus no impairment charge was recorded related to the Company's long-lived assets. If expectations of future cash flows were to decrease in the future as a result of worse than expected or prolonged periods of depressed activity, future impairments may become evident.</w:t>
      </w:r>
    </w:p>
    <w:p>
      <w:pPr>
        <w:spacing w:after="0" w:line="7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Amortization expense of permits and other intangible assets for the years ended December 31, 2019, 2018 and 2017 were $35.2 million, $34.4 million and $37.0 million, respectively.</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amortization of the net carrying amount of finite-lived intangible assets at December 31, 2019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right"/>
              <w:ind w:right="554"/>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58"/>
        </w:trPr>
        <w:tc>
          <w:tcPr>
            <w:tcW w:w="3660" w:type="dxa"/>
            <w:vAlign w:val="bottom"/>
            <w:gridSpan w:val="3"/>
            <w:vMerge w:val="continue"/>
          </w:tcPr>
          <w:p>
            <w:pPr>
              <w:spacing w:after="0"/>
              <w:rPr>
                <w:sz w:val="13"/>
                <w:szCs w:val="13"/>
                <w:color w:val="auto"/>
              </w:rPr>
            </w:pPr>
          </w:p>
        </w:tc>
        <w:tc>
          <w:tcPr>
            <w:tcW w:w="5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96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33,083</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96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29,788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96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29,534</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196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25,306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96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154,500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6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296,132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670"/>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2"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6"/>
                <w:szCs w:val="16"/>
                <w:color w:val="auto"/>
              </w:rPr>
            </w:pPr>
          </w:p>
        </w:tc>
        <w:tc>
          <w:tcPr>
            <w:tcW w:w="168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21,222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3,930</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77,881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income, real estate, sales and other taxes</w:t>
            </w: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35,749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25,670</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other</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55,707</w:t>
            </w:r>
          </w:p>
        </w:tc>
      </w:tr>
      <w:tr>
        <w:trPr>
          <w:trHeight w:val="237"/>
        </w:trPr>
        <w:tc>
          <w:tcPr>
            <w:tcW w:w="74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276,540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233,405</w:t>
            </w:r>
          </w:p>
        </w:tc>
      </w:tr>
      <w:tr>
        <w:trPr>
          <w:trHeight w:val="27"/>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As of December 31, 2019 and 2018, accrued insurance included employee medical insurance costs of $14.3 million and $14.7 million, respectively, and accruals for losses under our workers' compensation, comprehensive general liability and vehicle liability self-insurance programs of $59.4 million and $53.9 million, respectively.</w:t>
      </w:r>
    </w:p>
    <w:p>
      <w:pPr>
        <w:spacing w:after="0" w:line="10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increase in accrued interest from the comparable period in 2018 is due to the timing of required interest payments which changed due to the redemption of the 2021 unsecured senior notes and the issuance of the 2027 and 2029 unsecured senior notes. For additional information relating to accrued interest, see Note 12, "Financing Arrangements."</w:t>
      </w:r>
    </w:p>
    <w:p>
      <w:pPr>
        <w:spacing w:after="0" w:line="10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increase in accrued income, real estate, sales and other taxes from the comparable period in 2018 is due to an increase in accrued federal tax of $10.5 million driven by higher taxable income and the timing of tax payments.</w:t>
      </w:r>
    </w:p>
    <w:p>
      <w:pPr>
        <w:spacing w:after="0" w:line="89"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As of December 31, 2019 and 2018, accrued other includes a derivative liability of $20.8 million and $8.8 million, respectively, related to the Company's cash flow hedges. The increase in the fair value of the derivative liability is mainly due to changes in variable interest rates. For additional information relating to the derivative liability, see Note 12, "Financing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CLOSURE AND POST-CLOSURE LIABILITIES</w:t>
      </w:r>
    </w:p>
    <w:p>
      <w:pPr>
        <w:spacing w:after="0" w:line="1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changes to closure and post-closure liabilities (also referred to as "asset retirement obligations") from January 1, 2018 through December 31, 2019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Landfill</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Non-Landfill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Liability</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Liabilities assumed in acquisitions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asset retirement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estimates recorded to consolidated balance sheet</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69,931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Liabilities assumed in acquisitions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asset retirement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estimates recorded to consolidated balance sheet</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39,401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36,250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75,651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252" w:right="23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All of the landfill facilities reflected in the above table were active as of December 31, 2019 and 2018. The 2019 and 2018 environmental changes in estimates recorded to the consolidated statements of operations include $2.3 million and $1.2 million, respectively, related to increased facility closure costs at one of our locations.</w:t>
      </w:r>
    </w:p>
    <w:p>
      <w:pPr>
        <w:spacing w:after="0" w:line="10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7,571</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10,307</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14,407</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11,329</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277,001</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Undiscounted closure and post-closure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323,959</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Less: Discount at credit-adjusted risk-free rate</w:t>
            </w: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(158,186)</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Undiscounted estimated closure and post-closure liabilities relating to airspace not yet consumed</w:t>
            </w: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(90,122)</w:t>
            </w:r>
          </w:p>
        </w:tc>
      </w:tr>
      <w:tr>
        <w:trPr>
          <w:trHeight w:val="257"/>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Present value of closure and post-closure liabilities</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75,651</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REMEDIAL LIABILITIES</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changes to remedial liabilities from January 1, 2018 through December 31, 2019 were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Remedial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(Including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Superfund) for</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Liabilities for</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Non-Landfill</w:t>
            </w: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Landfill Sites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Inactive Sites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Operations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124,468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Expenditures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65,315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53,864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Currency translation and other</w:t>
            </w:r>
          </w:p>
        </w:tc>
        <w:tc>
          <w:tcPr>
            <w:tcW w:w="1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50,331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114,173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In 2019, the net reduction in the company’s remedial liabilities from changes in estimates recorded to the consolidated statement of operations was $3.0 million and primarily related to reductions in estimates for remedial activities at five locations. There were no significant (benefits) charges in 2018 resulting from changes in estimates for remedial liabilities.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52"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Anticipated payments at December 31, 2019 (based on current estimated costs and anticipated timing of necessary regulatory approvals to commence work on remedial activities) for each of the next five years and thereafter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16,729</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17,883</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9,207</w:t>
            </w: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7,930</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5,701</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77,000</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Undiscounted remedial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134,450</w:t>
            </w:r>
          </w:p>
        </w:tc>
      </w:tr>
      <w:tr>
        <w:trPr>
          <w:trHeight w:val="243"/>
        </w:trPr>
        <w:tc>
          <w:tcPr>
            <w:tcW w:w="9560" w:type="dxa"/>
            <w:vAlign w:val="bottom"/>
            <w:gridSpan w:val="3"/>
          </w:tcPr>
          <w:p>
            <w:pPr>
              <w:ind w:left="40"/>
              <w:spacing w:after="0"/>
              <w:rPr>
                <w:sz w:val="20"/>
                <w:szCs w:val="20"/>
                <w:color w:val="auto"/>
              </w:rPr>
            </w:pPr>
            <w:r>
              <w:rPr>
                <w:rFonts w:ascii="Arial" w:cs="Arial" w:eastAsia="Arial" w:hAnsi="Arial"/>
                <w:sz w:val="18"/>
                <w:szCs w:val="18"/>
                <w:color w:val="auto"/>
              </w:rPr>
              <w:t>Less: Discount</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(20,277)</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remedial liabilities</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114,173</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tables show, respectively, (i) the amounts of such estimated liabilities associated with the types of facilities and sites involved and (ii) the amounts of such estimated liabilities associated with each facility or site which represents at least 5% of the total and with all other facilities and sites as a group and as of December 31, 2019.</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Estimates based on type of facility or site (in thousands, except percentages):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Reasonably</w:t>
            </w: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4"/>
              <w:spacing w:after="0"/>
              <w:rPr>
                <w:sz w:val="20"/>
                <w:szCs w:val="20"/>
                <w:color w:val="auto"/>
              </w:rPr>
            </w:pPr>
            <w:r>
              <w:rPr>
                <w:rFonts w:ascii="Arial" w:cs="Arial" w:eastAsia="Arial" w:hAnsi="Arial"/>
                <w:sz w:val="16"/>
                <w:szCs w:val="16"/>
                <w:b w:val="1"/>
                <w:bCs w:val="1"/>
                <w:color w:val="auto"/>
                <w:w w:val="85"/>
              </w:rPr>
              <w:t>Possible</w:t>
            </w: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Remedial</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Additional</w:t>
            </w:r>
          </w:p>
        </w:tc>
        <w:tc>
          <w:tcPr>
            <w:tcW w:w="0" w:type="dxa"/>
            <w:vAlign w:val="bottom"/>
          </w:tcPr>
          <w:p>
            <w:pPr>
              <w:spacing w:after="0"/>
              <w:rPr>
                <w:sz w:val="1"/>
                <w:szCs w:val="1"/>
                <w:color w:val="auto"/>
              </w:rPr>
            </w:pPr>
          </w:p>
        </w:tc>
      </w:tr>
      <w:tr>
        <w:trPr>
          <w:trHeight w:val="243"/>
        </w:trPr>
        <w:tc>
          <w:tcPr>
            <w:tcW w:w="7340" w:type="dxa"/>
            <w:vAlign w:val="bottom"/>
          </w:tcPr>
          <w:p>
            <w:pPr>
              <w:ind w:left="40"/>
              <w:spacing w:after="0"/>
              <w:rPr>
                <w:sz w:val="20"/>
                <w:szCs w:val="20"/>
                <w:color w:val="auto"/>
              </w:rPr>
            </w:pPr>
            <w:r>
              <w:rPr>
                <w:rFonts w:ascii="Arial" w:cs="Arial" w:eastAsia="Arial" w:hAnsi="Arial"/>
                <w:sz w:val="16"/>
                <w:szCs w:val="16"/>
                <w:b w:val="1"/>
                <w:bCs w:val="1"/>
                <w:color w:val="auto"/>
              </w:rPr>
              <w:t>Type of Facility or Site</w:t>
            </w: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Liability</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 of Total</w:t>
            </w:r>
          </w:p>
        </w:tc>
        <w:tc>
          <w:tcPr>
            <w:tcW w:w="160" w:type="dxa"/>
            <w:vAlign w:val="bottom"/>
          </w:tcPr>
          <w:p>
            <w:pPr>
              <w:spacing w:after="0"/>
              <w:rPr>
                <w:sz w:val="21"/>
                <w:szCs w:val="21"/>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 xml:space="preserve">Liabilities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44"/>
        </w:trPr>
        <w:tc>
          <w:tcPr>
            <w:tcW w:w="7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now used in active conduct of the Company's business (39 facilities)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10,691</w:t>
            </w:r>
          </w:p>
        </w:tc>
        <w:tc>
          <w:tcPr>
            <w:tcW w:w="0" w:type="dxa"/>
            <w:vAlign w:val="bottom"/>
          </w:tcPr>
          <w:p>
            <w:pPr>
              <w:spacing w:after="0"/>
              <w:rPr>
                <w:sz w:val="1"/>
                <w:szCs w:val="1"/>
                <w:color w:val="auto"/>
              </w:rPr>
            </w:pPr>
          </w:p>
        </w:tc>
      </w:tr>
      <w:tr>
        <w:trPr>
          <w:trHeight w:val="229"/>
        </w:trPr>
        <w:tc>
          <w:tcPr>
            <w:tcW w:w="7340" w:type="dxa"/>
            <w:vAlign w:val="bottom"/>
          </w:tcPr>
          <w:p>
            <w:pPr>
              <w:ind w:left="40"/>
              <w:spacing w:after="0"/>
              <w:rPr>
                <w:sz w:val="20"/>
                <w:szCs w:val="20"/>
                <w:color w:val="auto"/>
              </w:rPr>
            </w:pPr>
            <w:r>
              <w:rPr>
                <w:rFonts w:ascii="Arial" w:cs="Arial" w:eastAsia="Arial" w:hAnsi="Arial"/>
                <w:sz w:val="18"/>
                <w:szCs w:val="18"/>
                <w:color w:val="auto"/>
                <w:w w:val="91"/>
              </w:rPr>
              <w:t>Inactive facilities not now used in active conduct of the Company's business but most of which were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40"/>
              <w:spacing w:after="0"/>
              <w:rPr>
                <w:sz w:val="20"/>
                <w:szCs w:val="20"/>
                <w:color w:val="auto"/>
              </w:rPr>
            </w:pPr>
            <w:r>
              <w:rPr>
                <w:rFonts w:ascii="Arial" w:cs="Arial" w:eastAsia="Arial" w:hAnsi="Arial"/>
                <w:sz w:val="18"/>
                <w:szCs w:val="18"/>
                <w:color w:val="auto"/>
                <w:w w:val="93"/>
              </w:rPr>
              <w:t>acquired because the assumption of remedial liabilities for such facilities was part of the purchase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40"/>
              <w:spacing w:after="0"/>
              <w:rPr>
                <w:sz w:val="20"/>
                <w:szCs w:val="20"/>
                <w:color w:val="auto"/>
              </w:rPr>
            </w:pPr>
            <w:r>
              <w:rPr>
                <w:rFonts w:ascii="Arial" w:cs="Arial" w:eastAsia="Arial" w:hAnsi="Arial"/>
                <w:sz w:val="18"/>
                <w:szCs w:val="18"/>
                <w:color w:val="auto"/>
              </w:rPr>
              <w:t>price for the CSD assets (37 facilities)</w:t>
            </w:r>
          </w:p>
        </w:tc>
        <w:tc>
          <w:tcPr>
            <w:tcW w:w="2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61,991</w:t>
            </w:r>
          </w:p>
        </w:tc>
        <w:tc>
          <w:tcPr>
            <w:tcW w:w="120" w:type="dxa"/>
            <w:vAlign w:val="bottom"/>
          </w:tcPr>
          <w:p>
            <w:pPr>
              <w:spacing w:after="0"/>
              <w:rPr>
                <w:sz w:val="20"/>
                <w:szCs w:val="20"/>
                <w:color w:val="auto"/>
              </w:rPr>
            </w:pP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10,658</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Superfund sites owned by third parties (17 sites)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7,801</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57"/>
        </w:trPr>
        <w:tc>
          <w:tcPr>
            <w:tcW w:w="73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114,173</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620" w:right="1860" w:hanging="5288"/>
        <w:spacing w:after="0" w:line="668"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the high end of the range of management's best estimate of the reasonably possible additional liabilities. 68</w:t>
      </w:r>
    </w:p>
    <w:p>
      <w:pPr>
        <w:sectPr>
          <w:pgSz w:w="11900" w:h="16838" w:orient="portrait"/>
          <w:cols w:equalWidth="0" w:num="1">
            <w:col w:w="11400"/>
          </w:cols>
          <w:pgMar w:left="240" w:top="252" w:right="2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Estimates based on amount of potential liability (in thousands, except percentages):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Reasonably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3"/>
              <w:spacing w:after="0"/>
              <w:rPr>
                <w:sz w:val="20"/>
                <w:szCs w:val="20"/>
                <w:color w:val="auto"/>
              </w:rPr>
            </w:pPr>
            <w:r>
              <w:rPr>
                <w:rFonts w:ascii="Arial" w:cs="Arial" w:eastAsia="Arial" w:hAnsi="Arial"/>
                <w:sz w:val="16"/>
                <w:szCs w:val="16"/>
                <w:b w:val="1"/>
                <w:bCs w:val="1"/>
                <w:color w:val="auto"/>
                <w:w w:val="85"/>
              </w:rPr>
              <w:t>Possible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Remedial</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33"/>
              <w:spacing w:after="0"/>
              <w:rPr>
                <w:sz w:val="20"/>
                <w:szCs w:val="20"/>
                <w:color w:val="auto"/>
              </w:rPr>
            </w:pPr>
            <w:r>
              <w:rPr>
                <w:rFonts w:ascii="Arial" w:cs="Arial" w:eastAsia="Arial" w:hAnsi="Arial"/>
                <w:sz w:val="16"/>
                <w:szCs w:val="16"/>
                <w:b w:val="1"/>
                <w:bCs w:val="1"/>
                <w:color w:val="auto"/>
                <w:w w:val="94"/>
              </w:rPr>
              <w:t>Additional</w:t>
            </w:r>
          </w:p>
        </w:tc>
        <w:tc>
          <w:tcPr>
            <w:tcW w:w="0" w:type="dxa"/>
            <w:vAlign w:val="bottom"/>
          </w:tcPr>
          <w:p>
            <w:pPr>
              <w:spacing w:after="0"/>
              <w:rPr>
                <w:sz w:val="1"/>
                <w:szCs w:val="1"/>
                <w:color w:val="auto"/>
              </w:rPr>
            </w:pPr>
          </w:p>
        </w:tc>
      </w:tr>
      <w:tr>
        <w:trPr>
          <w:trHeight w:val="243"/>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Location</w:t>
            </w:r>
          </w:p>
        </w:tc>
        <w:tc>
          <w:tcPr>
            <w:tcW w:w="5020" w:type="dxa"/>
            <w:vAlign w:val="bottom"/>
            <w:tcBorders>
              <w:bottom w:val="single" w:sz="8" w:color="auto"/>
            </w:tcBorders>
          </w:tcPr>
          <w:p>
            <w:pPr>
              <w:ind w:left="1720"/>
              <w:spacing w:after="0"/>
              <w:rPr>
                <w:sz w:val="20"/>
                <w:szCs w:val="20"/>
                <w:color w:val="auto"/>
              </w:rPr>
            </w:pPr>
            <w:r>
              <w:rPr>
                <w:rFonts w:ascii="Arial" w:cs="Arial" w:eastAsia="Arial" w:hAnsi="Arial"/>
                <w:sz w:val="16"/>
                <w:szCs w:val="16"/>
                <w:b w:val="1"/>
                <w:bCs w:val="1"/>
                <w:color w:val="auto"/>
              </w:rPr>
              <w:t>Type of Facility or Site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Liability</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 of Total</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Liabilities</w:t>
            </w:r>
            <w:r>
              <w:rPr>
                <w:rFonts w:ascii="Arial" w:cs="Arial" w:eastAsia="Arial" w:hAnsi="Arial"/>
                <w:sz w:val="21"/>
                <w:szCs w:val="21"/>
                <w:b w:val="1"/>
                <w:bCs w:val="1"/>
                <w:color w:val="auto"/>
                <w:w w:val="90"/>
                <w:vertAlign w:val="superscript"/>
              </w:rPr>
              <w:t>(2)</w:t>
            </w:r>
          </w:p>
        </w:tc>
        <w:tc>
          <w:tcPr>
            <w:tcW w:w="0" w:type="dxa"/>
            <w:vAlign w:val="bottom"/>
          </w:tcPr>
          <w:p>
            <w:pPr>
              <w:spacing w:after="0"/>
              <w:rPr>
                <w:sz w:val="1"/>
                <w:szCs w:val="1"/>
                <w:color w:val="auto"/>
              </w:rPr>
            </w:pPr>
          </w:p>
        </w:tc>
      </w:tr>
      <w:tr>
        <w:trPr>
          <w:trHeight w:val="24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Baton Rouge, LA</w:t>
            </w:r>
          </w:p>
        </w:tc>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Closed incinerator and landfill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22,690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Bridgeport, NJ</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Closed incinerator</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18,191</w:t>
            </w:r>
          </w:p>
        </w:tc>
        <w:tc>
          <w:tcPr>
            <w:tcW w:w="12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Mercier, Quebec</w:t>
            </w:r>
          </w:p>
        </w:tc>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Idled incinerator and legal proceedings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Linden, NJ</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Operating solvent recycling center</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7,312</w:t>
            </w:r>
          </w:p>
        </w:tc>
        <w:tc>
          <w:tcPr>
            <w:tcW w:w="12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All other incinerators, landfills, wastewater treatment facilities and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Various</w:t>
            </w:r>
          </w:p>
        </w:tc>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centers (72 facilities)</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47,418</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12,936</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color w:val="auto"/>
                <w:w w:val="96"/>
              </w:rPr>
              <w:t>Superfund sites (each representing less than 5% of total 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Various</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owned by third parties (17 sites)</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7,801</w:t>
            </w:r>
          </w:p>
        </w:tc>
        <w:tc>
          <w:tcPr>
            <w:tcW w:w="120" w:type="dxa"/>
            <w:vAlign w:val="bottom"/>
          </w:tcPr>
          <w:p>
            <w:pPr>
              <w:spacing w:after="0"/>
              <w:rPr>
                <w:sz w:val="20"/>
                <w:szCs w:val="20"/>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114,173</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22,129</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$18.4 million of the $114.2 million remedial liabilities include estimates related to the legal and administrative proceedings discussed in Note 18, "Commitments and Contingencies," as well as other such estimated remedial liabilities.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represent the high end of the range of management's best estimate of the reasonably possible additional liabilities.</w:t>
      </w:r>
    </w:p>
    <w:p>
      <w:pPr>
        <w:spacing w:after="0" w:line="13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future changes in available technology, regulatory or enforcement developments, the results of environmental studies or other factors could necessitate the recording of additional liabilities or the revision of currently recorded liabilities that could be material. Since the Company's satisfaction of the liabilities will occur over many years, the Company cannot reasonably predict the nature or extent of possible future events or the impact that those events, if any, might have on the current estimates of remedial liabilities.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Current Obligations:</w:t>
            </w:r>
          </w:p>
        </w:tc>
        <w:tc>
          <w:tcPr>
            <w:tcW w:w="2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9"/>
                <w:szCs w:val="19"/>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2018</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5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57"/>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Senior secured Term Loan Agreement ("Term Loan Agreement")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7,535</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74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Long-Term Obligations:</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55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Senior secured Term Loan Agreement due June 30, 2024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727,162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734,697</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Unsecured senior notes, at 4.875%, due July 15, 2027 ("2027 Notes")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Unsecured senior notes, at 5.125%, due July 15, 2029 ("2029 Notes")</w:t>
            </w: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Unsecured senior notes, at 5.125%, due June 1, 2021 ("2021 Notes")</w:t>
            </w: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845,000</w:t>
            </w:r>
          </w:p>
        </w:tc>
      </w:tr>
      <w:tr>
        <w:trPr>
          <w:trHeight w:val="237"/>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Long-term obligations, at par</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1,572,162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1,579,697</w:t>
            </w: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 and premium, net</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(14,676)</w:t>
            </w:r>
          </w:p>
        </w:tc>
      </w:tr>
      <w:tr>
        <w:trPr>
          <w:trHeight w:val="257"/>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Long-term obligations, at carrying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1,554,116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1,565,021</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4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 xml:space="preserve">Unsecured Senior Notes. </w:t>
      </w:r>
      <w:r>
        <w:rPr>
          <w:rFonts w:ascii="Arial" w:cs="Arial" w:eastAsia="Arial" w:hAnsi="Arial"/>
          <w:sz w:val="18"/>
          <w:szCs w:val="18"/>
          <w:color w:val="auto"/>
        </w:rPr>
        <w:t>On July 2, 2019, the Company completed a private placement of $545.0 million aggregate principal amount of 2027 Notes and</w:t>
      </w:r>
      <w:r>
        <w:rPr>
          <w:rFonts w:ascii="Arial" w:cs="Arial" w:eastAsia="Arial" w:hAnsi="Arial"/>
          <w:sz w:val="18"/>
          <w:szCs w:val="18"/>
          <w:i w:val="1"/>
          <w:iCs w:val="1"/>
          <w:color w:val="auto"/>
        </w:rPr>
        <w:t xml:space="preserve"> </w:t>
      </w:r>
      <w:r>
        <w:rPr>
          <w:rFonts w:ascii="Arial" w:cs="Arial" w:eastAsia="Arial" w:hAnsi="Arial"/>
          <w:sz w:val="18"/>
          <w:szCs w:val="18"/>
          <w:color w:val="auto"/>
        </w:rPr>
        <w:t>$300.0 million aggregate principal amount of 2029 Notes (collectively, the "New Notes"). The 2027 Notes will mature on July 15, 2027, and the 2029 Notes will mature on July 15, 2029. Interest payments on each series of the New Notes will be paid semiannually on January 15 and July 15, commencing on January 15, 2020.</w:t>
      </w:r>
    </w:p>
    <w:p>
      <w:pPr>
        <w:sectPr>
          <w:pgSz w:w="11900" w:h="16838" w:orient="portrait"/>
          <w:cols w:equalWidth="0" w:num="1">
            <w:col w:w="11420"/>
          </w:cols>
          <w:pgMar w:left="240" w:top="25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252" w:right="23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Company may redeem all or any portion of the 2027 Notes prior to July 15, 2022 or the 2029 Notes prior to July 15, 2024 at a redemption price equal to 100% of the principal amount redeemed plus a make whole premium as of the date of redemption including accrued and unpaid interest, if any, up to the date of redemption. Additionally, prior to July 15, 2022 for the 2027 Notes and July 15, 2024 for the 2029 Notes, the Company may use cash proceeds of one or more equity offerings to redeem up to 35% in aggregate principal of the 2027 Notes or the 2029 Notes at a redemption price equal to 104.875% or 105.125%, respectively, plus accrued and unpaid interest thereon, if any, up to the date of redemption.</w:t>
      </w:r>
    </w:p>
    <w:p>
      <w:pPr>
        <w:spacing w:after="0" w:line="9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After the dates in the preceding paragraph, the Company may redeem all or any portion of the New Notes which remain outstanding at any time upon proper notice at the following redemption prices if redeemed during the twelve-month period commencing on July 15 of the years set forth below plus accrued and unpaid interest, if any, up to the date of redemption: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2027 Notes</w:t>
      </w:r>
    </w:p>
    <w:p>
      <w:pPr>
        <w:spacing w:after="0" w:line="189" w:lineRule="exact"/>
        <w:rPr>
          <w:sz w:val="20"/>
          <w:szCs w:val="20"/>
          <w:color w:val="auto"/>
        </w:rPr>
      </w:pPr>
    </w:p>
    <w:p>
      <w:pPr>
        <w:ind w:left="40"/>
        <w:spacing w:after="0"/>
        <w:tabs>
          <w:tab w:leader="none" w:pos="10180" w:val="left"/>
        </w:tabs>
        <w:rPr>
          <w:sz w:val="20"/>
          <w:szCs w:val="20"/>
          <w:color w:val="auto"/>
        </w:rPr>
      </w:pPr>
      <w:r>
        <w:rPr>
          <w:rFonts w:ascii="Arial" w:cs="Arial" w:eastAsia="Arial" w:hAnsi="Arial"/>
          <w:sz w:val="16"/>
          <w:szCs w:val="16"/>
          <w:b w:val="1"/>
          <w:bCs w:val="1"/>
          <w:color w:val="auto"/>
        </w:rPr>
        <w:t>Year</w:t>
      </w:r>
      <w:r>
        <w:rPr>
          <w:sz w:val="20"/>
          <w:szCs w:val="20"/>
          <w:color w:val="auto"/>
        </w:rPr>
        <w:tab/>
      </w:r>
      <w:r>
        <w:rPr>
          <w:rFonts w:ascii="Arial" w:cs="Arial" w:eastAsia="Arial" w:hAnsi="Arial"/>
          <w:sz w:val="16"/>
          <w:szCs w:val="16"/>
          <w:b w:val="1"/>
          <w:bCs w:val="1"/>
          <w:color w:val="auto"/>
        </w:rPr>
        <w:t>Percentage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351"/>
        </w:trPr>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2029 Notes</w:t>
            </w:r>
          </w:p>
        </w:tc>
        <w:tc>
          <w:tcPr>
            <w:tcW w:w="1660" w:type="dxa"/>
            <w:vAlign w:val="bottom"/>
          </w:tcPr>
          <w:p>
            <w:pPr>
              <w:spacing w:after="0"/>
              <w:rPr>
                <w:sz w:val="24"/>
                <w:szCs w:val="24"/>
                <w:color w:val="auto"/>
              </w:rPr>
            </w:pPr>
          </w:p>
        </w:tc>
      </w:tr>
      <w:tr>
        <w:trPr>
          <w:trHeight w:val="372"/>
        </w:trPr>
        <w:tc>
          <w:tcPr>
            <w:tcW w:w="97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60" w:type="dxa"/>
            <w:vAlign w:val="bottom"/>
          </w:tcPr>
          <w:p>
            <w:pPr>
              <w:jc w:val="right"/>
              <w:ind w:right="351"/>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9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102.563%</w:t>
            </w: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101.281%</w:t>
            </w:r>
          </w:p>
        </w:tc>
      </w:tr>
      <w:tr>
        <w:trPr>
          <w:trHeight w:val="27"/>
        </w:trPr>
        <w:tc>
          <w:tcPr>
            <w:tcW w:w="976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9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2026 and thereafter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9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Concurrently with the closing of the New Notes on July 2, 2019, the Company repurchased, using a portion of the net proceeds from the sale of the New Notes, an aggregate principal amount of $701.0 million of the 2021 Notes. The total amount paid in repurchasing the 2021 Notes was $706.2 million including $3.1 million of accrued interest. On July 17, 2019, the Company redeemed the remaining $144.0 million outstanding 2021 Notes, including $0.9 million of accrued interest, using the remaining net proceeds from the sale of the New Notes and available cash. In connection with this early repurchase and redemption of the 2021 Notes, the Company recorded a loss on early extinguishment of debt of $6.1 million during the year ended December 31, 2019. With the repurchase and redemption of the 2021 Notes, none of the Company’s outstanding debt is registered under the Securities Act of 1933, as amended.</w:t>
      </w:r>
    </w:p>
    <w:p>
      <w:pPr>
        <w:spacing w:after="0" w:line="84"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New Notes and the related indenture contain various customary non-financial covenants and are guaranteed by substantially all of the Company’s current and future domestic subsidiaries. The New Notes are effectively subordinated to the Company's Term Loan Agreement, revolving credit facility and finance lease obligations to the extent of the value of the assets securing such secured indebtedness. The New Notes are effectively subordinated to all indebtedness and other liabilities of the Company's subsidiaries that are not guarantors of the New Notes.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Senior Secured Term Loans. </w:t>
      </w:r>
      <w:r>
        <w:rPr>
          <w:rFonts w:ascii="Arial" w:cs="Arial" w:eastAsia="Arial" w:hAnsi="Arial"/>
          <w:sz w:val="18"/>
          <w:szCs w:val="18"/>
          <w:color w:val="auto"/>
        </w:rPr>
        <w:t>On April 17, 2018, the Company, and substantially all of the Company's domestic subsidiaries as guarantors,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amendment (the “First Amendment”) of the Term Loan Agreement. The First Amendment reduced the applicable interest rate margin for the Company’s term loans (the "Term Loans") outstanding under the Term Loan Agreement by 25 basis points for both Eurocurrency borrowings and base rate borrowings. After giving effect to the repricing, the applicable interest rate margins for the Term Loans are 1.75% for Eurocurrency borrowings and 0.75% for base rate borrowings.</w:t>
      </w:r>
    </w:p>
    <w:p>
      <w:pPr>
        <w:spacing w:after="0" w:line="10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On July 19, 2018, the Company, and substantially all of the Company’s domestic subsidiaries as guarantors, entered into an Incremental Facility Amendment (the “Incremental Facility Amendment”) to the Company’s Term Loan Agreement. The Incremental Facility Amendment increased the principal amount of the Term Loans outstanding under the Term Loan Agreement by $350.0 million. The Term Loans under the Term Loan Agreement will mature on June 30, 2024 and may be prepaid at any time without premium or penalty other than customary breakage costs with respect to Eurodollar based loans. The Company’s obligations under the Term Loan Agreement are guaranteed by all of the Company’s domestic restricted subsidiaries and secured by liens on substantially all of the assets of the Company and the guarantors. The effective annual interest rate of the Term Loans on December 31, 2019 was 3.55%.</w:t>
      </w:r>
    </w:p>
    <w:p>
      <w:pPr>
        <w:spacing w:after="0" w:line="8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Concurrently with the closing on July 19, 2018 of the Incremental Facility Amendment, the Company repurchased $322.0 million aggregate principal of previously outstanding unsecured senior notes. The total amount paid to repurchases these notes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52"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was $330.9 million inclusive of $7.9 million of accrued interest and $1.0 million of debt redemption fees. On August 1, 2018, the Company redeemed the remaining $78.0 million of principal of the previously outstanding notes. In connection with this redemption, the Company recorded a loss on early extinguishment of debt of $2.5 million during the year ended December 31, 2018.</w:t>
      </w:r>
    </w:p>
    <w:p>
      <w:pPr>
        <w:spacing w:after="0" w:line="10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As of December 31, 2019 and December 31, 2018, the estimated fair value of the Company’s outstanding long-term obligations, including the current portion, was $1.6 billion. The Company’s estimates of the fair value of its long-term obligations,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10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On November 1, 2016, the Company and one of the Company's subsidiaries (the "Canadian Borrower")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credit agreement for the Company's revolving credit facility with Bank of America, N.A. (“BofA”), as agent for the lenders under the facility (the "Agent"). Under the amended and restated facility, the Company has the right to obtain revolving loans and letters of credit for a combined maximum of up to $300.0 million (with a sub-limit of $250.0 million for letters of credit) and the Canadian Borrower has the right to obtain revolving loans and letters of credit for a combined maximum of up to $100.0 million (with a $75.0 million sub-limit for letters of credit). Availability under the U.S. line is subject to a borrowing base basically comprised of 85% of the eligible accounts receivable of the Company and its U.S. subsidiaries plus 100% of cash deposited in a controlled account with the Agent, and availability under the Canadian line is subject to a borrowing base basically comprised of 85% of the eligible accounts receivable of the Company’s Canadian subsidiaries plus 100% of cash deposited in a controlled account with the Agent’s Canadian affiliate. Subject to certain conditions, the facility will expire on November 1, 2021.</w:t>
      </w:r>
    </w:p>
    <w:p>
      <w:pPr>
        <w:spacing w:after="0" w:line="10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Borrowings under the revolving credit facility bear interest at a rate of, at the Company’s option, either (i) LIBOR plus an applicable margin ranging from 1.25% to 1.50% per annum based primarily on the level of the Company’s average liquidity for the most recent 30 day period or (ii) BofA’s base rate plus an applicable margin ranging from 0.25% to 0.50% per annum based primarily on such average liquidity. There is also an unused line fee, calculated on the then unused portion of the lenders’ $400.0 million maximum commitments, ranging from 0.25% to 0.30% per annum of the unused commitment. For outstanding letters of credit, the Company will pay to the lenders a fee equal to the then applicable LIBOR margin described above, and to the issuing banks a standard fronting fee and customary fees and charges in connection with all amendments, extensions, draws and other actions with respect to letters of credit.</w:t>
      </w:r>
    </w:p>
    <w:p>
      <w:pPr>
        <w:spacing w:after="0" w:line="8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w:t>
      </w:r>
    </w:p>
    <w:p>
      <w:pPr>
        <w:spacing w:after="0" w:line="106"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Company utilizes letters of credit primarily as security for financial assurance which it has been required to provide to regulatory bodies for its hazardous waste facilities and which would be called only in the event that the Company fails to satisfy closure, post-closure and other obligations under the permits issued by those regulatory bodies for such licensed facilities. On August 1, 2018, the Company borrowed $50.0 million under the revolving credit facility in connection with the redemption of $78.0 million of previously outstanding unsecured senior notes. The Company repaid the $50.0 million borrowing during the fourth quarter of 2018. At December 31, 2019 and 2018, the revolving credit facility had no outstanding loan balances, availability of $229.2 million and $235.4 million, respectively, and outstanding letters of credit of $146.9 million and $130.1 million, respectively.</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 Flow Hedges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strategy to hedge against fluctuations in variable interest rates involves entering into interest rate derivative agreements.</w:t>
      </w:r>
    </w:p>
    <w:p>
      <w:pPr>
        <w:spacing w:after="0" w:line="14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Although the interest rate on the Term Loans is variable, the Company has effectively fixed the interest rate on $350.0 million principal outstanding by entering into interest rate swap agreements in 2018 with a notional amount of $350.0 million. Under the terms of the interest rate swap agreements, the Company receives interest based on the 1-month LIBOR index and pays interest at a weighted average rate of approximately 2.92%, resulting in an effective annual interest rate of approximately 4.67%.</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52" w:right="2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consolidated balance sheet at fair value. No ineffectiveness has been identified on these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 affects earnings.</w:t>
      </w:r>
    </w:p>
    <w:p>
      <w:pPr>
        <w:spacing w:after="0" w:line="106"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As of December 31, 2019 and December 31, 2018, the Company recorded a derivative liability with a fair value of $20.8 million and $8.8 million, respectively, within accrued expenses in connection with these cash flow hedges.</w:t>
      </w:r>
    </w:p>
    <w:p>
      <w:pPr>
        <w:spacing w:after="0" w:line="8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domestic and foreign components of income before provision (benefit) for income taxes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1"/>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156,571</w:t>
            </w:r>
          </w:p>
        </w:tc>
        <w:tc>
          <w:tcPr>
            <w:tcW w:w="5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115,070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101,714</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(43,025)</w:t>
            </w:r>
          </w:p>
        </w:tc>
      </w:tr>
      <w:tr>
        <w:trPr>
          <w:trHeight w:val="27"/>
        </w:trPr>
        <w:tc>
          <w:tcPr>
            <w:tcW w:w="5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148,239</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94,482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58,689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1"/>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20,482</w:t>
            </w: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(7,677)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25,613</w:t>
            </w:r>
          </w:p>
        </w:tc>
      </w:tr>
      <w:tr>
        <w:trPr>
          <w:trHeight w:val="27"/>
        </w:trPr>
        <w:tc>
          <w:tcPr>
            <w:tcW w:w="4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Foreign</w:t>
            </w:r>
          </w:p>
        </w:tc>
        <w:tc>
          <w:tcPr>
            <w:tcW w:w="1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4,589</w:t>
            </w:r>
          </w:p>
        </w:tc>
      </w:tr>
      <w:tr>
        <w:trPr>
          <w:trHeight w:val="27"/>
        </w:trPr>
        <w:tc>
          <w:tcPr>
            <w:tcW w:w="4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41,285</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Deferred</w:t>
            </w:r>
          </w:p>
        </w:tc>
        <w:tc>
          <w:tcPr>
            <w:tcW w:w="16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(85,488)</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State</w:t>
            </w:r>
          </w:p>
        </w:tc>
        <w:tc>
          <w:tcPr>
            <w:tcW w:w="1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1,085</w:t>
            </w:r>
          </w:p>
        </w:tc>
      </w:tr>
      <w:tr>
        <w:trPr>
          <w:trHeight w:val="27"/>
        </w:trPr>
        <w:tc>
          <w:tcPr>
            <w:tcW w:w="4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6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w:t>
            </w:r>
          </w:p>
        </w:tc>
      </w:tr>
      <w:tr>
        <w:trPr>
          <w:trHeight w:val="237"/>
        </w:trPr>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19,089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(83,335)</w:t>
            </w:r>
          </w:p>
        </w:tc>
      </w:tr>
      <w:tr>
        <w:trPr>
          <w:trHeight w:val="27"/>
        </w:trPr>
        <w:tc>
          <w:tcPr>
            <w:tcW w:w="4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28,846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770"/>
        </w:trPr>
        <w:tc>
          <w:tcPr>
            <w:tcW w:w="4120" w:type="dxa"/>
            <w:vAlign w:val="bottom"/>
          </w:tcPr>
          <w:p>
            <w:pPr>
              <w:spacing w:after="0"/>
              <w:rPr>
                <w:sz w:val="24"/>
                <w:szCs w:val="24"/>
                <w:color w:val="auto"/>
              </w:rPr>
            </w:pPr>
          </w:p>
        </w:tc>
        <w:tc>
          <w:tcPr>
            <w:tcW w:w="204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252"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Company's effective tax rate for fiscal years 2019, 2018 and 2017 was 34.1%, 30.5% and (71.6)%, respectively. The effective income tax rate varied from the amount computed using the statutory federal income tax rate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1"/>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 at US statutory rate</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31,130</w:t>
            </w:r>
          </w:p>
        </w:tc>
        <w:tc>
          <w:tcPr>
            <w:tcW w:w="6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20,541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10,597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8,711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4,547</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rate differential</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10,466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16,552</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 interest and penalties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0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1,600</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Tax Cuts and Jobs Act</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(93,009)</w:t>
            </w: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50,499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28,846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(42,050)</w:t>
            </w: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Due to the Tax Cuts and Jobs Act (the “Tax Act”) signed into law on December 22, 2017, the statutory rate in effect was 21% in 2019 and 2018, compared to 35% in 2017.</w:t>
      </w:r>
    </w:p>
    <w:p>
      <w:pPr>
        <w:spacing w:after="0" w:line="8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For the year ended December 31, 2017, the Company calculated its best estimate of the impact of the Tax Act in its year-end income tax provision in accordance with its understanding of the Tax Act and guidance available as of the date of the 2017 Form 10-K filing and as a result recorded a net benefit of $93.0 million as a component of the 2017 income tax expense. This provisional net income tax benefit was comprised of a $100.5 million tax benefit for the remeasurement of deferred tax assets and liabilities to the 21% rate at which they are expected to reverse, offset by a one-time tax expense on deemed repatriation of $7.5 million. This one-time charge was after the utilization of $7.5 million of foreign tax credits which had full valuation allowances applied to them previously.</w:t>
      </w:r>
    </w:p>
    <w:p>
      <w:pPr>
        <w:spacing w:after="0" w:line="112"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During 2018, the Company completed its analysis of impacts of the Tax Act and specific to the one-time deemed repatriation, adjusted the previous amount recorded of $7.5 million to $6.6 million resulting in a $0.9 million benefit to tax expense recorded in 2018. The Company also recorded the final remeasurement of its deferred tax assets and liabilities and adjusted the deferred tax benefit from $100.5 million to $99.9 million or approximately $0.6 million of deferred expense recorded in 2018. The total net impact of changes in tax law resulted in a net benefit of approximately $0.3 million in 2018.</w:t>
      </w:r>
    </w:p>
    <w:p>
      <w:pPr>
        <w:spacing w:after="0" w:line="73"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During 2018, the Company also completed an analysis of certain federal manufacturing and research and development credit benefits for tax years 2014 through 2017. Upon the filing of its 2017 tax return in October 2018, the Company recognized $3.3 million of tax benefits and recognized an additional $7.1 million upon the amendments of its 2014 through 2016 tax returns for a net benefit recorded as a component of the 2018 tax provision of $9.8 million (shown as Tax credits in the table above).</w:t>
      </w:r>
    </w:p>
    <w:p>
      <w:pPr>
        <w:spacing w:after="0" w:line="106"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During the year ended December 31, 2018, the Company recorded $5.0 million of tax benefits related to tax deductible foreign currency losses to accumulated other comprehensive loss and as such these benefits are not included within the provision (benefit) for income taxes.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52" w:right="2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total net deferred tax assets and liabilities as of December 31, 2019 and 2018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8,949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 post-closure and remedial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28,380</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0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40,879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0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Net operating loss carryforwards</w:t>
            </w:r>
            <w:r>
              <w:rPr>
                <w:rFonts w:ascii="Arial" w:cs="Arial" w:eastAsia="Arial" w:hAnsi="Arial"/>
                <w:sz w:val="25"/>
                <w:szCs w:val="25"/>
                <w:color w:val="auto"/>
                <w:vertAlign w:val="superscript"/>
              </w:rPr>
              <w:t>(1)</w:t>
            </w:r>
          </w:p>
        </w:tc>
        <w:tc>
          <w:tcPr>
            <w:tcW w:w="10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50,824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43,284</w:t>
            </w:r>
          </w:p>
        </w:tc>
        <w:tc>
          <w:tcPr>
            <w:tcW w:w="0" w:type="dxa"/>
            <w:vAlign w:val="bottom"/>
          </w:tcPr>
          <w:p>
            <w:pPr>
              <w:spacing w:after="0"/>
              <w:rPr>
                <w:sz w:val="1"/>
                <w:szCs w:val="1"/>
                <w:color w:val="auto"/>
              </w:rPr>
            </w:pPr>
          </w:p>
        </w:tc>
      </w:tr>
      <w:tr>
        <w:trPr>
          <w:trHeight w:val="270"/>
        </w:trPr>
        <w:tc>
          <w:tcPr>
            <w:tcW w:w="7660" w:type="dxa"/>
            <w:vAlign w:val="bottom"/>
          </w:tcPr>
          <w:p>
            <w:pPr>
              <w:ind w:left="180"/>
              <w:spacing w:after="0" w:line="270" w:lineRule="exact"/>
              <w:rPr>
                <w:sz w:val="20"/>
                <w:szCs w:val="20"/>
                <w:color w:val="auto"/>
              </w:rPr>
            </w:pPr>
            <w:r>
              <w:rPr>
                <w:rFonts w:ascii="Arial" w:cs="Arial" w:eastAsia="Arial" w:hAnsi="Arial"/>
                <w:sz w:val="18"/>
                <w:szCs w:val="18"/>
                <w:color w:val="auto"/>
              </w:rPr>
              <w:t>Tax credit carryforwards</w:t>
            </w:r>
            <w:r>
              <w:rPr>
                <w:rFonts w:ascii="Arial" w:cs="Arial" w:eastAsia="Arial" w:hAnsi="Arial"/>
                <w:sz w:val="25"/>
                <w:szCs w:val="25"/>
                <w:color w:val="auto"/>
                <w:vertAlign w:val="superscript"/>
              </w:rPr>
              <w:t>(2)</w:t>
            </w:r>
          </w:p>
        </w:tc>
        <w:tc>
          <w:tcPr>
            <w:tcW w:w="10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16,909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Uncertain tax positions accrued interest and federal benefit</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186,307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133,774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(184,594)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(164,246)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Permits and other intangible assets</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(98,654)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(103,539)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(333,927)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(276,972)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liability before valuation allowance</w:t>
            </w:r>
          </w:p>
        </w:tc>
        <w:tc>
          <w:tcPr>
            <w:tcW w:w="10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(147,620)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(143,198)</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(79,295)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liabilities</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(231,263)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(222,493)</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2019, the net operating loss carryforwards included (i) state net operating loss carryovers of $201.8 million which will begin to expire in 2020, (ii) federal net operating loss carryforwards of $25.5 million which will begin to expire in 2025 and (iii) foreign net operating loss carryforwards of $145.0 million which will begin to expire in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2019, the foreign tax credit carryforwards of $16.6 million will expire between 2020 and 2024.</w:t>
      </w:r>
    </w:p>
    <w:p>
      <w:pPr>
        <w:spacing w:after="0" w:line="130"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Company has not accrued for any remaining undistributed foreign earnings. These amounts continue to be indefinitely reinvested in foreign operations.</w:t>
      </w:r>
    </w:p>
    <w:p>
      <w:pPr>
        <w:spacing w:after="0" w:line="8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 valuation allowance is required to be established when, based on an evaluation of available evidence, it is more likely than not that some portion or all of the deferred tax assets will not be realized. Accordingly, as of December 31, 2019 and 2018, the Company had a valuation allowance of $83.6 million and $79.3 million, respectively. The total allowance as of December 31, 2019 consisted of $16.5 million of foreign tax credits, $0.8 million of acquired federal net operating losses, $10.7 million of state net operating loss carryforwards, $34.1 million of foreign net operating loss carryforwards, $14.9 million of deferred tax assets of a Canadian subsidiary and $6.6 million of realized and unrealized capital losses. The allowance as of December 31, 2018 consisted of $16.5 million of foreign tax credits, $0.8 million of acquired federal net operating losses, $9.6 million of state net operating loss carryforwards and $22.7 million of foreign net operating loss carryforwards, $26.6 million of deferred tax assets of a Canadian subsidiary and $3.1 million of unrealized capital losses.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52"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changes to unrecognized tax benefits (excluding related penalties and interest) from January 1, 2017 through December 31, 2019,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January 1</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to current year tax positions</w:t>
            </w:r>
          </w:p>
        </w:tc>
        <w:tc>
          <w:tcPr>
            <w:tcW w:w="10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1,457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additions to prior year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Expirations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Unrecognized tax benefits as of December 31</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6,414</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5,121</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At December 31, 2019, 2018 and 2017, the Company had recorded $6.4 million, $3.2 million and $5.1 million, respectively, of unrecognized tax benefits that if recognized would affect the annual effective tax rate. The Company recorded $3.1 million of unrecognized tax benefits for Canadian Revenue Agency transfer pricing adjustments for which relief from double taxation has been requested. Therefore, an offsetting benefit of $3.1 million was also recorded resulting in no effect on the annual effective tax rate.</w:t>
      </w:r>
    </w:p>
    <w:p>
      <w:pPr>
        <w:spacing w:after="0" w:line="106" w:lineRule="exact"/>
        <w:rPr>
          <w:sz w:val="20"/>
          <w:szCs w:val="20"/>
          <w:color w:val="auto"/>
        </w:rPr>
      </w:pPr>
    </w:p>
    <w:p>
      <w:pPr>
        <w:ind w:right="660" w:firstLine="405"/>
        <w:spacing w:after="0" w:line="312" w:lineRule="auto"/>
        <w:rPr>
          <w:sz w:val="20"/>
          <w:szCs w:val="20"/>
          <w:color w:val="auto"/>
        </w:rPr>
      </w:pPr>
      <w:r>
        <w:rPr>
          <w:rFonts w:ascii="Arial" w:cs="Arial" w:eastAsia="Arial" w:hAnsi="Arial"/>
          <w:sz w:val="16"/>
          <w:szCs w:val="16"/>
          <w:color w:val="auto"/>
        </w:rPr>
        <w:t>At December 31, 2019, 2018 and 2017 the Company has accrued interest of $1.7 million, $0.8 million and $0.9 million, respectively, relative to unrecognized tax benefits. Interest expense that is recorded as a tax expense against the liability for unrecognized tax benefits for the years ended December 31, 2019, 2018 and 2017 included interest and penalties of $0.9 million, $(0.1) million and $0.5 million, respectively.</w:t>
      </w:r>
    </w:p>
    <w:p>
      <w:pPr>
        <w:spacing w:after="0" w:line="6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files U.S. federal income tax returns as well as income tax returns in various states and foreign jurisdictions. The Company’s tax years 2014-2016 are currently under review by the Internal Revenue Service (the “IRS”). The Company does not believe the examination will result in material adjustments to previously filed returns. Additionally, any net operating losses that were generated in prior years and utilized in these years may also be subject to examination by the IRS. The Company may also be subject to examinations by state and local revenue authorities for calendar years 2014 through 2018. The Company has ongoing U.S. state and local jurisdictional audits, as well as Canadian federal and provincial audits, all of which the Company believes will not result in material liabilities.</w:t>
      </w:r>
    </w:p>
    <w:p>
      <w:pPr>
        <w:spacing w:after="0" w:line="11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Due to expiring statute of limitation periods and the resolution of tax audits, the Company believes that total unrecognized tax benefits will decrease by approximately $0.2 million within the next 12 months.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computations of basic and diluted earnings per share (in thousands, except for per share amounts):</w:t>
      </w:r>
    </w:p>
    <w:p>
      <w:pPr>
        <w:spacing w:after="0" w:line="230"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basic and diluted earnings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97,740</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65,636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100,739</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20"/>
              <w:spacing w:after="0"/>
              <w:rPr>
                <w:sz w:val="20"/>
                <w:szCs w:val="20"/>
                <w:color w:val="auto"/>
              </w:rPr>
            </w:pPr>
            <w:r>
              <w:rPr>
                <w:rFonts w:ascii="Arial" w:cs="Arial" w:eastAsia="Arial" w:hAnsi="Arial"/>
                <w:sz w:val="18"/>
                <w:szCs w:val="18"/>
                <w:color w:val="auto"/>
              </w:rPr>
              <w:t>Weighted basic shares outstanding</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55,845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56,148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57,072</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of equity-based compensation awards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r>
      <w:tr>
        <w:trPr>
          <w:trHeight w:val="297"/>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 dilutive shares outstanding</w:t>
            </w:r>
          </w:p>
        </w:tc>
        <w:tc>
          <w:tcPr>
            <w:tcW w:w="9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56,129</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56,340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57,200</w:t>
            </w:r>
          </w:p>
        </w:tc>
      </w:tr>
      <w:tr>
        <w:trPr>
          <w:trHeight w:val="257"/>
        </w:trPr>
        <w:tc>
          <w:tcPr>
            <w:tcW w:w="6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30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9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1.77</w:t>
            </w:r>
          </w:p>
        </w:tc>
      </w:tr>
      <w:tr>
        <w:trPr>
          <w:trHeight w:val="25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the years ended December 31, 2019, 2018 and 2017, all then outstanding performance awards and restricted stock awards were included in the calculation of diluted earnings per share except for 122,785, 79,390 and 152,831 respectively, of performance stock awards for which the performance criteria were not attained at the time and 16,304, 121,803 and 49,373 respectively, of restricted stock awards and performance stock awards which were excluded as their inclusion would have an antidilutive effect.</w:t>
      </w:r>
    </w:p>
    <w:p>
      <w:pPr>
        <w:sectPr>
          <w:pgSz w:w="11900" w:h="16838" w:orient="portrait"/>
          <w:cols w:equalWidth="0" w:num="1">
            <w:col w:w="11420"/>
          </w:cols>
          <w:pgMar w:left="240" w:top="25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252" w:right="239" w:bottom="1440" w:gutter="0" w:footer="0" w:header="0"/>
          <w:type w:val="continuous"/>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14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Company's board of directors has authorized the repurchase of up to $600.0 million of the Company's common stock. The Company has funded and intends to continue to fund the repurchases through available cash resources. The repurchase program authorizes the Company to purchase the Company's common stock on the open market or in privately negotiated transactions periodically in a manner that complies with applicable U.S. securities laws. The number of shares 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 During the years ended December 31, 2019, 2018 and 2017, the Company repurchased and retired a total of approximately 0.3 million, 0.8 million and 0.9 million shares, respectively, of the Company's common stock for total costs of approximately $21.4 million, $45.1 million and $49.0 million, respectively. Through December 31, 2019, the Company has repurchased and retired a total of approximately 5.9 million shares of its common stock for approximately $315.3 million under this program. As of December 31, 2019, an additional $284.7 million remained available for repurchase of shares under this program.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changes in accumulated other comprehensive loss by component and related tax (loss) benefit for the years ended December 31, 2019,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Unrealized Loss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(Losses) Gains on</w:t>
            </w:r>
          </w:p>
        </w:tc>
        <w:tc>
          <w:tcPr>
            <w:tcW w:w="1240" w:type="dxa"/>
            <w:vAlign w:val="bottom"/>
            <w:gridSpan w:val="3"/>
            <w:vMerge w:val="continue"/>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Unfunded Pension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on Interest Rate</w:t>
            </w:r>
          </w:p>
        </w:tc>
        <w:tc>
          <w:tcPr>
            <w:tcW w:w="1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Sale Securities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8"/>
              </w:rPr>
              <w:t>Hedge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Liability</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(214,326)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41,636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41,966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Amounts reclassified out of 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Tax loss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41,919</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(170,575)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(172,407)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(56,647)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w w:val="97"/>
              </w:rPr>
              <w:t>Amounts reclassified out of accumulated other comprehensive loss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(loss)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(50,964)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(223,371)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25,130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Amounts reclassified out of 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Tax loss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(187,795)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(210,051)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During the year ended December 31, 2018, the Company converted an intercompany loan with a foreign subsidiary to equity, which resulted in losses for tax purposes. The loan had been historically treated as a component of the Company’s investment in that subsidiary, and as a result, foreign currency gains and losses on the loan had been accumulated as a component of other comprehensive (loss) income. The subsidiary continues to operate as part of the Company. The tax benefit of $5.0 million, which was triggered by the conversion, was therefore allocated to other comprehensive (loss) income rather than net income.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52"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 of operations, with presentation location, during the years ended December 31, 2019, 2018, and 2017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center"/>
              <w:ind w:right="156"/>
              <w:spacing w:after="0"/>
              <w:rPr>
                <w:sz w:val="20"/>
                <w:szCs w:val="20"/>
                <w:color w:val="auto"/>
              </w:rPr>
            </w:pPr>
            <w:r>
              <w:rPr>
                <w:rFonts w:ascii="Arial" w:cs="Arial" w:eastAsia="Arial" w:hAnsi="Arial"/>
                <w:sz w:val="14"/>
                <w:szCs w:val="14"/>
                <w:b w:val="1"/>
                <w:bCs w:val="1"/>
                <w:color w:val="auto"/>
                <w:w w:val="92"/>
              </w:rPr>
              <w:t>For the years ended December 31,</w:t>
            </w:r>
          </w:p>
        </w:tc>
        <w:tc>
          <w:tcPr>
            <w:tcW w:w="120" w:type="dxa"/>
            <w:vAlign w:val="bottom"/>
          </w:tcPr>
          <w:p>
            <w:pPr>
              <w:spacing w:after="0"/>
              <w:rPr>
                <w:sz w:val="16"/>
                <w:szCs w:val="16"/>
                <w:color w:val="auto"/>
              </w:rPr>
            </w:pPr>
          </w:p>
        </w:tc>
        <w:tc>
          <w:tcPr>
            <w:tcW w:w="3640" w:type="dxa"/>
            <w:vAlign w:val="bottom"/>
          </w:tcPr>
          <w:p>
            <w:pPr>
              <w:spacing w:after="0"/>
              <w:rPr>
                <w:sz w:val="16"/>
                <w:szCs w:val="16"/>
                <w:color w:val="auto"/>
              </w:rPr>
            </w:pPr>
          </w:p>
        </w:tc>
      </w:tr>
      <w:tr>
        <w:trPr>
          <w:trHeight w:val="250"/>
        </w:trPr>
        <w:tc>
          <w:tcPr>
            <w:tcW w:w="41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Other Comprehensive Income Components</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Location</w:t>
            </w:r>
          </w:p>
        </w:tc>
      </w:tr>
      <w:tr>
        <w:trPr>
          <w:trHeight w:val="250"/>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4"/>
              </w:rPr>
              <w:t>Unrealized (losses) gains on available-for-sale securities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Unrealized loss on interest rate hedge</w:t>
            </w:r>
          </w:p>
        </w:tc>
        <w:tc>
          <w:tcPr>
            <w:tcW w:w="860" w:type="dxa"/>
            <w:vAlign w:val="bottom"/>
          </w:tcPr>
          <w:p>
            <w:pPr>
              <w:jc w:val="right"/>
              <w:spacing w:after="0"/>
              <w:rPr>
                <w:sz w:val="20"/>
                <w:szCs w:val="20"/>
                <w:color w:val="auto"/>
              </w:rPr>
            </w:pPr>
            <w:r>
              <w:rPr>
                <w:rFonts w:ascii="Arial" w:cs="Arial" w:eastAsia="Arial" w:hAnsi="Arial"/>
                <w:sz w:val="18"/>
                <w:szCs w:val="18"/>
                <w:color w:val="auto"/>
              </w:rPr>
              <w:t>(2,335)</w:t>
            </w:r>
          </w:p>
        </w:tc>
        <w:tc>
          <w:tcPr>
            <w:tcW w:w="280" w:type="dxa"/>
            <w:vAlign w:val="bottom"/>
          </w:tcPr>
          <w:p>
            <w:pPr>
              <w:spacing w:after="0"/>
              <w:rPr>
                <w:sz w:val="21"/>
                <w:szCs w:val="21"/>
                <w:color w:val="auto"/>
              </w:rPr>
            </w:pPr>
          </w:p>
        </w:tc>
        <w:tc>
          <w:tcPr>
            <w:tcW w:w="1140" w:type="dxa"/>
            <w:vAlign w:val="bottom"/>
          </w:tcPr>
          <w:p>
            <w:pPr>
              <w:jc w:val="right"/>
              <w:ind w:right="236"/>
              <w:spacing w:after="0"/>
              <w:rPr>
                <w:sz w:val="20"/>
                <w:szCs w:val="20"/>
                <w:color w:val="auto"/>
              </w:rPr>
            </w:pPr>
            <w:r>
              <w:rPr>
                <w:rFonts w:ascii="Arial" w:cs="Arial" w:eastAsia="Arial" w:hAnsi="Arial"/>
                <w:sz w:val="18"/>
                <w:szCs w:val="18"/>
                <w:color w:val="auto"/>
              </w:rPr>
              <w:t>(806)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40" w:type="dxa"/>
            <w:vAlign w:val="bottom"/>
          </w:tcPr>
          <w:p>
            <w:pPr>
              <w:ind w:left="20"/>
              <w:spacing w:after="0"/>
              <w:rPr>
                <w:sz w:val="20"/>
                <w:szCs w:val="20"/>
                <w:color w:val="auto"/>
              </w:rPr>
            </w:pPr>
            <w:r>
              <w:rPr>
                <w:rFonts w:ascii="Arial" w:cs="Arial" w:eastAsia="Arial" w:hAnsi="Arial"/>
                <w:sz w:val="18"/>
                <w:szCs w:val="18"/>
                <w:color w:val="auto"/>
              </w:rPr>
              <w:t>Interest expense, net of interest income</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2010, the Company adopted an equity incentive plan (the "2010 Plan"), which provides for awards of up to 6,000,000 shares of common stock</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(subject to certain anti-dilution adjustments) in the form of (i) stock options, (ii) stock appreciation rights, (iii) restricted stock, (iv) restricted stock units, and</w:t>
      </w:r>
    </w:p>
    <w:p>
      <w:pPr>
        <w:spacing w:after="0" w:line="32" w:lineRule="exact"/>
        <w:rPr>
          <w:sz w:val="20"/>
          <w:szCs w:val="20"/>
          <w:color w:val="auto"/>
        </w:rPr>
      </w:pPr>
    </w:p>
    <w:p>
      <w:pPr>
        <w:ind w:right="160" w:firstLine="8"/>
        <w:spacing w:after="0" w:line="261"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other stock-based awards. The Company ceased issuing stock options in 2008, and all awards issued to date under the 2010 Plan have been in the form of restricted stock awards and performance stock awards as described below.</w:t>
      </w:r>
    </w:p>
    <w:p>
      <w:pPr>
        <w:spacing w:after="0" w:line="103"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As of December 31, 2019 and 2018, the Company had restricted stock awards and performance stock awards outstanding under the 2010 Plan. The restricted stock awards generally vest over three to five years subject to continued employment. The performance stock awards vest depending on the satisfaction of certain performance criteria and continued service conditions as described below.</w:t>
      </w:r>
    </w:p>
    <w:p>
      <w:pPr>
        <w:spacing w:after="0" w:line="100" w:lineRule="exact"/>
        <w:rPr>
          <w:sz w:val="20"/>
          <w:szCs w:val="20"/>
          <w:color w:val="auto"/>
        </w:rPr>
      </w:pPr>
    </w:p>
    <w:p>
      <w:pPr>
        <w:jc w:val="both"/>
        <w:ind w:right="240" w:firstLine="432"/>
        <w:spacing w:after="0" w:line="312" w:lineRule="auto"/>
        <w:rPr>
          <w:sz w:val="20"/>
          <w:szCs w:val="20"/>
          <w:color w:val="auto"/>
        </w:rPr>
      </w:pPr>
      <w:r>
        <w:rPr>
          <w:rFonts w:ascii="Arial" w:cs="Arial" w:eastAsia="Arial" w:hAnsi="Arial"/>
          <w:sz w:val="16"/>
          <w:szCs w:val="16"/>
          <w:color w:val="auto"/>
        </w:rPr>
        <w:t>Total stock-based compensation cost charged to selling, general and administrative expenses for the years ended December 31, 2019, 2018 and 2017 was $17.8 million, $16.8 million and $13.1 million, respectively. The total income tax benefit recognized in the consolidated statements of operations from stock-based compensation was $3.1 million, $3.2 million and $3.7 million for the years ended December 31, 2019, 2018 and 2017, respectively.</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restricted stock awards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50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Restricted Stock</w:t>
            </w:r>
          </w:p>
        </w:tc>
        <w:tc>
          <w:tcPr>
            <w:tcW w:w="1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 2019</w:t>
            </w:r>
          </w:p>
        </w:tc>
        <w:tc>
          <w:tcPr>
            <w:tcW w:w="17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657,240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174,114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(59,438)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522,597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of December 31, 2019, there was $20.6 million of total unrecognized compensation cost arising from restricted stock awards. This cost is expected to be recognized over a weighted average period of 2.6 years. The total fair value of restricted stock vested during 2019, 2018 and 2017 was $16.8 million, $10.8 million and $7.3 million, respectively.</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performance stock awards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58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Performance Stock</w:t>
            </w: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1580" w:type="dxa"/>
            <w:vAlign w:val="bottom"/>
          </w:tcPr>
          <w:p>
            <w:pPr>
              <w:jc w:val="center"/>
              <w:ind w:right="15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 2019</w:t>
            </w:r>
          </w:p>
        </w:tc>
        <w:tc>
          <w:tcPr>
            <w:tcW w:w="1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125,034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204,553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252" w:right="239" w:bottom="1440" w:gutter="0" w:footer="0" w:header="0"/>
          <w:type w:val="continuous"/>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As of December 31, 2019, there was $2.8 million of total unrecognized compensation cost arising from performance stock awards whereby the performance conditions had been met or were deemed probable of vesting. The total fair value of performance awards vested during 2019, 2018 and 2017 was $8.1 million, $1.2 million and $3.0 million,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44"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86" w:lineRule="exact"/>
        <w:rPr>
          <w:sz w:val="20"/>
          <w:szCs w:val="20"/>
          <w:color w:val="auto"/>
        </w:rPr>
      </w:pPr>
    </w:p>
    <w:p>
      <w:pPr>
        <w:ind w:right="60" w:firstLine="405"/>
        <w:spacing w:after="0" w:line="284" w:lineRule="auto"/>
        <w:rPr>
          <w:sz w:val="20"/>
          <w:szCs w:val="20"/>
          <w:color w:val="auto"/>
        </w:rPr>
      </w:pPr>
      <w:r>
        <w:rPr>
          <w:rFonts w:ascii="Arial" w:cs="Arial" w:eastAsia="Arial" w:hAnsi="Arial"/>
          <w:sz w:val="16"/>
          <w:szCs w:val="16"/>
          <w:color w:val="auto"/>
        </w:rPr>
        <w:t>At December 31, 2019 and 2018, the Company had recorded reserves of $26.0 million and $25.4 million, respectively,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December 31, 2019 and 2018, the $26.0 million and $25.4 million, respectively, of reserves consisted of</w:t>
      </w:r>
    </w:p>
    <w:p>
      <w:pPr>
        <w:spacing w:after="0" w:line="5" w:lineRule="exact"/>
        <w:rPr>
          <w:sz w:val="20"/>
          <w:szCs w:val="20"/>
          <w:color w:val="auto"/>
        </w:rPr>
      </w:pPr>
    </w:p>
    <w:p>
      <w:pPr>
        <w:jc w:val="both"/>
        <w:ind w:right="120" w:firstLine="8"/>
        <w:spacing w:after="0" w:line="255"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$18.4 million and $17.9 million, respectively, related to pending legal or administrative proceedings, including Superfund liabilities, which were included in remedial liabilities on the consolidated balance sheets, and (ii) $7.6 million and $7.5 million, respectively, primarily related to federal, state and provincial enforcement actions, which were included in accrued expenses on the consolidated balance sheets.</w:t>
      </w:r>
    </w:p>
    <w:p>
      <w:pPr>
        <w:spacing w:after="0" w:line="10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December 31, 2019, the principal legal and administrative proceedings in which the Company was involved, or which had been terminated during 2019, were as follows:</w:t>
      </w:r>
    </w:p>
    <w:p>
      <w:pPr>
        <w:spacing w:after="0" w:line="89"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i w:val="1"/>
          <w:iCs w:val="1"/>
          <w:color w:val="auto"/>
        </w:rPr>
        <w:t xml:space="preserve">Ville Mercier. </w:t>
      </w:r>
      <w:r>
        <w:rPr>
          <w:rFonts w:ascii="Arial" w:cs="Arial" w:eastAsia="Arial" w:hAnsi="Arial"/>
          <w:sz w:val="16"/>
          <w:szCs w:val="16"/>
          <w:color w:val="auto"/>
        </w:rPr>
        <w:t>In September 2002, the Company acquired the stock of a subsidiary (the "Mercier Subsidiary") which owns a hazardous waste incinerator</w:t>
      </w:r>
      <w:r>
        <w:rPr>
          <w:rFonts w:ascii="Arial" w:cs="Arial" w:eastAsia="Arial" w:hAnsi="Arial"/>
          <w:sz w:val="16"/>
          <w:szCs w:val="16"/>
          <w:i w:val="1"/>
          <w:iCs w:val="1"/>
          <w:color w:val="auto"/>
        </w:rPr>
        <w:t xml:space="preserve"> </w:t>
      </w:r>
      <w:r>
        <w:rPr>
          <w:rFonts w:ascii="Arial" w:cs="Arial" w:eastAsia="Arial" w:hAnsi="Arial"/>
          <w:sz w:val="16"/>
          <w:szCs w:val="16"/>
          <w:color w:val="auto"/>
        </w:rPr>
        <w:t>in Ville Mercier, Quebec (the "Mercier Facility"). The property adjacent to the Mercier Facility, which is also owned by the Mercier Subsidiary, is now contaminated as a result of actions dating back to 1968, when the Government of Quebec issued to a company unrelated to the Mercier</w:t>
      </w:r>
    </w:p>
    <w:p>
      <w:pPr>
        <w:spacing w:after="0" w:line="287" w:lineRule="auto"/>
        <w:rPr>
          <w:sz w:val="20"/>
          <w:szCs w:val="20"/>
          <w:color w:val="auto"/>
        </w:rPr>
      </w:pPr>
      <w:r>
        <w:rPr>
          <w:rFonts w:ascii="Arial" w:cs="Arial" w:eastAsia="Arial" w:hAnsi="Arial"/>
          <w:sz w:val="16"/>
          <w:szCs w:val="16"/>
          <w:color w:val="auto"/>
        </w:rPr>
        <w:t>Subsidiary two permits to dump organic liquids into lagoons on the property. In 1999, Ville Mercier and three neighboring municipalities filed separate legal proceedings against the Mercier Subsidiary and the Government of Quebec. In 2012, the municipalities amended their existing statement of claim to seek $2.9 million (CAD $) in general damages and $10.0 million (CAD $)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or results of operations.</w:t>
      </w:r>
    </w:p>
    <w:p>
      <w:pPr>
        <w:spacing w:after="0" w:line="8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December 31, 2019 were as follows:</w:t>
      </w:r>
    </w:p>
    <w:p>
      <w:pPr>
        <w:spacing w:after="0" w:line="10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 jurisdictions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United States, including approximately 55 proceedings (excluding cases which</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52"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have been settled but not formally dismissed) as of December 31, 2019,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9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December 31, 2019. From January 1, 2019 to December 31, 2019, 27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has been notified that either the Company (which, since December 28, 2012, includes Safety-Kleen) or the prior owners of certain of the Company's facilities for which the Company may have certain indemnification obligations have been identified as PRPs or potential PRPs in connection with 130 sites which are subject to or are proposed to become subject to proceedings under federal or state Superfund laws. Of the 130 sites, five (including the BR Facility described below) involve facilities that are now owned or leased by the Company and 125 involve third-party sites to which either the Company or the prior owners of certain of the Company’s facilities shipped waste. Of the 125 third-party sites, 31 are now settled, 16 are currently requiring expenditures on remediation and 78 are not currently requiring expenditures on remediation.</w:t>
      </w:r>
    </w:p>
    <w:p>
      <w:pPr>
        <w:spacing w:after="0" w:line="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10 of the 125 third-party sites.</w:t>
      </w:r>
    </w:p>
    <w:p>
      <w:pPr>
        <w:spacing w:after="0" w:line="9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BR Facility. </w:t>
      </w:r>
      <w:r>
        <w:rPr>
          <w:rFonts w:ascii="Arial" w:cs="Arial" w:eastAsia="Arial" w:hAnsi="Arial"/>
          <w:sz w:val="17"/>
          <w:szCs w:val="17"/>
          <w:color w:val="auto"/>
        </w:rPr>
        <w:t>The Company acquired in 2002 a former hazardous waste incinerator and landfill in Baton Rouge (the "BR Facility"), for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had been previously discontinued by the prior owner. In September 2007,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and feasibility study for Devil's Swamp under an order issued by the EPA. The Company cannot presently estimate the potential additional liability for the Devil's Swamp cleanup until a final remedy is selected by the EPA with issuance of a Record of Decision.</w:t>
      </w:r>
    </w:p>
    <w:p>
      <w:pPr>
        <w:spacing w:after="0" w:line="9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Third-Party Sites. </w:t>
      </w:r>
      <w:r>
        <w:rPr>
          <w:rFonts w:ascii="Arial" w:cs="Arial" w:eastAsia="Arial" w:hAnsi="Arial"/>
          <w:sz w:val="17"/>
          <w:szCs w:val="17"/>
          <w:color w:val="auto"/>
        </w:rPr>
        <w:t>Of the 125 third-party sites at which the Company has been notified it is a PRP or potential PRP or may have indemnification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 to those sites.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52" w:right="25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two other entities, the Company does not have an indemnity agreement with respect to any of the 125 third-party sites discussed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14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December 31, 2019 and 2018, there were 12 and 10 proceedings, respectively,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44" w:lineRule="exact"/>
        <w:rPr>
          <w:sz w:val="20"/>
          <w:szCs w:val="20"/>
          <w:color w:val="auto"/>
        </w:rPr>
      </w:pPr>
    </w:p>
    <w:p>
      <w:pPr>
        <w:ind w:right="520" w:firstLine="432"/>
        <w:spacing w:after="0" w:line="259" w:lineRule="auto"/>
        <w:rPr>
          <w:sz w:val="20"/>
          <w:szCs w:val="20"/>
          <w:color w:val="auto"/>
        </w:rPr>
      </w:pPr>
      <w:r>
        <w:rPr>
          <w:rFonts w:ascii="Arial" w:cs="Arial" w:eastAsia="Arial" w:hAnsi="Arial"/>
          <w:sz w:val="18"/>
          <w:szCs w:val="18"/>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employee medical, comprehensive general liability and vehicle liability. A portion of these self-insured liabilities are managed through its wholly-owned captive insurance subsidiary.</w:t>
      </w:r>
    </w:p>
    <w:p>
      <w:pPr>
        <w:spacing w:after="0" w:line="106"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Provisions for losses expected under these programs are recorded based upon the Company's estimates of the aggregate liability for claims. The current deductible per participant per year for the employee medical insurance policy is $0.8 million. The current deductible per occurrence for workers' compensation is $1.0 million, general liability is $2.0 million and vehicle liability is $2.0 million. The retention per claim for the environmental impairment policy is $1.0 million. At December 31, 2019 and 2018, the Company had accrued $59.4 million and $53.9 million, respectively, for its self-insurance liabilities (exclusive of employee medical insurance) using a risk-free discount rate of 1.52% and 2.96%, respectively.</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Anticipated payments for contingencies related to workers' compensation, comprehensive general liability and vehicle liability related claims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for each of the next five years and thereafter were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20,838</w:t>
            </w: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12,675</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8,951</w:t>
            </w: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8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6,097</w:t>
            </w: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7,659</w:t>
            </w: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Undiscounted self-insurance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60,963</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Less: Discount</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1,570</w:t>
            </w: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self-insurance liabilities (included in accrued expenses)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59,393</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LEASES</w:t>
      </w:r>
    </w:p>
    <w:p>
      <w:pPr>
        <w:spacing w:after="0" w:line="148"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As of December 31, 2019, the Company’s lease portfolio was predominately operating leases for real estate, vehicles and rail cars. The Company presents operating lease balances separately on the consolidated balance sheet. The Company's finance leases relate to certain buildings and equipment. The following table presents our finance lease balances and their classification on the consolidated balance sheet as of December 31, 2019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20" w:type="dxa"/>
            <w:vAlign w:val="bottom"/>
          </w:tcPr>
          <w:p>
            <w:pPr>
              <w:ind w:left="40"/>
              <w:spacing w:after="0"/>
              <w:rPr>
                <w:sz w:val="20"/>
                <w:szCs w:val="20"/>
                <w:color w:val="auto"/>
              </w:rPr>
            </w:pPr>
            <w:r>
              <w:rPr>
                <w:rFonts w:ascii="Arial" w:cs="Arial" w:eastAsia="Arial" w:hAnsi="Arial"/>
                <w:sz w:val="16"/>
                <w:szCs w:val="16"/>
                <w:b w:val="1"/>
                <w:bCs w:val="1"/>
                <w:color w:val="auto"/>
              </w:rPr>
              <w:t>Finance Lease Balances (Classification)</w:t>
            </w:r>
          </w:p>
        </w:tc>
        <w:tc>
          <w:tcPr>
            <w:tcW w:w="96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8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 (Property, plant and equipment, net)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32,307</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Current portion of lease liabilities (Accrued expenses)</w:t>
            </w:r>
          </w:p>
        </w:tc>
        <w:tc>
          <w:tcPr>
            <w:tcW w:w="9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801</w:t>
            </w:r>
          </w:p>
        </w:tc>
      </w:tr>
      <w:tr>
        <w:trPr>
          <w:trHeight w:val="27"/>
        </w:trPr>
        <w:tc>
          <w:tcPr>
            <w:tcW w:w="8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lease liabilities (Deferred taxes, unrecognized tax benefits and other long-term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34,517</w:t>
            </w:r>
          </w:p>
        </w:tc>
      </w:tr>
      <w:tr>
        <w:trPr>
          <w:trHeight w:val="783"/>
        </w:trPr>
        <w:tc>
          <w:tcPr>
            <w:tcW w:w="8820" w:type="dxa"/>
            <w:vAlign w:val="bottom"/>
          </w:tcPr>
          <w:p>
            <w:pPr>
              <w:ind w:left="5620"/>
              <w:spacing w:after="0"/>
              <w:rPr>
                <w:sz w:val="20"/>
                <w:szCs w:val="20"/>
                <w:color w:val="auto"/>
              </w:rPr>
            </w:pPr>
            <w:r>
              <w:rPr>
                <w:rFonts w:ascii="Arial" w:cs="Arial" w:eastAsia="Arial" w:hAnsi="Arial"/>
                <w:sz w:val="18"/>
                <w:szCs w:val="18"/>
                <w:color w:val="auto"/>
              </w:rPr>
              <w:t>80</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252"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2"/>
          </w:tcPr>
          <w:p>
            <w:pPr>
              <w:ind w:left="3820"/>
              <w:spacing w:after="0"/>
              <w:rPr>
                <w:sz w:val="20"/>
                <w:szCs w:val="20"/>
                <w:color w:val="auto"/>
              </w:rPr>
            </w:pPr>
            <w:r>
              <w:rPr>
                <w:rFonts w:ascii="Arial" w:cs="Arial" w:eastAsia="Arial" w:hAnsi="Arial"/>
                <w:sz w:val="18"/>
                <w:szCs w:val="18"/>
                <w:b w:val="1"/>
                <w:bCs w:val="1"/>
                <w:color w:val="auto"/>
              </w:rPr>
              <w:t>CLEAN HARBORS, INC. AND SUBSIDIARIES</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600" w:type="dxa"/>
            <w:vAlign w:val="bottom"/>
            <w:gridSpan w:val="2"/>
          </w:tcPr>
          <w:p>
            <w:pPr>
              <w:ind w:left="286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9600" w:type="dxa"/>
            <w:vAlign w:val="bottom"/>
            <w:gridSpan w:val="2"/>
          </w:tcPr>
          <w:p>
            <w:pPr>
              <w:ind w:left="340"/>
              <w:spacing w:after="0"/>
              <w:rPr>
                <w:sz w:val="20"/>
                <w:szCs w:val="20"/>
                <w:color w:val="auto"/>
              </w:rPr>
            </w:pPr>
            <w:r>
              <w:rPr>
                <w:rFonts w:ascii="Arial" w:cs="Arial" w:eastAsia="Arial" w:hAnsi="Arial"/>
                <w:sz w:val="18"/>
                <w:szCs w:val="18"/>
                <w:color w:val="auto"/>
              </w:rPr>
              <w:t>The Company’s lease expense was as follows (in thousands):</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For the year ended</w:t>
            </w:r>
          </w:p>
        </w:tc>
        <w:tc>
          <w:tcPr>
            <w:tcW w:w="0" w:type="dxa"/>
            <w:vAlign w:val="bottom"/>
          </w:tcPr>
          <w:p>
            <w:pPr>
              <w:spacing w:after="0"/>
              <w:rPr>
                <w:sz w:val="1"/>
                <w:szCs w:val="1"/>
                <w:color w:val="auto"/>
              </w:rPr>
            </w:pPr>
          </w:p>
        </w:tc>
      </w:tr>
      <w:tr>
        <w:trPr>
          <w:trHeight w:val="210"/>
        </w:trPr>
        <w:tc>
          <w:tcPr>
            <w:tcW w:w="9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33"/>
        </w:trPr>
        <w:tc>
          <w:tcPr>
            <w:tcW w:w="9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55,402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Finance lease cost:</w:t>
            </w: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ROU assets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Interest on lease liabilities</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9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finance lease cost</w:t>
            </w: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37"/>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84,749</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57"/>
        </w:trPr>
        <w:tc>
          <w:tcPr>
            <w:tcW w:w="9600" w:type="dxa"/>
            <w:vAlign w:val="bottom"/>
            <w:gridSpan w:val="2"/>
          </w:tcPr>
          <w:p>
            <w:pPr>
              <w:ind w:left="380"/>
              <w:spacing w:after="0"/>
              <w:rPr>
                <w:sz w:val="20"/>
                <w:szCs w:val="20"/>
                <w:color w:val="auto"/>
              </w:rPr>
            </w:pPr>
            <w:r>
              <w:rPr>
                <w:rFonts w:ascii="Arial" w:cs="Arial" w:eastAsia="Arial" w:hAnsi="Arial"/>
                <w:sz w:val="18"/>
                <w:szCs w:val="18"/>
                <w:color w:val="auto"/>
              </w:rPr>
              <w:t>Total lease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149,410</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ind w:left="420"/>
              <w:spacing w:after="0"/>
              <w:rPr>
                <w:sz w:val="20"/>
                <w:szCs w:val="20"/>
                <w:color w:val="auto"/>
              </w:rPr>
            </w:pPr>
            <w:r>
              <w:rPr>
                <w:rFonts w:ascii="Arial" w:cs="Arial" w:eastAsia="Arial" w:hAnsi="Arial"/>
                <w:sz w:val="18"/>
                <w:szCs w:val="18"/>
                <w:color w:val="auto"/>
              </w:rPr>
              <w:t>Other information related to leases was as follows:</w:t>
            </w: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960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 Average Remaining Lease Term (years)</w:t>
            </w:r>
          </w:p>
        </w:tc>
        <w:tc>
          <w:tcPr>
            <w:tcW w:w="160" w:type="dxa"/>
            <w:vAlign w:val="bottom"/>
          </w:tcPr>
          <w:p>
            <w:pPr>
              <w:spacing w:after="0"/>
              <w:rPr>
                <w:sz w:val="24"/>
                <w:szCs w:val="24"/>
                <w:color w:val="auto"/>
              </w:rPr>
            </w:pPr>
          </w:p>
        </w:tc>
        <w:tc>
          <w:tcPr>
            <w:tcW w:w="166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95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64"/>
        </w:trPr>
        <w:tc>
          <w:tcPr>
            <w:tcW w:w="960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 Average Discount Rate</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9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729"/>
        </w:trPr>
        <w:tc>
          <w:tcPr>
            <w:tcW w:w="9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For the year ended</w:t>
            </w:r>
          </w:p>
        </w:tc>
        <w:tc>
          <w:tcPr>
            <w:tcW w:w="0" w:type="dxa"/>
            <w:vAlign w:val="bottom"/>
          </w:tcPr>
          <w:p>
            <w:pPr>
              <w:spacing w:after="0"/>
              <w:rPr>
                <w:sz w:val="1"/>
                <w:szCs w:val="1"/>
                <w:color w:val="auto"/>
              </w:rPr>
            </w:pPr>
          </w:p>
        </w:tc>
      </w:tr>
      <w:tr>
        <w:trPr>
          <w:trHeight w:val="210"/>
        </w:trPr>
        <w:tc>
          <w:tcPr>
            <w:tcW w:w="960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Supplemental Cash Flow Related Disclosures (in thousands)</w:t>
            </w:r>
          </w:p>
        </w:tc>
        <w:tc>
          <w:tcPr>
            <w:tcW w:w="160" w:type="dxa"/>
            <w:vAlign w:val="bottom"/>
          </w:tcPr>
          <w:p>
            <w:pPr>
              <w:spacing w:after="0"/>
              <w:rPr>
                <w:sz w:val="18"/>
                <w:szCs w:val="18"/>
                <w:color w:val="auto"/>
              </w:rPr>
            </w:pPr>
          </w:p>
        </w:tc>
        <w:tc>
          <w:tcPr>
            <w:tcW w:w="166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33"/>
        </w:trPr>
        <w:tc>
          <w:tcPr>
            <w:tcW w:w="96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56,240</w:t>
            </w:r>
          </w:p>
        </w:tc>
        <w:tc>
          <w:tcPr>
            <w:tcW w:w="0" w:type="dxa"/>
            <w:vAlign w:val="bottom"/>
          </w:tcPr>
          <w:p>
            <w:pPr>
              <w:spacing w:after="0"/>
              <w:rPr>
                <w:sz w:val="1"/>
                <w:szCs w:val="1"/>
                <w:color w:val="auto"/>
              </w:rPr>
            </w:pPr>
          </w:p>
        </w:tc>
      </w:tr>
      <w:tr>
        <w:trPr>
          <w:trHeight w:val="27"/>
        </w:trPr>
        <w:tc>
          <w:tcPr>
            <w:tcW w:w="9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9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ROU assets obtained in exchange for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ROU assets obtained in exchange for finance lease liabilities</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33,449</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December 31, 2019, the Company's future lease payments under non-cancelable leases that have lease terms in excess of one year were as follows (in thousands):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Operating</w:t>
            </w:r>
          </w:p>
        </w:tc>
        <w:tc>
          <w:tcPr>
            <w:tcW w:w="320" w:type="dxa"/>
            <w:vAlign w:val="bottom"/>
          </w:tcPr>
          <w:p>
            <w:pPr>
              <w:spacing w:after="0"/>
              <w:rPr>
                <w:sz w:val="17"/>
                <w:szCs w:val="17"/>
                <w:color w:val="auto"/>
              </w:rPr>
            </w:pPr>
          </w:p>
        </w:tc>
        <w:tc>
          <w:tcPr>
            <w:tcW w:w="1260" w:type="dxa"/>
            <w:vAlign w:val="bottom"/>
          </w:tcPr>
          <w:p>
            <w:pPr>
              <w:jc w:val="right"/>
              <w:ind w:right="432"/>
              <w:spacing w:after="0"/>
              <w:rPr>
                <w:sz w:val="20"/>
                <w:szCs w:val="20"/>
                <w:color w:val="auto"/>
              </w:rPr>
            </w:pPr>
            <w:r>
              <w:rPr>
                <w:rFonts w:ascii="Arial" w:cs="Arial" w:eastAsia="Arial" w:hAnsi="Arial"/>
                <w:sz w:val="16"/>
                <w:szCs w:val="16"/>
                <w:b w:val="1"/>
                <w:bCs w:val="1"/>
                <w:color w:val="auto"/>
              </w:rPr>
              <w:t>Finance</w:t>
            </w:r>
          </w:p>
        </w:tc>
      </w:tr>
      <w:tr>
        <w:trPr>
          <w:trHeight w:val="176"/>
        </w:trPr>
        <w:tc>
          <w:tcPr>
            <w:tcW w:w="20" w:type="dxa"/>
            <w:vAlign w:val="bottom"/>
          </w:tcPr>
          <w:p>
            <w:pPr>
              <w:spacing w:after="0"/>
              <w:rPr>
                <w:sz w:val="15"/>
                <w:szCs w:val="15"/>
                <w:color w:val="auto"/>
              </w:rPr>
            </w:pPr>
          </w:p>
        </w:tc>
        <w:tc>
          <w:tcPr>
            <w:tcW w:w="80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Years ending December 31,</w:t>
            </w:r>
          </w:p>
        </w:tc>
        <w:tc>
          <w:tcPr>
            <w:tcW w:w="280" w:type="dxa"/>
            <w:vAlign w:val="bottom"/>
          </w:tcPr>
          <w:p>
            <w:pPr>
              <w:spacing w:after="0"/>
              <w:rPr>
                <w:sz w:val="15"/>
                <w:szCs w:val="15"/>
                <w:color w:val="auto"/>
              </w:rPr>
            </w:pPr>
          </w:p>
        </w:tc>
        <w:tc>
          <w:tcPr>
            <w:tcW w:w="1420" w:type="dxa"/>
            <w:vAlign w:val="bottom"/>
            <w:gridSpan w:val="2"/>
          </w:tcPr>
          <w:p>
            <w:pPr>
              <w:jc w:val="center"/>
              <w:ind w:right="400"/>
              <w:spacing w:after="0" w:line="176" w:lineRule="exact"/>
              <w:rPr>
                <w:sz w:val="20"/>
                <w:szCs w:val="20"/>
                <w:color w:val="auto"/>
              </w:rPr>
            </w:pPr>
            <w:r>
              <w:rPr>
                <w:rFonts w:ascii="Arial" w:cs="Arial" w:eastAsia="Arial" w:hAnsi="Arial"/>
                <w:sz w:val="16"/>
                <w:szCs w:val="16"/>
                <w:b w:val="1"/>
                <w:bCs w:val="1"/>
                <w:color w:val="auto"/>
                <w:w w:val="84"/>
              </w:rPr>
              <w:t>Leases</w:t>
            </w:r>
          </w:p>
        </w:tc>
        <w:tc>
          <w:tcPr>
            <w:tcW w:w="320" w:type="dxa"/>
            <w:vAlign w:val="bottom"/>
          </w:tcPr>
          <w:p>
            <w:pPr>
              <w:spacing w:after="0"/>
              <w:rPr>
                <w:sz w:val="15"/>
                <w:szCs w:val="15"/>
                <w:color w:val="auto"/>
              </w:rPr>
            </w:pPr>
          </w:p>
        </w:tc>
        <w:tc>
          <w:tcPr>
            <w:tcW w:w="1260" w:type="dxa"/>
            <w:vAlign w:val="bottom"/>
          </w:tcPr>
          <w:p>
            <w:pPr>
              <w:jc w:val="right"/>
              <w:ind w:right="472"/>
              <w:spacing w:after="0" w:line="176" w:lineRule="exact"/>
              <w:rPr>
                <w:sz w:val="20"/>
                <w:szCs w:val="20"/>
                <w:color w:val="auto"/>
              </w:rPr>
            </w:pPr>
            <w:r>
              <w:rPr>
                <w:rFonts w:ascii="Arial" w:cs="Arial" w:eastAsia="Arial" w:hAnsi="Arial"/>
                <w:sz w:val="16"/>
                <w:szCs w:val="16"/>
                <w:b w:val="1"/>
                <w:bCs w:val="1"/>
                <w:color w:val="auto"/>
              </w:rPr>
              <w:t>Leases</w:t>
            </w:r>
          </w:p>
        </w:tc>
      </w:tr>
      <w:tr>
        <w:trPr>
          <w:trHeight w:val="48"/>
        </w:trPr>
        <w:tc>
          <w:tcPr>
            <w:tcW w:w="20" w:type="dxa"/>
            <w:vAlign w:val="bottom"/>
            <w:tcBorders>
              <w:bottom w:val="single" w:sz="8" w:color="CCEEFF"/>
            </w:tcBorders>
          </w:tcPr>
          <w:p>
            <w:pPr>
              <w:spacing w:after="0"/>
              <w:rPr>
                <w:sz w:val="4"/>
                <w:szCs w:val="4"/>
                <w:color w:val="auto"/>
              </w:rPr>
            </w:pPr>
          </w:p>
        </w:tc>
        <w:tc>
          <w:tcPr>
            <w:tcW w:w="1880" w:type="dxa"/>
            <w:vAlign w:val="bottom"/>
            <w:tcBorders>
              <w:top w:val="single" w:sz="8" w:color="auto"/>
              <w:bottom w:val="single" w:sz="8" w:color="CCEEFF"/>
            </w:tcBorders>
          </w:tcPr>
          <w:p>
            <w:pPr>
              <w:spacing w:after="0"/>
              <w:rPr>
                <w:sz w:val="4"/>
                <w:szCs w:val="4"/>
                <w:color w:val="auto"/>
              </w:rPr>
            </w:pPr>
          </w:p>
        </w:tc>
        <w:tc>
          <w:tcPr>
            <w:tcW w:w="62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84"/>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50,814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2,733</w:t>
            </w:r>
          </w:p>
        </w:tc>
      </w:tr>
      <w:tr>
        <w:trPr>
          <w:trHeight w:val="243"/>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6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2,782</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2,836</w:t>
            </w:r>
          </w:p>
        </w:tc>
      </w:tr>
      <w:tr>
        <w:trPr>
          <w:trHeight w:val="243"/>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22,723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2,895</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15,787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2,825</w:t>
            </w: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28,444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51,151</w:t>
            </w:r>
          </w:p>
        </w:tc>
      </w:tr>
      <w:tr>
        <w:trPr>
          <w:trHeight w:val="237"/>
        </w:trPr>
        <w:tc>
          <w:tcPr>
            <w:tcW w:w="2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Total future lease payments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187,525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65,222</w:t>
            </w:r>
          </w:p>
        </w:tc>
      </w:tr>
      <w:tr>
        <w:trPr>
          <w:trHeight w:val="27"/>
        </w:trPr>
        <w:tc>
          <w:tcPr>
            <w:tcW w:w="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Amount representing interest</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(29,904)</w:t>
            </w:r>
          </w:p>
        </w:tc>
      </w:tr>
      <w:tr>
        <w:trPr>
          <w:trHeight w:val="257"/>
        </w:trPr>
        <w:tc>
          <w:tcPr>
            <w:tcW w:w="20" w:type="dxa"/>
            <w:vAlign w:val="bottom"/>
          </w:tcPr>
          <w:p>
            <w:pPr>
              <w:spacing w:after="0"/>
              <w:rPr>
                <w:sz w:val="22"/>
                <w:szCs w:val="22"/>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161,999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35,318</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At December 31, 2019, none of the Company's executed leases that had not yet commenced will create significant rights or obligations in the future and its sublease transactions are not material. Additionally, the Company does not have any related party leases, and there were no restrictions or covenants imposed by its leases.</w:t>
      </w:r>
    </w:p>
    <w:p>
      <w:pPr>
        <w:sectPr>
          <w:pgSz w:w="11900" w:h="16838" w:orient="portrait"/>
          <w:cols w:equalWidth="0" w:num="1">
            <w:col w:w="11420"/>
          </w:cols>
          <w:pgMar w:left="240" w:top="252" w:right="239" w:bottom="893"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252" w:right="239" w:bottom="893"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Disclosures related to relevant periods prior to adoption of Topic 842</w:t>
      </w:r>
    </w:p>
    <w:p>
      <w:pPr>
        <w:spacing w:after="0" w:line="14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is a summary of future minimum payments under operating leases that have initial or remaining non-cancelable lease terms in excess of one year at December 31, 2018 (in thousands):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13"/>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13"/>
              <w:spacing w:after="0"/>
              <w:rPr>
                <w:sz w:val="20"/>
                <w:szCs w:val="20"/>
                <w:color w:val="auto"/>
              </w:rPr>
            </w:pPr>
            <w:r>
              <w:rPr>
                <w:rFonts w:ascii="Arial" w:cs="Arial" w:eastAsia="Arial" w:hAnsi="Arial"/>
                <w:sz w:val="16"/>
                <w:szCs w:val="16"/>
                <w:b w:val="1"/>
                <w:bCs w:val="1"/>
                <w:color w:val="auto"/>
                <w:w w:val="95"/>
              </w:rPr>
              <w:t>Operating</w:t>
            </w:r>
          </w:p>
        </w:tc>
      </w:tr>
      <w:tr>
        <w:trPr>
          <w:trHeight w:val="176"/>
        </w:trPr>
        <w:tc>
          <w:tcPr>
            <w:tcW w:w="20" w:type="dxa"/>
            <w:vAlign w:val="bottom"/>
          </w:tcPr>
          <w:p>
            <w:pPr>
              <w:spacing w:after="0"/>
              <w:rPr>
                <w:sz w:val="15"/>
                <w:szCs w:val="15"/>
                <w:color w:val="auto"/>
              </w:rPr>
            </w:pPr>
          </w:p>
        </w:tc>
        <w:tc>
          <w:tcPr>
            <w:tcW w:w="96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Year</w:t>
            </w:r>
          </w:p>
        </w:tc>
        <w:tc>
          <w:tcPr>
            <w:tcW w:w="320" w:type="dxa"/>
            <w:vAlign w:val="bottom"/>
          </w:tcPr>
          <w:p>
            <w:pPr>
              <w:spacing w:after="0"/>
              <w:rPr>
                <w:sz w:val="15"/>
                <w:szCs w:val="15"/>
                <w:color w:val="auto"/>
              </w:rPr>
            </w:pPr>
          </w:p>
        </w:tc>
        <w:tc>
          <w:tcPr>
            <w:tcW w:w="1380" w:type="dxa"/>
            <w:vAlign w:val="bottom"/>
          </w:tcPr>
          <w:p>
            <w:pPr>
              <w:jc w:val="center"/>
              <w:ind w:right="233"/>
              <w:spacing w:after="0" w:line="176" w:lineRule="exact"/>
              <w:rPr>
                <w:sz w:val="20"/>
                <w:szCs w:val="20"/>
                <w:color w:val="auto"/>
              </w:rPr>
            </w:pPr>
            <w:r>
              <w:rPr>
                <w:rFonts w:ascii="Arial" w:cs="Arial" w:eastAsia="Arial" w:hAnsi="Arial"/>
                <w:sz w:val="16"/>
                <w:szCs w:val="16"/>
                <w:b w:val="1"/>
                <w:bCs w:val="1"/>
                <w:color w:val="auto"/>
                <w:w w:val="84"/>
              </w:rPr>
              <w:t>Leases</w:t>
            </w:r>
          </w:p>
        </w:tc>
      </w:tr>
      <w:tr>
        <w:trPr>
          <w:trHeight w:val="48"/>
        </w:trPr>
        <w:tc>
          <w:tcPr>
            <w:tcW w:w="20" w:type="dxa"/>
            <w:vAlign w:val="bottom"/>
            <w:tcBorders>
              <w:bottom w:val="single" w:sz="8" w:color="CCEEFF"/>
            </w:tcBorders>
          </w:tcPr>
          <w:p>
            <w:pPr>
              <w:spacing w:after="0"/>
              <w:rPr>
                <w:sz w:val="4"/>
                <w:szCs w:val="4"/>
                <w:color w:val="auto"/>
              </w:rPr>
            </w:pPr>
          </w:p>
        </w:tc>
        <w:tc>
          <w:tcPr>
            <w:tcW w:w="340" w:type="dxa"/>
            <w:vAlign w:val="bottom"/>
            <w:tcBorders>
              <w:top w:val="single" w:sz="8" w:color="auto"/>
              <w:bottom w:val="single" w:sz="8" w:color="CCEEFF"/>
            </w:tcBorders>
          </w:tcPr>
          <w:p>
            <w:pPr>
              <w:spacing w:after="0"/>
              <w:rPr>
                <w:sz w:val="4"/>
                <w:szCs w:val="4"/>
                <w:color w:val="auto"/>
              </w:rPr>
            </w:pPr>
          </w:p>
        </w:tc>
        <w:tc>
          <w:tcPr>
            <w:tcW w:w="93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9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56,480</w:t>
            </w:r>
          </w:p>
        </w:tc>
      </w:tr>
      <w:tr>
        <w:trPr>
          <w:trHeight w:val="243"/>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45,467</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33,564</w:t>
            </w:r>
          </w:p>
        </w:tc>
      </w:tr>
      <w:tr>
        <w:trPr>
          <w:trHeight w:val="243"/>
        </w:trPr>
        <w:tc>
          <w:tcPr>
            <w:tcW w:w="9680" w:type="dxa"/>
            <w:vAlign w:val="bottom"/>
            <w:gridSpan w:val="3"/>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24,509</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15,253</w:t>
            </w:r>
          </w:p>
        </w:tc>
      </w:tr>
      <w:tr>
        <w:trPr>
          <w:trHeight w:val="243"/>
        </w:trPr>
        <w:tc>
          <w:tcPr>
            <w:tcW w:w="20" w:type="dxa"/>
            <w:vAlign w:val="bottom"/>
          </w:tcPr>
          <w:p>
            <w:pPr>
              <w:spacing w:after="0"/>
              <w:rPr>
                <w:sz w:val="21"/>
                <w:szCs w:val="21"/>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35,778</w:t>
            </w: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9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211,051</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During the years ended December 31, 2018 and 2017, rent expense, including short-term rentals, was approximately $141.1 million and $125.4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REPORTING</w:t>
      </w:r>
    </w:p>
    <w:p>
      <w:pPr>
        <w:spacing w:after="0" w:line="14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the business, makes operating decisions and assesses performance. The Company is managed and reports as two operating segments</w:t>
      </w:r>
      <w:r>
        <w:rPr>
          <w:rFonts w:ascii="Arial" w:cs="Arial" w:eastAsia="Arial" w:hAnsi="Arial"/>
          <w:sz w:val="18"/>
          <w:szCs w:val="18"/>
          <w:i w:val="1"/>
          <w:iCs w:val="1"/>
          <w:color w:val="auto"/>
        </w:rPr>
        <w:t>;</w:t>
      </w:r>
      <w:r>
        <w:rPr>
          <w:rFonts w:ascii="Arial" w:cs="Arial" w:eastAsia="Arial" w:hAnsi="Arial"/>
          <w:sz w:val="18"/>
          <w:szCs w:val="18"/>
          <w:color w:val="auto"/>
        </w:rPr>
        <w:t xml:space="preserve"> (i) the Environmental Services segment which consists of the Company’s historical Technical Services, Industrial Services, Field Services and Oil, Gas and Lodging businesses, and (ii) the Safety-Kleen segment.</w:t>
      </w:r>
    </w:p>
    <w:p>
      <w:pPr>
        <w:spacing w:after="0" w:line="10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reconcile third-party revenues to direct revenues for the years ended December 31, 2019, 2018 and 2017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 2019</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Environmental</w:t>
            </w:r>
          </w:p>
        </w:tc>
        <w:tc>
          <w:tcPr>
            <w:tcW w:w="1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revenues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2,092,363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1,318,691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3,412,190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revenues, net</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140,577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Direct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2,237,068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1,178,129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3,412,190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 2018</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Environmental</w:t>
            </w:r>
          </w:p>
        </w:tc>
        <w:tc>
          <w:tcPr>
            <w:tcW w:w="1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revenues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2,003,843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1,295,355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3,300,303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revenues, net</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134,104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Direct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2,141,194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1,161,282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3,300,303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252" w:right="239" w:bottom="1440" w:gutter="0" w:footer="0" w:header="0"/>
          <w:type w:val="continuous"/>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 2017</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Environmental</w:t>
            </w:r>
          </w:p>
        </w:tc>
        <w:tc>
          <w:tcPr>
            <w:tcW w:w="16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3"/>
                <w:szCs w:val="13"/>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revenues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1,728,700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1,213,703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2,944,978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revenues, net</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125,822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(125,822)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Items,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Direct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1,857,474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1,087,886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2,944,978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primary financial measure by which the Company evaluates the performance of its segments is Adjusted EBITDA, which consists of net income plus accretion of environmental liabilities, depreciation and amortization, net interest expense, loss on early extinguishment of debt and provision (benefit) for income taxes and excludes other gains, losses and non-cash charges not deemed representative of fundamental segment results and other (income) expense, net. Transactions between the segments are accounted for at the Company’s best estimate based on similar transactions with outside customers.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w w:val="99"/>
              </w:rPr>
              <w:t>For the years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446,284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380,856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321,310</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282,378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282,029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249,811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(188,345)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(171,880)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(145,464)</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540,317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491,005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425,657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Reconciliation to Consolidated Statements of Operations:</w:t>
            </w:r>
          </w:p>
        </w:tc>
        <w:tc>
          <w:tcPr>
            <w:tcW w:w="4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environmental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21"/>
                <w:szCs w:val="21"/>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300,725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298,625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288,422</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229,456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182,574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127,775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6,119</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Gain on sale of businesses</w:t>
            </w: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(30,732)</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78,670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81,094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85,808</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Income from operations before provision (benefit) for income taxes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148,239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94,482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58,689</w:t>
            </w: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54"/>
        </w:trPr>
        <w:tc>
          <w:tcPr>
            <w:tcW w:w="7220" w:type="dxa"/>
            <w:vAlign w:val="bottom"/>
            <w:gridSpan w:val="2"/>
          </w:tcPr>
          <w:p>
            <w:pPr>
              <w:ind w:left="420"/>
              <w:spacing w:after="0"/>
              <w:rPr>
                <w:sz w:val="20"/>
                <w:szCs w:val="20"/>
                <w:color w:val="auto"/>
              </w:rPr>
            </w:pPr>
            <w:r>
              <w:rPr>
                <w:rFonts w:ascii="Arial" w:cs="Arial" w:eastAsia="Arial" w:hAnsi="Arial"/>
                <w:sz w:val="18"/>
                <w:szCs w:val="18"/>
                <w:color w:val="auto"/>
                <w:w w:val="90"/>
              </w:rPr>
              <w:t>The following table presents assets by reported segment and in the aggregate (in thousands):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Environmental Services</w:t>
            </w:r>
          </w:p>
        </w:tc>
        <w:tc>
          <w:tcPr>
            <w:tcW w:w="480" w:type="dxa"/>
            <w:vAlign w:val="bottom"/>
          </w:tcPr>
          <w:p>
            <w:pPr>
              <w:spacing w:after="0"/>
              <w:rPr>
                <w:sz w:val="21"/>
                <w:szCs w:val="21"/>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939,352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951,867</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Safety-Kleen</w:t>
            </w: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555,310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553,220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Corporate Items</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93,489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56,891</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4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1,588,151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1,561,978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Environmental Services</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212,531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207,019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Permits and other intangibles, net</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89,722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93,313</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Environmental Services</w:t>
            </w:r>
          </w:p>
        </w:tc>
        <w:tc>
          <w:tcPr>
            <w:tcW w:w="4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302,253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300,332</w:t>
            </w:r>
          </w:p>
        </w:tc>
      </w:tr>
      <w:tr>
        <w:trPr>
          <w:trHeight w:val="264"/>
        </w:trPr>
        <w:tc>
          <w:tcPr>
            <w:tcW w:w="6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Safety-Kleen</w:t>
            </w: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312,482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307,170</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Permits and other intangibles, net</w:t>
            </w:r>
          </w:p>
        </w:tc>
        <w:tc>
          <w:tcPr>
            <w:tcW w:w="4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329,344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348,562</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Safety-Kleen</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641,826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655,732</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2"/>
                <w:szCs w:val="22"/>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944,079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956,064</w:t>
            </w:r>
          </w:p>
        </w:tc>
      </w:tr>
      <w:tr>
        <w:trPr>
          <w:trHeight w:val="20"/>
        </w:trPr>
        <w:tc>
          <w:tcPr>
            <w:tcW w:w="6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2" w:right="239" w:bottom="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252" w:right="239" w:bottom="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48"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As of December 31, 2019 and 2018, the Company had property, plant and equipment, net of depreciation and amortization and permits and other intangible assets, net of amortization in the following geographic locations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22"/>
                <w:szCs w:val="22"/>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1,273,205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1,233,949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 and other foreign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314,946</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328,029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21.0</w:t>
            </w:r>
          </w:p>
        </w:tc>
      </w:tr>
      <w:tr>
        <w:trPr>
          <w:trHeight w:val="297"/>
        </w:trPr>
        <w:tc>
          <w:tcPr>
            <w:tcW w:w="54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1,588,151</w:t>
            </w:r>
          </w:p>
        </w:tc>
        <w:tc>
          <w:tcPr>
            <w:tcW w:w="100" w:type="dxa"/>
            <w:vAlign w:val="bottom"/>
            <w:tcBorders>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1,561,978</w:t>
            </w:r>
          </w:p>
        </w:tc>
        <w:tc>
          <w:tcPr>
            <w:tcW w:w="100" w:type="dxa"/>
            <w:vAlign w:val="bottom"/>
            <w:tcBorders>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Permits and other intangibles, net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372,609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393,045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Canada and other foreign</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46,457</w:t>
            </w:r>
          </w:p>
        </w:tc>
        <w:tc>
          <w:tcPr>
            <w:tcW w:w="10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48,830</w:t>
            </w:r>
          </w:p>
        </w:tc>
        <w:tc>
          <w:tcPr>
            <w:tcW w:w="10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11.1</w:t>
            </w:r>
          </w:p>
        </w:tc>
      </w:tr>
      <w:tr>
        <w:trPr>
          <w:trHeight w:val="27"/>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permits and other intangibles,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419,066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441,875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total assets by geographical area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3,413,254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3,090,311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Canada and other foreign</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695,650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648,010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4,108,904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3,738,321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(21) QUARTERLY DATA (UNAUDITED)</w:t>
            </w:r>
          </w:p>
        </w:tc>
        <w:tc>
          <w:tcPr>
            <w:tcW w:w="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7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First</w:t>
            </w:r>
          </w:p>
        </w:tc>
        <w:tc>
          <w:tcPr>
            <w:tcW w:w="380" w:type="dxa"/>
            <w:vAlign w:val="bottom"/>
          </w:tcPr>
          <w:p>
            <w:pPr>
              <w:spacing w:after="0"/>
              <w:rPr>
                <w:sz w:val="24"/>
                <w:szCs w:val="24"/>
                <w:color w:val="auto"/>
              </w:rPr>
            </w:pPr>
          </w:p>
        </w:tc>
        <w:tc>
          <w:tcPr>
            <w:tcW w:w="15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24"/>
                <w:szCs w:val="24"/>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400" w:type="dxa"/>
            <w:vAlign w:val="bottom"/>
          </w:tcPr>
          <w:p>
            <w:pPr>
              <w:spacing w:after="0"/>
              <w:rPr>
                <w:sz w:val="16"/>
                <w:szCs w:val="16"/>
                <w:color w:val="auto"/>
              </w:rPr>
            </w:pPr>
          </w:p>
        </w:tc>
        <w:tc>
          <w:tcPr>
            <w:tcW w:w="15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6"/>
                <w:szCs w:val="16"/>
                <w:color w:val="auto"/>
              </w:rPr>
            </w:pPr>
          </w:p>
        </w:tc>
        <w:tc>
          <w:tcPr>
            <w:tcW w:w="15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780,839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868,678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891,668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871,005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5"/>
                <w:szCs w:val="25"/>
                <w:color w:val="auto"/>
                <w:vertAlign w:val="superscript"/>
              </w:rPr>
              <w:t>(1)</w:t>
            </w:r>
          </w:p>
        </w:tc>
        <w:tc>
          <w:tcPr>
            <w:tcW w:w="40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564,364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594,933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612,754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615,768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2,983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(2)</w:t>
            </w: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36,369</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24,151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Basic earnings per share </w:t>
            </w:r>
            <w:r>
              <w:rPr>
                <w:rFonts w:ascii="Arial" w:cs="Arial" w:eastAsia="Arial" w:hAnsi="Arial"/>
                <w:sz w:val="25"/>
                <w:szCs w:val="25"/>
                <w:color w:val="auto"/>
                <w:vertAlign w:val="superscript"/>
              </w:rPr>
              <w:t>(3)</w:t>
            </w:r>
          </w:p>
        </w:tc>
        <w:tc>
          <w:tcPr>
            <w:tcW w:w="40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5"/>
                <w:szCs w:val="25"/>
                <w:color w:val="auto"/>
                <w:vertAlign w:val="superscript"/>
              </w:rPr>
              <w:t>(3)</w:t>
            </w: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First</w:t>
            </w:r>
          </w:p>
        </w:tc>
        <w:tc>
          <w:tcPr>
            <w:tcW w:w="380" w:type="dxa"/>
            <w:vAlign w:val="bottom"/>
          </w:tcPr>
          <w:p>
            <w:pPr>
              <w:spacing w:after="0"/>
              <w:rPr>
                <w:sz w:val="24"/>
                <w:szCs w:val="24"/>
                <w:color w:val="auto"/>
              </w:rPr>
            </w:pPr>
          </w:p>
        </w:tc>
        <w:tc>
          <w:tcPr>
            <w:tcW w:w="15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24"/>
                <w:szCs w:val="24"/>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400" w:type="dxa"/>
            <w:vAlign w:val="bottom"/>
          </w:tcPr>
          <w:p>
            <w:pPr>
              <w:spacing w:after="0"/>
              <w:rPr>
                <w:sz w:val="16"/>
                <w:szCs w:val="16"/>
                <w:color w:val="auto"/>
              </w:rPr>
            </w:pPr>
          </w:p>
        </w:tc>
        <w:tc>
          <w:tcPr>
            <w:tcW w:w="15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Pr>
          <w:p>
            <w:pPr>
              <w:spacing w:after="0"/>
              <w:rPr>
                <w:sz w:val="16"/>
                <w:szCs w:val="16"/>
                <w:color w:val="auto"/>
              </w:rPr>
            </w:pPr>
          </w:p>
        </w:tc>
        <w:tc>
          <w:tcPr>
            <w:tcW w:w="15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6"/>
                <w:szCs w:val="16"/>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749,778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849,140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843,181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858,204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5"/>
                <w:szCs w:val="25"/>
                <w:color w:val="auto"/>
                <w:vertAlign w:val="superscript"/>
              </w:rPr>
              <w:t>(1)</w:t>
            </w:r>
          </w:p>
        </w:tc>
        <w:tc>
          <w:tcPr>
            <w:tcW w:w="400" w:type="dxa"/>
            <w:vAlign w:val="bottom"/>
          </w:tcPr>
          <w:p>
            <w:pPr>
              <w:spacing w:after="0"/>
              <w:rPr>
                <w:sz w:val="23"/>
                <w:szCs w:val="23"/>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546,425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583,584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580,685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594,857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Net (loss) income </w:t>
            </w:r>
            <w:r>
              <w:rPr>
                <w:rFonts w:ascii="Arial" w:cs="Arial" w:eastAsia="Arial" w:hAnsi="Arial"/>
                <w:sz w:val="25"/>
                <w:szCs w:val="25"/>
                <w:color w:val="auto"/>
                <w:vertAlign w:val="superscript"/>
              </w:rPr>
              <w:t>(2)</w:t>
            </w: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31,089</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Basic (loss) earnings per share </w:t>
            </w:r>
            <w:r>
              <w:rPr>
                <w:rFonts w:ascii="Arial" w:cs="Arial" w:eastAsia="Arial" w:hAnsi="Arial"/>
                <w:sz w:val="25"/>
                <w:szCs w:val="25"/>
                <w:color w:val="auto"/>
                <w:vertAlign w:val="superscript"/>
              </w:rPr>
              <w:t>(3)</w:t>
            </w:r>
          </w:p>
        </w:tc>
        <w:tc>
          <w:tcPr>
            <w:tcW w:w="4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Diluted (loss) earnings per share </w:t>
            </w:r>
            <w:r>
              <w:rPr>
                <w:rFonts w:ascii="Arial" w:cs="Arial" w:eastAsia="Arial" w:hAnsi="Arial"/>
                <w:sz w:val="25"/>
                <w:szCs w:val="25"/>
                <w:color w:val="auto"/>
                <w:vertAlign w:val="superscript"/>
              </w:rPr>
              <w:t>(3)</w:t>
            </w: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780" w:type="dxa"/>
            <w:vAlign w:val="bottom"/>
            <w:gridSpan w:val="2"/>
          </w:tcPr>
          <w:p>
            <w:pPr>
              <w:spacing w:after="0"/>
              <w:rPr>
                <w:sz w:val="20"/>
                <w:szCs w:val="20"/>
                <w:color w:val="auto"/>
              </w:rPr>
            </w:pPr>
            <w:r>
              <w:rPr>
                <w:rFonts w:ascii="Arial" w:cs="Arial" w:eastAsia="Arial" w:hAnsi="Arial"/>
                <w:sz w:val="18"/>
                <w:szCs w:val="18"/>
                <w:color w:val="auto"/>
              </w:rPr>
              <w:t>____________________________________</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Accretion of environmental liabilities and depreciation and amortization are shown separately on the consolidated statements of operations.</w:t>
      </w:r>
    </w:p>
    <w:p>
      <w:pPr>
        <w:spacing w:after="0" w:line="18"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income in the third quarters of 2019 and 2018 included a $6.1 million and $2.5 million loss on early extinguishment of debt, respectively.</w:t>
      </w:r>
    </w:p>
    <w:p>
      <w:pPr>
        <w:spacing w:after="0" w:line="20" w:lineRule="exact"/>
        <w:rPr>
          <w:rFonts w:ascii="Arial" w:cs="Arial" w:eastAsia="Arial" w:hAnsi="Arial"/>
          <w:sz w:val="17"/>
          <w:szCs w:val="17"/>
          <w:color w:val="auto"/>
        </w:rPr>
      </w:pPr>
    </w:p>
    <w:p>
      <w:pPr>
        <w:ind w:left="660" w:right="10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(loss) per share are computed independently for each of the quarters presented. Accordingly, the quarterly basic and diluted earnings (loss) per share may not equal the total computed for the year.</w:t>
      </w:r>
    </w:p>
    <w:p>
      <w:pPr>
        <w:sectPr>
          <w:pgSz w:w="11900" w:h="16838" w:orient="portrait"/>
          <w:cols w:equalWidth="0" w:num="1">
            <w:col w:w="11420"/>
          </w:cols>
          <w:pgMar w:left="240" w:top="252"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252" w:right="239" w:bottom="1440" w:gutter="0" w:footer="0" w:header="0"/>
          <w:type w:val="continuous"/>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2019</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4"/>
                <w:szCs w:val="1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Additions Charged to</w:t>
            </w:r>
          </w:p>
        </w:tc>
        <w:tc>
          <w:tcPr>
            <w:tcW w:w="300" w:type="dxa"/>
            <w:vAlign w:val="bottom"/>
          </w:tcPr>
          <w:p>
            <w:pPr>
              <w:spacing w:after="0"/>
              <w:rPr>
                <w:sz w:val="14"/>
                <w:szCs w:val="14"/>
                <w:color w:val="auto"/>
              </w:rPr>
            </w:pPr>
          </w:p>
        </w:tc>
        <w:tc>
          <w:tcPr>
            <w:tcW w:w="17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Deductions from</w:t>
            </w:r>
          </w:p>
        </w:tc>
        <w:tc>
          <w:tcPr>
            <w:tcW w:w="240" w:type="dxa"/>
            <w:vAlign w:val="bottom"/>
          </w:tcPr>
          <w:p>
            <w:pPr>
              <w:spacing w:after="0"/>
              <w:rPr>
                <w:sz w:val="14"/>
                <w:szCs w:val="14"/>
                <w:color w:val="auto"/>
              </w:rPr>
            </w:pPr>
          </w:p>
        </w:tc>
        <w:tc>
          <w:tcPr>
            <w:tcW w:w="136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28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Operating Expense</w:t>
            </w:r>
          </w:p>
        </w:tc>
        <w:tc>
          <w:tcPr>
            <w:tcW w:w="300" w:type="dxa"/>
            <w:vAlign w:val="bottom"/>
          </w:tcPr>
          <w:p>
            <w:pPr>
              <w:spacing w:after="0"/>
              <w:rPr>
                <w:sz w:val="16"/>
                <w:szCs w:val="16"/>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 xml:space="preserve">Reserves </w:t>
            </w:r>
            <w:r>
              <w:rPr>
                <w:rFonts w:ascii="Arial" w:cs="Arial" w:eastAsia="Arial" w:hAnsi="Arial"/>
                <w:sz w:val="8"/>
                <w:szCs w:val="8"/>
                <w:b w:val="1"/>
                <w:bCs w:val="1"/>
                <w:color w:val="auto"/>
                <w:w w:val="89"/>
              </w:rPr>
              <w:t>(1)</w:t>
            </w:r>
          </w:p>
        </w:tc>
        <w:tc>
          <w:tcPr>
            <w:tcW w:w="240" w:type="dxa"/>
            <w:vAlign w:val="bottom"/>
          </w:tcPr>
          <w:p>
            <w:pPr>
              <w:spacing w:after="0"/>
              <w:rPr>
                <w:sz w:val="16"/>
                <w:szCs w:val="16"/>
                <w:color w:val="auto"/>
              </w:rPr>
            </w:pPr>
          </w:p>
        </w:tc>
        <w:tc>
          <w:tcPr>
            <w:tcW w:w="1360" w:type="dxa"/>
            <w:vAlign w:val="bottom"/>
          </w:tcPr>
          <w:p>
            <w:pPr>
              <w:jc w:val="right"/>
              <w:ind w:right="277"/>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16,173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15,817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5,622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26,368</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tcPr>
          <w:p>
            <w:pPr>
              <w:jc w:val="right"/>
              <w:ind w:right="754"/>
              <w:spacing w:after="0"/>
              <w:rPr>
                <w:sz w:val="20"/>
                <w:szCs w:val="20"/>
                <w:color w:val="auto"/>
              </w:rPr>
            </w:pPr>
            <w:r>
              <w:rPr>
                <w:rFonts w:ascii="Arial" w:cs="Arial" w:eastAsia="Arial" w:hAnsi="Arial"/>
                <w:sz w:val="18"/>
                <w:szCs w:val="18"/>
                <w:color w:val="auto"/>
                <w:w w:val="89"/>
              </w:rPr>
              <w:t>___________________________________</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60" w:hanging="42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deemed uncollectible, net of recoveries.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4"/>
                <w:szCs w:val="1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Additions Charged to</w:t>
            </w:r>
          </w:p>
        </w:tc>
        <w:tc>
          <w:tcPr>
            <w:tcW w:w="300" w:type="dxa"/>
            <w:vAlign w:val="bottom"/>
          </w:tcPr>
          <w:p>
            <w:pPr>
              <w:spacing w:after="0"/>
              <w:rPr>
                <w:sz w:val="14"/>
                <w:szCs w:val="14"/>
                <w:color w:val="auto"/>
              </w:rPr>
            </w:pPr>
          </w:p>
        </w:tc>
        <w:tc>
          <w:tcPr>
            <w:tcW w:w="17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Deductions from</w:t>
            </w:r>
          </w:p>
        </w:tc>
        <w:tc>
          <w:tcPr>
            <w:tcW w:w="240" w:type="dxa"/>
            <w:vAlign w:val="bottom"/>
          </w:tcPr>
          <w:p>
            <w:pPr>
              <w:spacing w:after="0"/>
              <w:rPr>
                <w:sz w:val="14"/>
                <w:szCs w:val="14"/>
                <w:color w:val="auto"/>
              </w:rPr>
            </w:pPr>
          </w:p>
        </w:tc>
        <w:tc>
          <w:tcPr>
            <w:tcW w:w="136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Allowance</w:t>
            </w:r>
            <w:r>
              <w:rPr>
                <w:rFonts w:ascii="Arial" w:cs="Arial" w:eastAsia="Arial" w:hAnsi="Arial"/>
                <w:sz w:val="8"/>
                <w:szCs w:val="8"/>
                <w:b w:val="1"/>
                <w:bCs w:val="1"/>
                <w:color w:val="auto"/>
              </w:rPr>
              <w:t>(2)</w:t>
            </w:r>
          </w:p>
        </w:tc>
        <w:tc>
          <w:tcPr>
            <w:tcW w:w="28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Revenue</w:t>
            </w:r>
          </w:p>
        </w:tc>
        <w:tc>
          <w:tcPr>
            <w:tcW w:w="30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Reserves</w:t>
            </w:r>
          </w:p>
        </w:tc>
        <w:tc>
          <w:tcPr>
            <w:tcW w:w="240" w:type="dxa"/>
            <w:vAlign w:val="bottom"/>
          </w:tcPr>
          <w:p>
            <w:pPr>
              <w:spacing w:after="0"/>
              <w:rPr>
                <w:sz w:val="16"/>
                <w:szCs w:val="16"/>
                <w:color w:val="auto"/>
              </w:rPr>
            </w:pPr>
          </w:p>
        </w:tc>
        <w:tc>
          <w:tcPr>
            <w:tcW w:w="1360" w:type="dxa"/>
            <w:vAlign w:val="bottom"/>
          </w:tcPr>
          <w:p>
            <w:pPr>
              <w:jc w:val="right"/>
              <w:ind w:right="277"/>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11,626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41,338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35,017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tcPr>
          <w:p>
            <w:pPr>
              <w:jc w:val="right"/>
              <w:ind w:right="754"/>
              <w:spacing w:after="0"/>
              <w:rPr>
                <w:sz w:val="20"/>
                <w:szCs w:val="20"/>
                <w:color w:val="auto"/>
              </w:rPr>
            </w:pPr>
            <w:r>
              <w:rPr>
                <w:rFonts w:ascii="Arial" w:cs="Arial" w:eastAsia="Arial" w:hAnsi="Arial"/>
                <w:sz w:val="18"/>
                <w:szCs w:val="18"/>
                <w:color w:val="auto"/>
                <w:w w:val="89"/>
              </w:rPr>
              <w:t>___________________________________</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20" w:hanging="328"/>
        <w:spacing w:after="0" w:line="267"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can either generate credits or debits when the actual revenue amount is known. Based on industry knowledge and historical trends, the Company records a revenue allowance accordingly. This practice causes the volume of activity flowing through the revenue allowance during the year to be higher than the balance at the end of the year. Increases in overall sales volumes and the expansion of the customer base in recent years have also increased the volume of additions and deductions to the allowance during the year. The revenue allowance is intended to cover the net amount of revenue adjustments that may need to be credited to customers' accounts in future periods. Management determines the appropriate total revenue allowance by evaluating the following factors on a customer-by-customer basis as well as on a consolidated level: trends in adjustments to previously billed amounts, existing economic conditions and other information as deemed applicable. Revenue allowance estimates can differ materially from the actual adjustments, but historically the revenue allowance has been sufficient to cover the net amount of the reserve adjustments issued in subsequent reporting periods.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Additions</w:t>
            </w:r>
          </w:p>
        </w:tc>
        <w:tc>
          <w:tcPr>
            <w:tcW w:w="22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Other Changes</w:t>
            </w:r>
          </w:p>
        </w:tc>
        <w:tc>
          <w:tcPr>
            <w:tcW w:w="240" w:type="dxa"/>
            <w:vAlign w:val="bottom"/>
          </w:tcPr>
          <w:p>
            <w:pPr>
              <w:spacing w:after="0"/>
              <w:rPr>
                <w:sz w:val="14"/>
                <w:szCs w:val="14"/>
                <w:color w:val="auto"/>
              </w:rPr>
            </w:pPr>
          </w:p>
        </w:tc>
        <w:tc>
          <w:tcPr>
            <w:tcW w:w="136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Valuation Allowance on Deferred Tax Assets</w:t>
            </w:r>
          </w:p>
        </w:tc>
        <w:tc>
          <w:tcPr>
            <w:tcW w:w="28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20" w:type="dxa"/>
            <w:vAlign w:val="bottom"/>
          </w:tcPr>
          <w:p>
            <w:pPr>
              <w:spacing w:after="0"/>
              <w:rPr>
                <w:sz w:val="12"/>
                <w:szCs w:val="12"/>
                <w:color w:val="auto"/>
              </w:rPr>
            </w:pPr>
          </w:p>
        </w:tc>
        <w:tc>
          <w:tcPr>
            <w:tcW w:w="2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Charged to Income</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Period</w:t>
            </w:r>
          </w:p>
        </w:tc>
        <w:tc>
          <w:tcPr>
            <w:tcW w:w="320" w:type="dxa"/>
            <w:vAlign w:val="bottom"/>
          </w:tcPr>
          <w:p>
            <w:pPr>
              <w:spacing w:after="0"/>
              <w:rPr>
                <w:sz w:val="16"/>
                <w:szCs w:val="16"/>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Tax Expense</w:t>
            </w: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Reserves</w:t>
            </w:r>
          </w:p>
        </w:tc>
        <w:tc>
          <w:tcPr>
            <w:tcW w:w="240" w:type="dxa"/>
            <w:vAlign w:val="bottom"/>
          </w:tcPr>
          <w:p>
            <w:pPr>
              <w:spacing w:after="0"/>
              <w:rPr>
                <w:sz w:val="16"/>
                <w:szCs w:val="16"/>
                <w:color w:val="auto"/>
              </w:rPr>
            </w:pPr>
          </w:p>
        </w:tc>
        <w:tc>
          <w:tcPr>
            <w:tcW w:w="1360" w:type="dxa"/>
            <w:vAlign w:val="bottom"/>
          </w:tcPr>
          <w:p>
            <w:pPr>
              <w:jc w:val="right"/>
              <w:ind w:right="277"/>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68,355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68,355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39"/>
              <w:spacing w:after="0"/>
              <w:rPr>
                <w:sz w:val="20"/>
                <w:szCs w:val="20"/>
                <w:color w:val="auto"/>
              </w:rPr>
            </w:pPr>
            <w:r>
              <w:rPr>
                <w:rFonts w:ascii="Arial" w:cs="Arial" w:eastAsia="Arial" w:hAnsi="Arial"/>
                <w:sz w:val="18"/>
                <w:szCs w:val="18"/>
                <w:color w:val="auto"/>
              </w:rPr>
              <w:t>10,466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79,295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79,295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83,643</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8"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Annual Report on Form 10-K, our Chief Executive Officer and Chief Financial Officer have concluded that our disclosure controls and procedures (as defined under Rule 13a-15(e) and 15d-15(e) under the Securities Exchange Act of 1934, as amended (the “Exchange Act”)) were effective as of December 31, 2019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Chief Executive Officer and Chief Financial Officer, the Company conducted an evaluation of its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w:t>
      </w:r>
    </w:p>
    <w:p>
      <w:pPr>
        <w:spacing w:after="0" w:line="6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The Company's management evaluated the effectiveness of Clean Harbors internal control over financial reporting as of December 31, 2019. Based on their evaluation under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the Company's management concluded that the Company maintained effective internal control over financial reporting as of December 31, 2019 based on the criteria in the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w:t>
      </w:r>
    </w:p>
    <w:p>
      <w:pPr>
        <w:spacing w:after="0" w:line="7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2019, which is included below in this Item 9A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paragraph (d) of Exchange Act Rules 13a-15 or 15d-15 that was conducted during the quarter ended December 31, 2019 that have materially affected, or are reasonably likely to materially affect, the Company’s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management, including the Chief Executive Officer and Chief Financial Officer, does not expect that the Company's disclosure controls and procedures or the Company's internal control over financial reporting will prevent all errors and all fraud.</w:t>
      </w:r>
    </w:p>
    <w:p>
      <w:pPr>
        <w:spacing w:after="0" w:line="62"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18" w:right="2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Clean Harbors, Inc.</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Clean Harbors, Inc.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32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26, 2020 expressed an unqualified opinion on those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6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0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118" w:right="2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Except for the information set forth below under Item 12 with respect to securities authorized for issuance under the registrant's equity compensation plans, the information called for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registrant's definitive proxy statement for its 2020 annual meeting of shareholders, which definitive proxy statement will be filed with the Securities and Exchange Commission by April 22, 2020.</w:t>
      </w:r>
    </w:p>
    <w:p>
      <w:pPr>
        <w:spacing w:after="0" w:line="7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For the purpose of calculating the aggregate market value of the voting stock of the registrant held by non-affiliates as shown on the cover page of this report, it has been assumed that the directors and executive officers of the registrant, as will be set forth in the Company's definitive proxy statement for its 2020 annual meeting of shareholders, are the only affiliates of the registrant. However, this should not be deemed to constitute an admission that all of such persons are, in fact, affiliates or that there are not other persons who may be deemed affiliates of the registrant.</w:t>
      </w:r>
    </w:p>
    <w:p>
      <w:pPr>
        <w:spacing w:after="0" w:line="8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In addition to the information about the security ownership of certain beneficial owners and management and related stockholder matters which is incorporated herein by reference to the Company's definitive proxy statement for the Company's 2020 annual meeting of shareholders, the following table includes information as of December 31, 2019 regarding shares of common stock authorized for issuance under the Company's equity compensation plan. The Company's shareholders previously approved the plan.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Number of securities to</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Weighted average exercise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outstanding options</w:t>
            </w:r>
          </w:p>
        </w:tc>
        <w:tc>
          <w:tcPr>
            <w:tcW w:w="120" w:type="dxa"/>
            <w:vAlign w:val="bottom"/>
          </w:tcPr>
          <w:p>
            <w:pPr>
              <w:spacing w:after="0"/>
              <w:rPr>
                <w:sz w:val="12"/>
                <w:szCs w:val="12"/>
                <w:color w:val="auto"/>
              </w:rPr>
            </w:pPr>
          </w:p>
        </w:tc>
        <w:tc>
          <w:tcPr>
            <w:tcW w:w="1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rights(a)</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options and rights(b)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(a))(c)</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Equity compensation plan approved by security holders</w:t>
            </w:r>
            <w:r>
              <w:rPr>
                <w:rFonts w:ascii="Arial" w:cs="Arial" w:eastAsia="Arial" w:hAnsi="Arial"/>
                <w:sz w:val="25"/>
                <w:szCs w:val="25"/>
                <w:color w:val="auto"/>
                <w:vertAlign w:val="superscript"/>
              </w:rPr>
              <w:t>(1)</w:t>
            </w:r>
          </w:p>
        </w:tc>
        <w:tc>
          <w:tcPr>
            <w:tcW w:w="20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3,853,811</w:t>
            </w:r>
          </w:p>
        </w:tc>
        <w:tc>
          <w:tcPr>
            <w:tcW w:w="0" w:type="dxa"/>
            <w:vAlign w:val="bottom"/>
          </w:tcPr>
          <w:p>
            <w:pPr>
              <w:spacing w:after="0"/>
              <w:rPr>
                <w:sz w:val="1"/>
                <w:szCs w:val="1"/>
                <w:color w:val="auto"/>
              </w:rPr>
            </w:pPr>
          </w:p>
        </w:tc>
      </w:tr>
      <w:tr>
        <w:trPr>
          <w:trHeight w:val="218"/>
        </w:trPr>
        <w:tc>
          <w:tcPr>
            <w:tcW w:w="5500" w:type="dxa"/>
            <w:vAlign w:val="bottom"/>
          </w:tcPr>
          <w:p>
            <w:pPr>
              <w:jc w:val="right"/>
              <w:ind w:right="1536"/>
              <w:spacing w:after="0"/>
              <w:rPr>
                <w:sz w:val="20"/>
                <w:szCs w:val="20"/>
                <w:color w:val="auto"/>
              </w:rPr>
            </w:pPr>
            <w:r>
              <w:rPr>
                <w:rFonts w:ascii="Arial" w:cs="Arial" w:eastAsia="Arial" w:hAnsi="Arial"/>
                <w:sz w:val="18"/>
                <w:szCs w:val="18"/>
                <w:color w:val="auto"/>
                <w:w w:val="89"/>
              </w:rPr>
              <w:t>___________________________________________</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240" w:hanging="328"/>
        <w:spacing w:after="0" w:line="25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Company's 2010 Stock Incentive Plan (the "2010 Plan") under which there were on December 31, 2019 no outstanding options but 3,853,811 shares were available for grant of stock options, stock appreciation rights, restricted stock, restricted stock units and certain other stock-based awards. See Note 17, "Stock-Based Compensation," to the Company's consolidated financial statements included in Item 8, "Financial Statements and Supplementary Data," in this report.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Documents Filed as a Part of this Report</w:t>
      </w: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Page</w:t>
            </w:r>
          </w:p>
        </w:tc>
      </w:tr>
      <w:tr>
        <w:trPr>
          <w:trHeight w:val="243"/>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1.</w:t>
            </w:r>
          </w:p>
        </w:tc>
        <w:tc>
          <w:tcPr>
            <w:tcW w:w="794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05"/>
        </w:trPr>
        <w:tc>
          <w:tcPr>
            <w:tcW w:w="480" w:type="dxa"/>
            <w:vAlign w:val="bottom"/>
          </w:tcPr>
          <w:p>
            <w:pPr>
              <w:spacing w:after="0"/>
              <w:rPr>
                <w:sz w:val="24"/>
                <w:szCs w:val="24"/>
                <w:color w:val="auto"/>
              </w:rPr>
            </w:pPr>
          </w:p>
        </w:tc>
        <w:tc>
          <w:tcPr>
            <w:tcW w:w="4220" w:type="dxa"/>
            <w:vAlign w:val="bottom"/>
            <w:gridSpan w:val="2"/>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Report of Independent Registered Public Accounting Firm</w:t>
              </w:r>
            </w:hyperlink>
          </w:p>
        </w:tc>
        <w:tc>
          <w:tcPr>
            <w:tcW w:w="3720" w:type="dxa"/>
            <w:vAlign w:val="bottom"/>
            <w:gridSpan w:val="6"/>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794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Consolidated Balance Sheets as of December 31, 2019 and 2018</w:t>
              </w:r>
            </w:hyperlink>
          </w:p>
        </w:tc>
        <w:tc>
          <w:tcPr>
            <w:tcW w:w="620" w:type="dxa"/>
            <w:vAlign w:val="bottom"/>
            <w:gridSpan w:val="3"/>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794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 for the Three Years Ended December 31, 2019</w:t>
              </w:r>
            </w:hyperlink>
          </w:p>
        </w:tc>
        <w:tc>
          <w:tcPr>
            <w:tcW w:w="620" w:type="dxa"/>
            <w:vAlign w:val="bottom"/>
            <w:gridSpan w:val="3"/>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7140" w:type="dxa"/>
            <w:vAlign w:val="bottom"/>
            <w:gridSpan w:val="7"/>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Comprehensive Income for the Three Years Ended December 31, 2019</w:t>
              </w:r>
            </w:hyperlink>
          </w:p>
        </w:tc>
        <w:tc>
          <w:tcPr>
            <w:tcW w:w="800" w:type="dxa"/>
            <w:vAlign w:val="bottom"/>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714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Cash Flows for the Three Years Ended December 31, 2019</w:t>
              </w:r>
            </w:hyperlink>
          </w:p>
        </w:tc>
        <w:tc>
          <w:tcPr>
            <w:tcW w:w="800" w:type="dxa"/>
            <w:vAlign w:val="bottom"/>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6920" w:type="dxa"/>
            <w:vAlign w:val="bottom"/>
            <w:gridSpan w:val="6"/>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Stockholders' Equity for the Three Years Ended December 31, 2019</w:t>
              </w:r>
            </w:hyperlink>
          </w:p>
        </w:tc>
        <w:tc>
          <w:tcPr>
            <w:tcW w:w="1020" w:type="dxa"/>
            <w:vAlign w:val="bottom"/>
            <w:gridSpan w:val="2"/>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780" w:type="dxa"/>
            <w:vAlign w:val="bottom"/>
            <w:gridSpan w:val="5"/>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80" w:type="dxa"/>
            <w:vAlign w:val="bottom"/>
          </w:tcPr>
          <w:p>
            <w:pPr>
              <w:spacing w:after="0"/>
              <w:rPr>
                <w:sz w:val="24"/>
                <w:szCs w:val="24"/>
                <w:color w:val="auto"/>
              </w:rPr>
            </w:pPr>
          </w:p>
        </w:tc>
        <w:tc>
          <w:tcPr>
            <w:tcW w:w="6920" w:type="dxa"/>
            <w:vAlign w:val="bottom"/>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w:t>
              </w:r>
            </w:hyperlink>
          </w:p>
        </w:tc>
        <w:tc>
          <w:tcPr>
            <w:tcW w:w="1020" w:type="dxa"/>
            <w:vAlign w:val="bottom"/>
            <w:gridSpan w:val="2"/>
          </w:tcPr>
          <w:p>
            <w:pPr>
              <w:spacing w:after="0"/>
              <w:rPr>
                <w:sz w:val="24"/>
                <w:szCs w:val="24"/>
                <w:color w:val="auto"/>
              </w:rPr>
            </w:pPr>
          </w:p>
        </w:tc>
        <w:tc>
          <w:tcPr>
            <w:tcW w:w="62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336"/>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800" w:type="dxa"/>
            <w:vAlign w:val="bottom"/>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Schedule II Valuation and Qualifying Accounts for the Three Years Ended December 31, 2019</w:t>
              </w:r>
            </w:hyperlink>
          </w:p>
        </w:tc>
        <w:tc>
          <w:tcPr>
            <w:tcW w:w="1740" w:type="dxa"/>
            <w:vAlign w:val="bottom"/>
            <w:gridSpan w:val="2"/>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85</w:t>
              </w:r>
            </w:hyperlink>
          </w:p>
        </w:tc>
      </w:tr>
      <w:tr>
        <w:trPr>
          <w:trHeight w:val="20"/>
        </w:trPr>
        <w:tc>
          <w:tcPr>
            <w:tcW w:w="68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financial statements or notes thereto.</w:t>
      </w:r>
    </w:p>
    <w:p>
      <w:pPr>
        <w:spacing w:after="0" w:line="116" w:lineRule="exact"/>
        <w:rPr>
          <w:sz w:val="20"/>
          <w:szCs w:val="20"/>
          <w:color w:val="auto"/>
        </w:rPr>
      </w:pPr>
    </w:p>
    <w:p>
      <w:pPr>
        <w:ind w:left="540" w:hanging="35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8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0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118" w:right="29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 on February 26, 2020.</w:t>
      </w:r>
    </w:p>
    <w:p>
      <w:pPr>
        <w:spacing w:after="0" w:line="25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CLEAN HARBORS, INC.</w:t>
      </w:r>
    </w:p>
    <w:p>
      <w:pPr>
        <w:spacing w:after="0" w:line="63" w:lineRule="exact"/>
        <w:rPr>
          <w:sz w:val="20"/>
          <w:szCs w:val="20"/>
          <w:color w:val="auto"/>
        </w:rPr>
      </w:pPr>
    </w:p>
    <w:p>
      <w:pPr>
        <w:ind w:left="73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31750</wp:posOffset>
            </wp:positionV>
            <wp:extent cx="2349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Alan S. McKim</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i w:val="1"/>
          <w:iCs w:val="1"/>
          <w:color w:val="auto"/>
        </w:rPr>
        <w:t>Chief Executive Officer</w:t>
      </w:r>
    </w:p>
    <w:p>
      <w:pPr>
        <w:spacing w:after="0" w:line="15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760" w:type="dxa"/>
            <w:vAlign w:val="bottom"/>
            <w:gridSpan w:val="3"/>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0"/>
        </w:trPr>
        <w:tc>
          <w:tcPr>
            <w:tcW w:w="2120" w:type="dxa"/>
            <w:vAlign w:val="bottom"/>
            <w:gridSpan w:val="5"/>
          </w:tcPr>
          <w:p>
            <w:pPr>
              <w:jc w:val="center"/>
              <w:spacing w:after="0"/>
              <w:rPr>
                <w:sz w:val="20"/>
                <w:szCs w:val="20"/>
                <w:color w:val="auto"/>
              </w:rPr>
            </w:pPr>
            <w:r>
              <w:rPr>
                <w:rFonts w:ascii="Arial" w:cs="Arial" w:eastAsia="Arial" w:hAnsi="Arial"/>
                <w:sz w:val="16"/>
                <w:szCs w:val="16"/>
                <w:color w:val="auto"/>
              </w:rPr>
              <w:t>/s/ ALAN S. MCKIM</w:t>
            </w: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Chairman, President and Chief Executive Officer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9"/>
              </w:rPr>
              <w:t>Alan S. McKim</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2120" w:type="dxa"/>
            <w:vAlign w:val="bottom"/>
            <w:gridSpan w:val="5"/>
          </w:tcPr>
          <w:p>
            <w:pPr>
              <w:jc w:val="center"/>
              <w:spacing w:after="0"/>
              <w:rPr>
                <w:sz w:val="20"/>
                <w:szCs w:val="20"/>
                <w:color w:val="auto"/>
              </w:rPr>
            </w:pPr>
            <w:r>
              <w:rPr>
                <w:rFonts w:ascii="Arial" w:cs="Arial" w:eastAsia="Arial" w:hAnsi="Arial"/>
                <w:sz w:val="16"/>
                <w:szCs w:val="16"/>
                <w:color w:val="auto"/>
                <w:w w:val="98"/>
              </w:rPr>
              <w:t>/s/ MICHAEL L. BATTLES</w:t>
            </w: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Executive Vice President and Chief Financial Officer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4"/>
              </w:rPr>
              <w:t>Michael L. Battles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5"/>
              </w:rPr>
              <w:t>/s/ ERIC J. DUGAS</w:t>
            </w: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Senior Vice President, Finance and Chief Accounting Officer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2"/>
              </w:rPr>
              <w:t>Eric J. Dugas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1"/>
              </w:rPr>
              <w:t>Gene Banucci</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1"/>
              </w:rPr>
              <w:t>Edward G. Galante</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center"/>
              <w:ind w:right="590"/>
              <w:spacing w:after="0"/>
              <w:rPr>
                <w:sz w:val="20"/>
                <w:szCs w:val="20"/>
                <w:color w:val="auto"/>
              </w:rPr>
            </w:pPr>
            <w:r>
              <w:rPr>
                <w:rFonts w:ascii="Arial" w:cs="Arial" w:eastAsia="Arial" w:hAnsi="Arial"/>
                <w:sz w:val="16"/>
                <w:szCs w:val="16"/>
                <w:color w:val="auto"/>
                <w:w w:val="98"/>
              </w:rPr>
              <w:t>Rod Marlin</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88"/>
              </w:rPr>
              <w:t>John T. Preston</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2"/>
              </w:rPr>
              <w:t>Andrea Robertson</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1"/>
              </w:rPr>
              <w:t>Thomas J. Shields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92"/>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89"/>
              </w:rPr>
              <w:t>Lauren C. States</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9"/>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2"/>
              </w:rPr>
              <w:t>John R. Welch</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19"/>
        </w:trPr>
        <w:tc>
          <w:tcPr>
            <w:tcW w:w="400" w:type="dxa"/>
            <w:vAlign w:val="bottom"/>
          </w:tcPr>
          <w:p>
            <w:pPr>
              <w:spacing w:after="0"/>
              <w:rPr>
                <w:sz w:val="24"/>
                <w:szCs w:val="24"/>
                <w:color w:val="auto"/>
              </w:rPr>
            </w:pPr>
          </w:p>
        </w:tc>
        <w:tc>
          <w:tcPr>
            <w:tcW w:w="960" w:type="dxa"/>
            <w:vAlign w:val="bottom"/>
            <w:gridSpan w:val="3"/>
          </w:tcPr>
          <w:p>
            <w:pPr>
              <w:jc w:val="center"/>
              <w:ind w:left="2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4640" w:type="dxa"/>
            <w:vAlign w:val="bottom"/>
            <w:gridSpan w:val="4"/>
          </w:tcPr>
          <w:p>
            <w:pPr>
              <w:ind w:left="140"/>
              <w:spacing w:after="0"/>
              <w:rPr>
                <w:sz w:val="20"/>
                <w:szCs w:val="20"/>
                <w:color w:val="auto"/>
              </w:rPr>
            </w:pPr>
            <w:r>
              <w:rPr>
                <w:rFonts w:ascii="Arial" w:cs="Arial" w:eastAsia="Arial" w:hAnsi="Arial"/>
                <w:sz w:val="16"/>
                <w:szCs w:val="16"/>
                <w:color w:val="auto"/>
              </w:rPr>
              <w:t>Director</w:t>
            </w:r>
          </w:p>
        </w:tc>
        <w:tc>
          <w:tcPr>
            <w:tcW w:w="1740" w:type="dxa"/>
            <w:vAlign w:val="bottom"/>
            <w:gridSpan w:val="3"/>
          </w:tcPr>
          <w:p>
            <w:pPr>
              <w:ind w:left="540"/>
              <w:spacing w:after="0"/>
              <w:rPr>
                <w:sz w:val="20"/>
                <w:szCs w:val="20"/>
                <w:color w:val="auto"/>
              </w:rPr>
            </w:pPr>
            <w:r>
              <w:rPr>
                <w:rFonts w:ascii="Arial" w:cs="Arial" w:eastAsia="Arial" w:hAnsi="Arial"/>
                <w:sz w:val="16"/>
                <w:szCs w:val="16"/>
                <w:color w:val="auto"/>
                <w:w w:val="90"/>
              </w:rPr>
              <w:t>February 26, 2020</w:t>
            </w:r>
          </w:p>
        </w:tc>
      </w:tr>
      <w:tr>
        <w:trPr>
          <w:trHeight w:val="33"/>
        </w:trPr>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720" w:type="dxa"/>
            <w:vAlign w:val="bottom"/>
            <w:gridSpan w:val="4"/>
          </w:tcPr>
          <w:p>
            <w:pPr>
              <w:jc w:val="center"/>
              <w:ind w:right="310"/>
              <w:spacing w:after="0"/>
              <w:rPr>
                <w:sz w:val="20"/>
                <w:szCs w:val="20"/>
                <w:color w:val="auto"/>
              </w:rPr>
            </w:pPr>
            <w:r>
              <w:rPr>
                <w:rFonts w:ascii="Arial" w:cs="Arial" w:eastAsia="Arial" w:hAnsi="Arial"/>
                <w:sz w:val="16"/>
                <w:szCs w:val="16"/>
                <w:color w:val="auto"/>
                <w:w w:val="95"/>
              </w:rPr>
              <w:t>Robert Willett</w:t>
            </w: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546"/>
        </w:trPr>
        <w:tc>
          <w:tcPr>
            <w:tcW w:w="400" w:type="dxa"/>
            <w:vAlign w:val="bottom"/>
          </w:tcPr>
          <w:p>
            <w:pPr>
              <w:ind w:left="40"/>
              <w:spacing w:after="0"/>
              <w:rPr>
                <w:sz w:val="20"/>
                <w:szCs w:val="20"/>
                <w:color w:val="auto"/>
              </w:rPr>
            </w:pPr>
            <w:r>
              <w:rPr>
                <w:rFonts w:ascii="Arial" w:cs="Arial" w:eastAsia="Arial" w:hAnsi="Arial"/>
                <w:sz w:val="18"/>
                <w:szCs w:val="18"/>
                <w:color w:val="auto"/>
              </w:rPr>
              <w:t>*By:</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0" w:type="dxa"/>
            <w:vAlign w:val="bottom"/>
            <w:gridSpan w:val="5"/>
          </w:tcPr>
          <w:p>
            <w:pPr>
              <w:jc w:val="center"/>
              <w:ind w:right="3700"/>
              <w:spacing w:after="0"/>
              <w:rPr>
                <w:sz w:val="20"/>
                <w:szCs w:val="20"/>
                <w:color w:val="auto"/>
              </w:rPr>
            </w:pPr>
            <w:r>
              <w:rPr>
                <w:rFonts w:ascii="Arial" w:cs="Arial" w:eastAsia="Arial" w:hAnsi="Arial"/>
                <w:sz w:val="18"/>
                <w:szCs w:val="18"/>
                <w:color w:val="auto"/>
                <w:w w:val="99"/>
              </w:rPr>
              <w:t>/s/ ALAN S. MCKIM</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
        </w:trPr>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22"/>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0" w:type="dxa"/>
            <w:vAlign w:val="bottom"/>
            <w:gridSpan w:val="5"/>
          </w:tcPr>
          <w:p>
            <w:pPr>
              <w:jc w:val="center"/>
              <w:ind w:right="3700"/>
              <w:spacing w:after="0"/>
              <w:rPr>
                <w:sz w:val="20"/>
                <w:szCs w:val="20"/>
                <w:color w:val="auto"/>
              </w:rPr>
            </w:pPr>
            <w:r>
              <w:rPr>
                <w:rFonts w:ascii="Arial" w:cs="Arial" w:eastAsia="Arial" w:hAnsi="Arial"/>
                <w:sz w:val="18"/>
                <w:szCs w:val="18"/>
                <w:color w:val="auto"/>
                <w:w w:val="96"/>
              </w:rPr>
              <w:t>Alan S. McKim</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0" w:type="dxa"/>
            <w:vAlign w:val="bottom"/>
            <w:gridSpan w:val="5"/>
          </w:tcPr>
          <w:p>
            <w:pPr>
              <w:jc w:val="center"/>
              <w:ind w:right="3700"/>
              <w:spacing w:after="0"/>
              <w:rPr>
                <w:sz w:val="20"/>
                <w:szCs w:val="20"/>
                <w:color w:val="auto"/>
              </w:rPr>
            </w:pPr>
            <w:r>
              <w:rPr>
                <w:rFonts w:ascii="Arial" w:cs="Arial" w:eastAsia="Arial" w:hAnsi="Arial"/>
                <w:sz w:val="18"/>
                <w:szCs w:val="18"/>
                <w:i w:val="1"/>
                <w:iCs w:val="1"/>
                <w:color w:val="auto"/>
                <w:w w:val="95"/>
              </w:rPr>
              <w:t>Attorney-in-Fact</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94"/>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40" w:type="dxa"/>
            <w:vAlign w:val="bottom"/>
            <w:gridSpan w:val="4"/>
          </w:tcPr>
          <w:p>
            <w:pPr>
              <w:ind w:left="3500"/>
              <w:spacing w:after="0"/>
              <w:rPr>
                <w:sz w:val="20"/>
                <w:szCs w:val="20"/>
                <w:color w:val="auto"/>
              </w:rPr>
            </w:pPr>
            <w:r>
              <w:rPr>
                <w:rFonts w:ascii="Arial" w:cs="Arial" w:eastAsia="Arial" w:hAnsi="Arial"/>
                <w:sz w:val="18"/>
                <w:szCs w:val="18"/>
                <w:color w:val="auto"/>
              </w:rPr>
              <w:t>90</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00"/>
          </w:cols>
          <w:pgMar w:left="240" w:top="118" w:right="3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p>
      <w:pPr>
        <w:ind w:left="1220"/>
        <w:spacing w:after="0"/>
        <w:tabs>
          <w:tab w:leader="none" w:pos="5100" w:val="left"/>
        </w:tabs>
        <w:rPr>
          <w:sz w:val="20"/>
          <w:szCs w:val="20"/>
          <w:color w:val="auto"/>
        </w:rPr>
      </w:pPr>
      <w:r>
        <w:rPr>
          <w:rFonts w:ascii="Arial" w:cs="Arial" w:eastAsia="Arial" w:hAnsi="Arial"/>
          <w:sz w:val="14"/>
          <w:szCs w:val="14"/>
          <w:b w:val="1"/>
          <w:bCs w:val="1"/>
          <w:color w:val="auto"/>
        </w:rPr>
        <w:t>Item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23495</wp:posOffset>
            </wp:positionV>
            <wp:extent cx="4991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43" w:lineRule="exact"/>
        <w:rPr>
          <w:sz w:val="20"/>
          <w:szCs w:val="20"/>
          <w:color w:val="auto"/>
        </w:rPr>
      </w:pPr>
    </w:p>
    <w:p>
      <w:pPr>
        <w:ind w:left="2000" w:right="560" w:hanging="413"/>
        <w:spacing w:after="0" w:line="277"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13">
        <w:r>
          <w:rPr>
            <w:rFonts w:ascii="Arial" w:cs="Arial" w:eastAsia="Arial" w:hAnsi="Arial"/>
            <w:sz w:val="18"/>
            <w:szCs w:val="18"/>
            <w:u w:val="single" w:color="auto"/>
            <w:color w:val="0000FF"/>
          </w:rPr>
          <w:t>Acquisition Agreement by and between Safety-Kleen Services, Inc., as Seller, and Clean</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Harbors, Inc., as Purchaser, dated as of February 22, 2002</w:t>
        </w:r>
      </w:hyperlink>
    </w:p>
    <w:p>
      <w:pPr>
        <w:spacing w:after="0" w:line="8" w:lineRule="exact"/>
        <w:rPr>
          <w:sz w:val="20"/>
          <w:szCs w:val="20"/>
          <w:color w:val="auto"/>
        </w:rPr>
      </w:pPr>
    </w:p>
    <w:p>
      <w:pPr>
        <w:ind w:left="2000" w:right="340" w:hanging="413"/>
        <w:spacing w:after="0" w:line="298" w:lineRule="auto"/>
        <w:tabs>
          <w:tab w:leader="none" w:pos="1980" w:val="left"/>
        </w:tabs>
        <w:rPr>
          <w:rFonts w:ascii="Arial" w:cs="Arial" w:eastAsia="Arial" w:hAnsi="Arial"/>
          <w:sz w:val="17"/>
          <w:szCs w:val="17"/>
          <w:u w:val="single" w:color="auto"/>
          <w:color w:val="0000FF"/>
        </w:rPr>
      </w:pPr>
      <w:r>
        <w:rPr>
          <w:rFonts w:ascii="Arial" w:cs="Arial" w:eastAsia="Arial" w:hAnsi="Arial"/>
          <w:sz w:val="18"/>
          <w:szCs w:val="18"/>
          <w:color w:val="auto"/>
        </w:rPr>
        <w:t>2.2</w:t>
      </w:r>
      <w:r>
        <w:rPr>
          <w:sz w:val="20"/>
          <w:szCs w:val="20"/>
          <w:color w:val="auto"/>
        </w:rPr>
        <w:tab/>
      </w:r>
      <w:hyperlink r:id="rId14">
        <w:r>
          <w:rPr>
            <w:rFonts w:ascii="Arial" w:cs="Arial" w:eastAsia="Arial" w:hAnsi="Arial"/>
            <w:sz w:val="17"/>
            <w:szCs w:val="17"/>
            <w:u w:val="single" w:color="auto"/>
            <w:color w:val="0000FF"/>
          </w:rPr>
          <w:t>First Amendment to Acquisition Agreement by and between Safety-Kleen Services, Inc., as</w:t>
        </w:r>
      </w:hyperlink>
      <w:r>
        <w:rPr>
          <w:rFonts w:ascii="Arial" w:cs="Arial" w:eastAsia="Arial" w:hAnsi="Arial"/>
          <w:sz w:val="17"/>
          <w:szCs w:val="17"/>
          <w:u w:val="single" w:color="auto"/>
          <w:color w:val="0000FF"/>
        </w:rPr>
        <w:t xml:space="preserve"> </w:t>
      </w:r>
      <w:hyperlink r:id="rId14">
        <w:r>
          <w:rPr>
            <w:rFonts w:ascii="Arial" w:cs="Arial" w:eastAsia="Arial" w:hAnsi="Arial"/>
            <w:sz w:val="17"/>
            <w:szCs w:val="17"/>
            <w:u w:val="single" w:color="auto"/>
            <w:color w:val="0000FF"/>
          </w:rPr>
          <w:t>Seller, and Clean Harbors, Inc., as Purchaser, dated as of March 8, 2002</w:t>
        </w:r>
      </w:hyperlink>
    </w:p>
    <w:p>
      <w:pPr>
        <w:spacing w:after="0" w:line="1" w:lineRule="exact"/>
        <w:rPr>
          <w:sz w:val="20"/>
          <w:szCs w:val="20"/>
          <w:color w:val="auto"/>
        </w:rPr>
      </w:pPr>
    </w:p>
    <w:p>
      <w:pPr>
        <w:ind w:left="2000" w:right="180" w:hanging="413"/>
        <w:spacing w:after="0" w:line="298" w:lineRule="auto"/>
        <w:tabs>
          <w:tab w:leader="none" w:pos="1980" w:val="left"/>
        </w:tabs>
        <w:rPr>
          <w:rFonts w:ascii="Arial" w:cs="Arial" w:eastAsia="Arial" w:hAnsi="Arial"/>
          <w:sz w:val="17"/>
          <w:szCs w:val="17"/>
          <w:u w:val="single" w:color="auto"/>
          <w:color w:val="0000FF"/>
        </w:rPr>
      </w:pPr>
      <w:r>
        <w:rPr>
          <w:rFonts w:ascii="Arial" w:cs="Arial" w:eastAsia="Arial" w:hAnsi="Arial"/>
          <w:sz w:val="18"/>
          <w:szCs w:val="18"/>
          <w:color w:val="auto"/>
        </w:rPr>
        <w:t>2.3</w:t>
      </w:r>
      <w:r>
        <w:rPr>
          <w:sz w:val="20"/>
          <w:szCs w:val="20"/>
          <w:color w:val="auto"/>
        </w:rPr>
        <w:tab/>
      </w:r>
      <w:hyperlink r:id="rId15">
        <w:r>
          <w:rPr>
            <w:rFonts w:ascii="Arial" w:cs="Arial" w:eastAsia="Arial" w:hAnsi="Arial"/>
            <w:sz w:val="17"/>
            <w:szCs w:val="17"/>
            <w:u w:val="single" w:color="auto"/>
            <w:color w:val="0000FF"/>
          </w:rPr>
          <w:t>Second Amendment to Acquisition Agreement by and between Safety-Kleen Services, Inc. as</w:t>
        </w:r>
      </w:hyperlink>
      <w:r>
        <w:rPr>
          <w:rFonts w:ascii="Arial" w:cs="Arial" w:eastAsia="Arial" w:hAnsi="Arial"/>
          <w:sz w:val="17"/>
          <w:szCs w:val="17"/>
          <w:u w:val="single" w:color="auto"/>
          <w:color w:val="0000FF"/>
        </w:rPr>
        <w:t xml:space="preserve"> </w:t>
      </w:r>
      <w:hyperlink r:id="rId15">
        <w:r>
          <w:rPr>
            <w:rFonts w:ascii="Arial" w:cs="Arial" w:eastAsia="Arial" w:hAnsi="Arial"/>
            <w:sz w:val="17"/>
            <w:szCs w:val="17"/>
            <w:u w:val="single" w:color="auto"/>
            <w:color w:val="0000FF"/>
          </w:rPr>
          <w:t>Seller, and Clean Harbors, Inc. as Purchaser, dated as of April 30, 2002</w:t>
        </w:r>
      </w:hyperlink>
    </w:p>
    <w:p>
      <w:pPr>
        <w:spacing w:after="0" w:line="1" w:lineRule="exact"/>
        <w:rPr>
          <w:sz w:val="20"/>
          <w:szCs w:val="20"/>
          <w:color w:val="auto"/>
        </w:rPr>
      </w:pPr>
    </w:p>
    <w:p>
      <w:pPr>
        <w:ind w:left="2000" w:right="260" w:hanging="413"/>
        <w:spacing w:after="0" w:line="298" w:lineRule="auto"/>
        <w:tabs>
          <w:tab w:leader="none" w:pos="1980" w:val="left"/>
        </w:tabs>
        <w:rPr>
          <w:rFonts w:ascii="Arial" w:cs="Arial" w:eastAsia="Arial" w:hAnsi="Arial"/>
          <w:sz w:val="17"/>
          <w:szCs w:val="17"/>
          <w:u w:val="single" w:color="auto"/>
          <w:color w:val="0000FF"/>
        </w:rPr>
      </w:pPr>
      <w:r>
        <w:rPr>
          <w:rFonts w:ascii="Arial" w:cs="Arial" w:eastAsia="Arial" w:hAnsi="Arial"/>
          <w:sz w:val="18"/>
          <w:szCs w:val="18"/>
          <w:color w:val="auto"/>
        </w:rPr>
        <w:t>2.4</w:t>
      </w:r>
      <w:r>
        <w:rPr>
          <w:sz w:val="20"/>
          <w:szCs w:val="20"/>
          <w:color w:val="auto"/>
        </w:rPr>
        <w:tab/>
      </w:r>
      <w:hyperlink r:id="rId16">
        <w:r>
          <w:rPr>
            <w:rFonts w:ascii="Arial" w:cs="Arial" w:eastAsia="Arial" w:hAnsi="Arial"/>
            <w:sz w:val="17"/>
            <w:szCs w:val="17"/>
            <w:u w:val="single" w:color="auto"/>
            <w:color w:val="0000FF"/>
          </w:rPr>
          <w:t>Third Amendment to Acquisition Agreement by and between Safety-Kleen Services, Inc., as</w:t>
        </w:r>
      </w:hyperlink>
      <w:r>
        <w:rPr>
          <w:rFonts w:ascii="Arial" w:cs="Arial" w:eastAsia="Arial" w:hAnsi="Arial"/>
          <w:sz w:val="17"/>
          <w:szCs w:val="17"/>
          <w:u w:val="single" w:color="auto"/>
          <w:color w:val="0000FF"/>
        </w:rPr>
        <w:t xml:space="preserve"> </w:t>
      </w:r>
      <w:hyperlink r:id="rId16">
        <w:r>
          <w:rPr>
            <w:rFonts w:ascii="Arial" w:cs="Arial" w:eastAsia="Arial" w:hAnsi="Arial"/>
            <w:sz w:val="17"/>
            <w:szCs w:val="17"/>
            <w:u w:val="single" w:color="auto"/>
            <w:color w:val="0000FF"/>
          </w:rPr>
          <w:t>Seller, and Clean Harbors, Inc., as Purchaser, dated as of September 6, 2002</w:t>
        </w:r>
      </w:hyperlink>
    </w:p>
    <w:p>
      <w:pPr>
        <w:spacing w:after="0" w:line="1" w:lineRule="exact"/>
        <w:rPr>
          <w:sz w:val="20"/>
          <w:szCs w:val="20"/>
          <w:color w:val="auto"/>
        </w:rPr>
      </w:pPr>
    </w:p>
    <w:p>
      <w:pPr>
        <w:ind w:left="2000" w:right="180" w:hanging="413"/>
        <w:spacing w:after="0" w:line="298" w:lineRule="auto"/>
        <w:tabs>
          <w:tab w:leader="none" w:pos="1980" w:val="left"/>
        </w:tabs>
        <w:rPr>
          <w:rFonts w:ascii="Arial" w:cs="Arial" w:eastAsia="Arial" w:hAnsi="Arial"/>
          <w:sz w:val="17"/>
          <w:szCs w:val="17"/>
          <w:u w:val="single" w:color="auto"/>
          <w:color w:val="0000FF"/>
        </w:rPr>
      </w:pPr>
      <w:r>
        <w:rPr>
          <w:rFonts w:ascii="Arial" w:cs="Arial" w:eastAsia="Arial" w:hAnsi="Arial"/>
          <w:sz w:val="18"/>
          <w:szCs w:val="18"/>
          <w:color w:val="auto"/>
        </w:rPr>
        <w:t>2.5</w:t>
      </w:r>
      <w:r>
        <w:rPr>
          <w:sz w:val="20"/>
          <w:szCs w:val="20"/>
          <w:color w:val="auto"/>
        </w:rPr>
        <w:tab/>
      </w:r>
      <w:hyperlink r:id="rId17">
        <w:r>
          <w:rPr>
            <w:rFonts w:ascii="Arial" w:cs="Arial" w:eastAsia="Arial" w:hAnsi="Arial"/>
            <w:sz w:val="17"/>
            <w:szCs w:val="17"/>
            <w:u w:val="single" w:color="auto"/>
            <w:color w:val="0000FF"/>
          </w:rPr>
          <w:t>Fourth Amendment to Acquisition Agreement by and between Safety-Kleen Services, Inc., as</w:t>
        </w:r>
      </w:hyperlink>
      <w:r>
        <w:rPr>
          <w:rFonts w:ascii="Arial" w:cs="Arial" w:eastAsia="Arial" w:hAnsi="Arial"/>
          <w:sz w:val="17"/>
          <w:szCs w:val="17"/>
          <w:u w:val="single" w:color="auto"/>
          <w:color w:val="0000FF"/>
        </w:rPr>
        <w:t xml:space="preserve"> </w:t>
      </w:r>
      <w:hyperlink r:id="rId17">
        <w:r>
          <w:rPr>
            <w:rFonts w:ascii="Arial" w:cs="Arial" w:eastAsia="Arial" w:hAnsi="Arial"/>
            <w:sz w:val="17"/>
            <w:szCs w:val="17"/>
            <w:u w:val="single" w:color="auto"/>
            <w:color w:val="0000FF"/>
          </w:rPr>
          <w:t>Seller and Clean Harbors, Inc., as Purchaser, dated as of July 14, 2003</w:t>
        </w:r>
      </w:hyperlink>
    </w:p>
    <w:p>
      <w:pPr>
        <w:spacing w:after="0" w:line="1" w:lineRule="exact"/>
        <w:rPr>
          <w:sz w:val="20"/>
          <w:szCs w:val="20"/>
          <w:color w:val="auto"/>
        </w:rPr>
      </w:pPr>
    </w:p>
    <w:p>
      <w:pPr>
        <w:ind w:left="2000" w:right="180" w:hanging="413"/>
        <w:spacing w:after="0" w:line="277"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2.6</w:t>
      </w:r>
      <w:r>
        <w:rPr>
          <w:sz w:val="20"/>
          <w:szCs w:val="20"/>
          <w:color w:val="auto"/>
        </w:rPr>
        <w:tab/>
      </w:r>
      <w:hyperlink r:id="rId18">
        <w:r>
          <w:rPr>
            <w:rFonts w:ascii="Arial" w:cs="Arial" w:eastAsia="Arial" w:hAnsi="Arial"/>
            <w:sz w:val="18"/>
            <w:szCs w:val="18"/>
            <w:u w:val="single" w:color="auto"/>
            <w:color w:val="0000FF"/>
          </w:rPr>
          <w:t>Agreement and Plan of Merger dated as of October 26, 2012 among Safety-Kleen, Inc., Clean</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Harbors, Inc., and CH Merger Sub, Inc.</w:t>
        </w:r>
      </w:hyperlink>
    </w:p>
    <w:p>
      <w:pPr>
        <w:spacing w:after="0" w:line="8" w:lineRule="exact"/>
        <w:rPr>
          <w:sz w:val="20"/>
          <w:szCs w:val="20"/>
          <w:color w:val="auto"/>
        </w:rPr>
      </w:pPr>
    </w:p>
    <w:p>
      <w:pPr>
        <w:ind w:left="144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3.1A</w:t>
      </w:r>
      <w:r>
        <w:rPr>
          <w:sz w:val="20"/>
          <w:szCs w:val="20"/>
          <w:color w:val="auto"/>
        </w:rPr>
        <w:tab/>
      </w:r>
      <w:hyperlink r:id="rId19">
        <w:r>
          <w:rPr>
            <w:rFonts w:ascii="Arial" w:cs="Arial" w:eastAsia="Arial" w:hAnsi="Arial"/>
            <w:sz w:val="16"/>
            <w:szCs w:val="16"/>
            <w:u w:val="single" w:color="auto"/>
            <w:color w:val="0000FF"/>
          </w:rPr>
          <w:t>Restated Articles of Organization of Clean Harbors, Inc.</w:t>
        </w:r>
      </w:hyperlink>
    </w:p>
    <w:p>
      <w:pPr>
        <w:spacing w:after="0" w:line="63" w:lineRule="exact"/>
        <w:rPr>
          <w:sz w:val="20"/>
          <w:szCs w:val="20"/>
          <w:color w:val="auto"/>
        </w:rPr>
      </w:pPr>
    </w:p>
    <w:p>
      <w:pPr>
        <w:ind w:left="2000" w:right="80" w:hanging="533"/>
        <w:spacing w:after="0" w:line="277"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3.1B</w:t>
      </w:r>
      <w:r>
        <w:rPr>
          <w:sz w:val="20"/>
          <w:szCs w:val="20"/>
          <w:color w:val="auto"/>
        </w:rPr>
        <w:tab/>
      </w:r>
      <w:hyperlink r:id="rId20">
        <w:r>
          <w:rPr>
            <w:rFonts w:ascii="Arial" w:cs="Arial" w:eastAsia="Arial" w:hAnsi="Arial"/>
            <w:sz w:val="18"/>
            <w:szCs w:val="18"/>
            <w:u w:val="single" w:color="auto"/>
            <w:color w:val="0000FF"/>
          </w:rPr>
          <w:t>Articles of Amendment [as filed on May 9, 2011] to Restated Articles of Organization of Clean</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Harbors</w:t>
        </w:r>
      </w:hyperlink>
    </w:p>
    <w:p>
      <w:pPr>
        <w:spacing w:after="0" w:line="8" w:lineRule="exact"/>
        <w:rPr>
          <w:sz w:val="20"/>
          <w:szCs w:val="20"/>
          <w:color w:val="auto"/>
        </w:rPr>
      </w:pPr>
    </w:p>
    <w:p>
      <w:pPr>
        <w:ind w:left="144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3.4D</w:t>
      </w:r>
      <w:r>
        <w:rPr>
          <w:sz w:val="20"/>
          <w:szCs w:val="20"/>
          <w:color w:val="auto"/>
        </w:rPr>
        <w:tab/>
      </w:r>
      <w:hyperlink r:id="rId21">
        <w:r>
          <w:rPr>
            <w:rFonts w:ascii="Arial" w:cs="Arial" w:eastAsia="Arial" w:hAnsi="Arial"/>
            <w:sz w:val="16"/>
            <w:szCs w:val="16"/>
            <w:u w:val="single" w:color="auto"/>
            <w:color w:val="0000FF"/>
          </w:rPr>
          <w:t>Amended and Restated By-Laws of Clean Harbors, Inc.</w:t>
        </w:r>
      </w:hyperlink>
    </w:p>
    <w:p>
      <w:pPr>
        <w:spacing w:after="0" w:line="63" w:lineRule="exact"/>
        <w:rPr>
          <w:sz w:val="20"/>
          <w:szCs w:val="20"/>
          <w:color w:val="auto"/>
        </w:rPr>
      </w:pPr>
    </w:p>
    <w:p>
      <w:pPr>
        <w:ind w:left="146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3.4E</w:t>
      </w:r>
      <w:r>
        <w:rPr>
          <w:sz w:val="20"/>
          <w:szCs w:val="20"/>
          <w:color w:val="auto"/>
        </w:rPr>
        <w:tab/>
      </w:r>
      <w:hyperlink r:id="rId22">
        <w:r>
          <w:rPr>
            <w:rFonts w:ascii="Arial" w:cs="Arial" w:eastAsia="Arial" w:hAnsi="Arial"/>
            <w:sz w:val="16"/>
            <w:szCs w:val="16"/>
            <w:u w:val="single" w:color="auto"/>
            <w:color w:val="0000FF"/>
          </w:rPr>
          <w:t>Description of rights of holders of Clean Harbors, Inc. common stock</w:t>
        </w:r>
      </w:hyperlink>
    </w:p>
    <w:p>
      <w:pPr>
        <w:spacing w:after="0" w:line="63" w:lineRule="exact"/>
        <w:rPr>
          <w:sz w:val="20"/>
          <w:szCs w:val="20"/>
          <w:color w:val="auto"/>
        </w:rPr>
      </w:pPr>
    </w:p>
    <w:p>
      <w:pPr>
        <w:ind w:left="2000" w:right="260" w:hanging="50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4.34</w:t>
      </w:r>
      <w:r>
        <w:rPr>
          <w:sz w:val="20"/>
          <w:szCs w:val="20"/>
          <w:color w:val="auto"/>
        </w:rPr>
        <w:tab/>
      </w:r>
      <w:hyperlink r:id="rId23">
        <w:r>
          <w:rPr>
            <w:rFonts w:ascii="Arial" w:cs="Arial" w:eastAsia="Arial" w:hAnsi="Arial"/>
            <w:sz w:val="18"/>
            <w:szCs w:val="18"/>
            <w:u w:val="single" w:color="auto"/>
            <w:color w:val="0000FF"/>
          </w:rPr>
          <w:t>Fifth Amended and Restated Credit Agreement dated as of November 1, 2016 among Clean</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Harbors, Inc., as the U.S. Borrower, Clean Harbors Industrial Services Canada, Inc., as the</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Canadian Borrower, Bank of America, N.A., as Administrative Agent, and the Lenders party</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thereto</w:t>
        </w:r>
      </w:hyperlink>
    </w:p>
    <w:p>
      <w:pPr>
        <w:spacing w:after="0" w:line="25" w:lineRule="exact"/>
        <w:rPr>
          <w:rFonts w:ascii="Arial" w:cs="Arial" w:eastAsia="Arial" w:hAnsi="Arial"/>
          <w:sz w:val="18"/>
          <w:szCs w:val="18"/>
          <w:u w:val="single" w:color="auto"/>
          <w:color w:val="0000FF"/>
        </w:rPr>
      </w:pPr>
    </w:p>
    <w:p>
      <w:pPr>
        <w:ind w:left="2000" w:right="280" w:hanging="623"/>
        <w:spacing w:after="0" w:line="299" w:lineRule="auto"/>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4.34B</w:t>
      </w:r>
      <w:r>
        <w:rPr>
          <w:sz w:val="20"/>
          <w:szCs w:val="20"/>
          <w:color w:val="auto"/>
        </w:rPr>
        <w:tab/>
      </w:r>
      <w:hyperlink r:id="rId24">
        <w:r>
          <w:rPr>
            <w:rFonts w:ascii="Arial" w:cs="Arial" w:eastAsia="Arial" w:hAnsi="Arial"/>
            <w:sz w:val="16"/>
            <w:szCs w:val="16"/>
            <w:u w:val="single" w:color="auto"/>
            <w:color w:val="0000FF"/>
          </w:rPr>
          <w:t>Amended and Restated Security Agreement (Canadian Domiciled Loan Parties) dated as of</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November 1, 2016 among Clean Harbors Industrial Services Canada, Inc., as the Canadian</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Borrower and a Grantor, the subsidiaries of Clean Harbors, Inc. listed on Annex A thereto or</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that thereafter become a party thereto as Grantors, and Bank of America, N.A., as Agent</w:t>
        </w:r>
      </w:hyperlink>
    </w:p>
    <w:p>
      <w:pPr>
        <w:spacing w:after="0" w:line="1" w:lineRule="exact"/>
        <w:rPr>
          <w:rFonts w:ascii="Arial" w:cs="Arial" w:eastAsia="Arial" w:hAnsi="Arial"/>
          <w:sz w:val="16"/>
          <w:szCs w:val="16"/>
          <w:u w:val="single" w:color="auto"/>
          <w:color w:val="0000FF"/>
        </w:rPr>
      </w:pPr>
    </w:p>
    <w:p>
      <w:pPr>
        <w:ind w:left="2000" w:right="180" w:hanging="62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4.34C</w:t>
      </w:r>
      <w:r>
        <w:rPr>
          <w:sz w:val="20"/>
          <w:szCs w:val="20"/>
          <w:color w:val="auto"/>
        </w:rPr>
        <w:tab/>
      </w:r>
      <w:hyperlink r:id="rId25">
        <w:r>
          <w:rPr>
            <w:rFonts w:ascii="Arial" w:cs="Arial" w:eastAsia="Arial" w:hAnsi="Arial"/>
            <w:sz w:val="18"/>
            <w:szCs w:val="18"/>
            <w:u w:val="single" w:color="auto"/>
            <w:color w:val="0000FF"/>
          </w:rPr>
          <w:t>Amended and Restated Guarantee (U.S. Domiciled Loan Parties-U.S. Facility Obligations)</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dated as of November 1, 2016 executed by the U.S. Domiciled Subsidiaries of Clean Harbors,</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Inc. named therein in favor of Bank of America, N.A., as Agent for itself and the other U.S.</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Facility Secured Parties</w:t>
        </w:r>
      </w:hyperlink>
    </w:p>
    <w:p>
      <w:pPr>
        <w:spacing w:after="0" w:line="25" w:lineRule="exact"/>
        <w:rPr>
          <w:rFonts w:ascii="Arial" w:cs="Arial" w:eastAsia="Arial" w:hAnsi="Arial"/>
          <w:sz w:val="18"/>
          <w:szCs w:val="18"/>
          <w:u w:val="single" w:color="auto"/>
          <w:color w:val="0000FF"/>
        </w:rPr>
      </w:pPr>
    </w:p>
    <w:p>
      <w:pPr>
        <w:ind w:left="2000" w:hanging="63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4.34D</w:t>
      </w:r>
      <w:r>
        <w:rPr>
          <w:sz w:val="20"/>
          <w:szCs w:val="20"/>
          <w:color w:val="auto"/>
        </w:rPr>
        <w:tab/>
      </w:r>
      <w:hyperlink r:id="rId26">
        <w:r>
          <w:rPr>
            <w:rFonts w:ascii="Arial" w:cs="Arial" w:eastAsia="Arial" w:hAnsi="Arial"/>
            <w:sz w:val="18"/>
            <w:szCs w:val="18"/>
            <w:u w:val="single" w:color="auto"/>
            <w:color w:val="0000FF"/>
          </w:rPr>
          <w:t>Amended and Restated Guarantee (Canadian Domiciled Loan Parties-Canadian Facility</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Obligations) dated as of November 1, 2016 executed by the Canadian Domiciled Subsidiaries of</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Clean Harbors, Inc. named therein in favor of Bank of America, N.A., as Agent for itself and</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the other Canadian Facility Secured Parties</w:t>
        </w:r>
      </w:hyperlink>
    </w:p>
    <w:p>
      <w:pPr>
        <w:spacing w:after="0" w:line="25" w:lineRule="exact"/>
        <w:rPr>
          <w:rFonts w:ascii="Arial" w:cs="Arial" w:eastAsia="Arial" w:hAnsi="Arial"/>
          <w:sz w:val="18"/>
          <w:szCs w:val="18"/>
          <w:u w:val="single" w:color="auto"/>
          <w:color w:val="0000FF"/>
        </w:rPr>
      </w:pPr>
    </w:p>
    <w:p>
      <w:pPr>
        <w:jc w:val="center"/>
        <w:ind w:left="1340"/>
        <w:spacing w:after="0"/>
        <w:tabs>
          <w:tab w:leader="none" w:pos="180" w:val="left"/>
        </w:tabs>
        <w:rPr>
          <w:rFonts w:ascii="Arial" w:cs="Arial" w:eastAsia="Arial" w:hAnsi="Arial"/>
          <w:sz w:val="16"/>
          <w:szCs w:val="16"/>
          <w:u w:val="single" w:color="auto"/>
          <w:color w:val="0000FF"/>
        </w:rPr>
      </w:pPr>
      <w:r>
        <w:rPr>
          <w:rFonts w:ascii="Arial" w:cs="Arial" w:eastAsia="Arial" w:hAnsi="Arial"/>
          <w:sz w:val="18"/>
          <w:szCs w:val="18"/>
          <w:color w:val="auto"/>
        </w:rPr>
        <w:t>4.34E</w:t>
      </w:r>
      <w:r>
        <w:rPr>
          <w:sz w:val="20"/>
          <w:szCs w:val="20"/>
          <w:color w:val="auto"/>
        </w:rPr>
        <w:tab/>
      </w:r>
      <w:hyperlink r:id="rId27">
        <w:r>
          <w:rPr>
            <w:rFonts w:ascii="Arial" w:cs="Arial" w:eastAsia="Arial" w:hAnsi="Arial"/>
            <w:sz w:val="16"/>
            <w:szCs w:val="16"/>
            <w:u w:val="single" w:color="auto"/>
            <w:color w:val="0000FF"/>
          </w:rPr>
          <w:t>Amended and Restated Guarantee (U.S. Domiciled Loan Parties-Canadian Facility Obligations)</w:t>
        </w:r>
      </w:hyperlink>
    </w:p>
    <w:p>
      <w:pPr>
        <w:spacing w:after="0" w:line="23" w:lineRule="exact"/>
        <w:rPr>
          <w:rFonts w:ascii="Arial" w:cs="Arial" w:eastAsia="Arial" w:hAnsi="Arial"/>
          <w:sz w:val="18"/>
          <w:szCs w:val="18"/>
          <w:u w:val="single" w:color="auto"/>
          <w:color w:val="0000FF"/>
        </w:rPr>
      </w:pPr>
    </w:p>
    <w:p>
      <w:pPr>
        <w:ind w:left="2000" w:right="100"/>
        <w:spacing w:after="0" w:line="255" w:lineRule="auto"/>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dated as of November 1, 2016 executed by Clean Harbors, Inc. and the U.S. Domiciled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Subsidiaries of Clean Harbors, Inc. named therein in favor of Bank of America, N.A., as Agent</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for itself and the other Canadian Facility Secured Parties</w:t>
        </w:r>
      </w:hyperlink>
    </w:p>
    <w:p>
      <w:pPr>
        <w:spacing w:after="0" w:line="28" w:lineRule="exact"/>
        <w:rPr>
          <w:rFonts w:ascii="Arial" w:cs="Arial" w:eastAsia="Arial" w:hAnsi="Arial"/>
          <w:sz w:val="18"/>
          <w:szCs w:val="18"/>
          <w:u w:val="single" w:color="auto"/>
          <w:color w:val="0000FF"/>
        </w:rPr>
      </w:pPr>
    </w:p>
    <w:p>
      <w:pPr>
        <w:ind w:left="2000" w:hanging="60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4.34F</w:t>
      </w:r>
      <w:r>
        <w:rPr>
          <w:sz w:val="20"/>
          <w:szCs w:val="20"/>
          <w:color w:val="auto"/>
        </w:rPr>
        <w:tab/>
      </w:r>
      <w:hyperlink r:id="rId28">
        <w:r>
          <w:rPr>
            <w:rFonts w:ascii="Arial" w:cs="Arial" w:eastAsia="Arial" w:hAnsi="Arial"/>
            <w:sz w:val="18"/>
            <w:szCs w:val="18"/>
            <w:u w:val="single" w:color="auto"/>
            <w:color w:val="0000FF"/>
          </w:rPr>
          <w:t>First Amendment to Credit Agreement, dated as of June 30, 2017, by and among Clean Harbors,</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Inc., Clean Harbors Industrial Services Canada, Inc., the other Loan Parties party thereto,</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certain of the Lenders party thereto, which constitute the “Required Lenders”, and Bank of</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America, N.A., as Administrative Agent</w:t>
        </w:r>
      </w:hyperlink>
    </w:p>
    <w:p>
      <w:pPr>
        <w:spacing w:after="0" w:line="25" w:lineRule="exact"/>
        <w:rPr>
          <w:rFonts w:ascii="Arial" w:cs="Arial" w:eastAsia="Arial" w:hAnsi="Arial"/>
          <w:sz w:val="18"/>
          <w:szCs w:val="18"/>
          <w:u w:val="single" w:color="auto"/>
          <w:color w:val="0000FF"/>
        </w:rPr>
      </w:pPr>
    </w:p>
    <w:p>
      <w:pPr>
        <w:ind w:left="2000" w:right="80" w:hanging="63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4.34G</w:t>
      </w:r>
      <w:r>
        <w:rPr>
          <w:sz w:val="20"/>
          <w:szCs w:val="20"/>
          <w:color w:val="auto"/>
        </w:rPr>
        <w:tab/>
      </w:r>
      <w:hyperlink r:id="rId29">
        <w:r>
          <w:rPr>
            <w:rFonts w:ascii="Arial" w:cs="Arial" w:eastAsia="Arial" w:hAnsi="Arial"/>
            <w:sz w:val="18"/>
            <w:szCs w:val="18"/>
            <w:u w:val="single" w:color="auto"/>
            <w:color w:val="0000FF"/>
          </w:rPr>
          <w:t>Second Amended and Restated Security Agreement (U.S. Domiciled Loan Parties) dated as of</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June 30, 2017, among Clean Harbors, Inc., as the U.S. Borrower and a Grantor, the subsidiaries</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of Clean Harbors, Inc. listed on Annex A thereto or that thereafter become a party thereto as</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Grantors, and Bank of America, N.A., as Agent</w:t>
        </w:r>
      </w:hyperlink>
    </w:p>
    <w:p>
      <w:pPr>
        <w:spacing w:after="0" w:line="25" w:lineRule="exact"/>
        <w:rPr>
          <w:rFonts w:ascii="Arial" w:cs="Arial" w:eastAsia="Arial" w:hAnsi="Arial"/>
          <w:sz w:val="18"/>
          <w:szCs w:val="18"/>
          <w:u w:val="single" w:color="auto"/>
          <w:color w:val="0000FF"/>
        </w:rPr>
      </w:pPr>
    </w:p>
    <w:p>
      <w:pPr>
        <w:ind w:left="2000" w:right="180" w:hanging="63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4.34H</w:t>
      </w:r>
      <w:r>
        <w:rPr>
          <w:sz w:val="20"/>
          <w:szCs w:val="20"/>
          <w:color w:val="auto"/>
        </w:rPr>
        <w:tab/>
      </w:r>
      <w:hyperlink r:id="rId30">
        <w:r>
          <w:rPr>
            <w:rFonts w:ascii="Arial" w:cs="Arial" w:eastAsia="Arial" w:hAnsi="Arial"/>
            <w:sz w:val="18"/>
            <w:szCs w:val="18"/>
            <w:u w:val="single" w:color="auto"/>
            <w:color w:val="0000FF"/>
          </w:rPr>
          <w:t>Second Amendment to Credit Agreement, dated as of July 19, 2018, by and among Clean</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Harbors, Inc., Clean Harbors Industrial Services Canada, the Other Loan Parties party thereto,</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certain of the Lenders party thereto which constitute the “Required Lenders,” and Bank of</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America, N.A., as Agent.</w:t>
        </w:r>
      </w:hyperlink>
    </w:p>
    <w:p>
      <w:pPr>
        <w:spacing w:after="0" w:line="25" w:lineRule="exact"/>
        <w:rPr>
          <w:rFonts w:ascii="Arial" w:cs="Arial" w:eastAsia="Arial" w:hAnsi="Arial"/>
          <w:sz w:val="18"/>
          <w:szCs w:val="18"/>
          <w:u w:val="single" w:color="auto"/>
          <w:color w:val="0000FF"/>
        </w:rPr>
      </w:pPr>
    </w:p>
    <w:p>
      <w:pPr>
        <w:ind w:left="2000" w:right="40" w:hanging="56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4.34I</w:t>
      </w:r>
      <w:r>
        <w:rPr>
          <w:sz w:val="20"/>
          <w:szCs w:val="20"/>
          <w:color w:val="auto"/>
        </w:rPr>
        <w:tab/>
      </w:r>
      <w:hyperlink r:id="rId31">
        <w:r>
          <w:rPr>
            <w:rFonts w:ascii="Arial" w:cs="Arial" w:eastAsia="Arial" w:hAnsi="Arial"/>
            <w:sz w:val="18"/>
            <w:szCs w:val="18"/>
            <w:u w:val="single" w:color="auto"/>
            <w:color w:val="0000FF"/>
          </w:rPr>
          <w:t>Third Amendment to Credit Agreement, dated as of July 2, 2019, by and among Clean Harbors,</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Inc., Clean Harbors Industrial Services Canada, Inc., the Other Loan Parties party thereto,</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certain of the Lenders party thereto which constitute the “Required Lenders,” and Bank of</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America, N.A., as Agent</w:t>
        </w:r>
      </w:hyperlink>
    </w:p>
    <w:p>
      <w:pPr>
        <w:spacing w:after="0" w:line="25" w:lineRule="exact"/>
        <w:rPr>
          <w:rFonts w:ascii="Arial" w:cs="Arial" w:eastAsia="Arial" w:hAnsi="Arial"/>
          <w:sz w:val="18"/>
          <w:szCs w:val="18"/>
          <w:u w:val="single" w:color="auto"/>
          <w:color w:val="0000FF"/>
        </w:rPr>
      </w:pPr>
    </w:p>
    <w:p>
      <w:pPr>
        <w:ind w:left="2000" w:right="80" w:hanging="57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4.34J</w:t>
      </w:r>
      <w:r>
        <w:rPr>
          <w:sz w:val="20"/>
          <w:szCs w:val="20"/>
          <w:color w:val="auto"/>
        </w:rPr>
        <w:tab/>
      </w:r>
      <w:hyperlink w:anchor="page98">
        <w:r>
          <w:rPr>
            <w:rFonts w:ascii="Arial" w:cs="Arial" w:eastAsia="Arial" w:hAnsi="Arial"/>
            <w:sz w:val="18"/>
            <w:szCs w:val="18"/>
            <w:u w:val="single" w:color="auto"/>
            <w:color w:val="0000FF"/>
          </w:rPr>
          <w:t>Fourth Amendment to Credit Agreement, dated as of February 20, 2020, by and among Clean</w:t>
        </w:r>
      </w:hyperlink>
      <w:r>
        <w:rPr>
          <w:rFonts w:ascii="Arial" w:cs="Arial" w:eastAsia="Arial" w:hAnsi="Arial"/>
          <w:sz w:val="18"/>
          <w:szCs w:val="18"/>
          <w:u w:val="single" w:color="auto"/>
          <w:color w:val="0000FF"/>
        </w:rPr>
        <w:t xml:space="preserve"> </w:t>
      </w:r>
      <w:hyperlink w:anchor="page98">
        <w:r>
          <w:rPr>
            <w:rFonts w:ascii="Arial" w:cs="Arial" w:eastAsia="Arial" w:hAnsi="Arial"/>
            <w:sz w:val="18"/>
            <w:szCs w:val="18"/>
            <w:u w:val="single" w:color="auto"/>
            <w:color w:val="0000FF"/>
          </w:rPr>
          <w:t>Harbors, Inc., Clean Harbors Industrial Services Canada, Inc., the Other Loan Parties party</w:t>
        </w:r>
      </w:hyperlink>
      <w:r>
        <w:rPr>
          <w:rFonts w:ascii="Arial" w:cs="Arial" w:eastAsia="Arial" w:hAnsi="Arial"/>
          <w:sz w:val="18"/>
          <w:szCs w:val="18"/>
          <w:u w:val="single" w:color="auto"/>
          <w:color w:val="0000FF"/>
        </w:rPr>
        <w:t xml:space="preserve"> </w:t>
      </w:r>
      <w:hyperlink w:anchor="page98">
        <w:r>
          <w:rPr>
            <w:rFonts w:ascii="Arial" w:cs="Arial" w:eastAsia="Arial" w:hAnsi="Arial"/>
            <w:sz w:val="18"/>
            <w:szCs w:val="18"/>
            <w:u w:val="single" w:color="auto"/>
            <w:color w:val="0000FF"/>
          </w:rPr>
          <w:t>thereto, certain of the Lenders party thereto which constitute the "Required Lenders," and Bank</w:t>
        </w:r>
      </w:hyperlink>
      <w:r>
        <w:rPr>
          <w:rFonts w:ascii="Arial" w:cs="Arial" w:eastAsia="Arial" w:hAnsi="Arial"/>
          <w:sz w:val="18"/>
          <w:szCs w:val="18"/>
          <w:u w:val="single" w:color="auto"/>
          <w:color w:val="0000FF"/>
        </w:rPr>
        <w:t xml:space="preserve"> </w:t>
      </w:r>
      <w:hyperlink w:anchor="page98">
        <w:r>
          <w:rPr>
            <w:rFonts w:ascii="Arial" w:cs="Arial" w:eastAsia="Arial" w:hAnsi="Arial"/>
            <w:sz w:val="18"/>
            <w:szCs w:val="18"/>
            <w:u w:val="single" w:color="auto"/>
            <w:color w:val="0000FF"/>
          </w:rPr>
          <w:t>of America, N.A., as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3" w:lineRule="exact"/>
        <w:rPr>
          <w:rFonts w:ascii="Arial" w:cs="Arial" w:eastAsia="Arial" w:hAnsi="Arial"/>
          <w:sz w:val="18"/>
          <w:szCs w:val="18"/>
          <w:u w:val="single" w:color="auto"/>
          <w:color w:val="0000FF"/>
        </w:rPr>
      </w:pPr>
    </w:p>
    <w:p>
      <w:pPr>
        <w:ind w:left="240"/>
        <w:spacing w:after="0"/>
        <w:rPr>
          <w:sz w:val="20"/>
          <w:szCs w:val="20"/>
          <w:color w:val="auto"/>
        </w:rPr>
      </w:pPr>
      <w:r>
        <w:rPr>
          <w:rFonts w:ascii="Arial" w:cs="Arial" w:eastAsia="Arial" w:hAnsi="Arial"/>
          <w:sz w:val="14"/>
          <w:szCs w:val="14"/>
          <w:b w:val="1"/>
          <w:bCs w:val="1"/>
          <w:color w:val="auto"/>
        </w:rPr>
        <w:t>Location</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-60325</wp:posOffset>
            </wp:positionH>
            <wp:positionV relativeFrom="paragraph">
              <wp:posOffset>23495</wp:posOffset>
            </wp:positionV>
            <wp:extent cx="780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60"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w:t>
      </w:r>
    </w:p>
    <w:p>
      <w:pPr>
        <w:spacing w:after="0" w:line="279"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(2)</w:t>
      </w:r>
    </w:p>
    <w:p>
      <w:pPr>
        <w:spacing w:after="0" w:line="279"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(3)</w:t>
      </w:r>
    </w:p>
    <w:p>
      <w:pPr>
        <w:spacing w:after="0" w:line="279"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(4)</w:t>
      </w:r>
    </w:p>
    <w:p>
      <w:pPr>
        <w:spacing w:after="0" w:line="279"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(5)</w:t>
      </w:r>
    </w:p>
    <w:p>
      <w:pPr>
        <w:spacing w:after="0" w:line="279"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(7)</w:t>
      </w:r>
    </w:p>
    <w:p>
      <w:pPr>
        <w:spacing w:after="0" w:line="279"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(10)</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(12)</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(12)</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(13)</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(14)</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Filed herewith</w:t>
      </w:r>
    </w:p>
    <w:p>
      <w:pPr>
        <w:spacing w:after="0" w:line="249" w:lineRule="exact"/>
        <w:rPr>
          <w:rFonts w:ascii="Arial" w:cs="Arial" w:eastAsia="Arial" w:hAnsi="Arial"/>
          <w:sz w:val="18"/>
          <w:szCs w:val="18"/>
          <w:u w:val="single" w:color="auto"/>
          <w:color w:val="0000FF"/>
        </w:rPr>
      </w:pPr>
    </w:p>
    <w:p>
      <w:pPr>
        <w:sectPr>
          <w:pgSz w:w="11900" w:h="16838" w:orient="portrait"/>
          <w:cols w:equalWidth="0" w:num="2">
            <w:col w:w="8940" w:space="240"/>
            <w:col w:w="1100"/>
          </w:cols>
          <w:pgMar w:left="240" w:top="118" w:right="1379" w:bottom="1440" w:gutter="0" w:footer="0" w:header="0"/>
        </w:sectPr>
      </w:pPr>
    </w:p>
    <w:p>
      <w:pPr>
        <w:spacing w:after="0" w:line="149"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280"/>
          </w:cols>
          <w:pgMar w:left="240" w:top="118" w:right="1379"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left="1220"/>
        <w:spacing w:after="0"/>
        <w:tabs>
          <w:tab w:leader="none" w:pos="5100" w:val="left"/>
        </w:tabs>
        <w:rPr>
          <w:sz w:val="20"/>
          <w:szCs w:val="20"/>
          <w:color w:val="auto"/>
        </w:rPr>
      </w:pPr>
      <w:r>
        <w:rPr>
          <w:rFonts w:ascii="Arial" w:cs="Arial" w:eastAsia="Arial" w:hAnsi="Arial"/>
          <w:sz w:val="14"/>
          <w:szCs w:val="14"/>
          <w:b w:val="1"/>
          <w:bCs w:val="1"/>
          <w:color w:val="auto"/>
        </w:rPr>
        <w:t>Item No.</w:t>
      </w:r>
      <w:r>
        <w:rPr>
          <w:sz w:val="20"/>
          <w:szCs w:val="20"/>
          <w:color w:val="auto"/>
        </w:rPr>
        <w:tab/>
      </w:r>
      <w:r>
        <w:rPr>
          <w:rFonts w:ascii="Arial" w:cs="Arial" w:eastAsia="Arial" w:hAnsi="Arial"/>
          <w:sz w:val="12"/>
          <w:szCs w:val="12"/>
          <w:b w:val="1"/>
          <w:bCs w:val="1"/>
          <w:color w:val="auto"/>
        </w:rPr>
        <w:t>Description</w:t>
      </w:r>
    </w:p>
    <w:p>
      <w:pPr>
        <w:spacing w:after="0" w:line="50" w:lineRule="exact"/>
        <w:rPr>
          <w:sz w:val="20"/>
          <w:szCs w:val="20"/>
          <w:color w:val="auto"/>
        </w:rPr>
      </w:pPr>
    </w:p>
    <w:p>
      <w:pPr>
        <w:ind w:left="2000" w:hanging="503"/>
        <w:spacing w:after="0" w:line="305" w:lineRule="auto"/>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4.43</w:t>
      </w:r>
      <w:r>
        <w:rPr>
          <w:sz w:val="20"/>
          <w:szCs w:val="20"/>
          <w:color w:val="auto"/>
        </w:rPr>
        <w:tab/>
      </w:r>
      <w:hyperlink r:id="rId33">
        <w:r>
          <w:rPr>
            <w:rFonts w:ascii="Arial" w:cs="Arial" w:eastAsia="Arial" w:hAnsi="Arial"/>
            <w:sz w:val="16"/>
            <w:szCs w:val="16"/>
            <w:u w:val="single" w:color="auto"/>
            <w:color w:val="0000FF"/>
          </w:rPr>
          <w:t>Credit Agreement dated as of June 30, 2017, among the Financial Institutions party thereto, as</w:t>
        </w:r>
      </w:hyperlink>
      <w:r>
        <w:rPr>
          <w:rFonts w:ascii="Arial" w:cs="Arial" w:eastAsia="Arial" w:hAnsi="Arial"/>
          <w:sz w:val="16"/>
          <w:szCs w:val="16"/>
          <w:u w:val="single" w:color="auto"/>
          <w:color w:val="0000FF"/>
        </w:rPr>
        <w:t xml:space="preserve"> </w:t>
      </w:r>
      <w:hyperlink r:id="rId33">
        <w:r>
          <w:rPr>
            <w:rFonts w:ascii="Arial" w:cs="Arial" w:eastAsia="Arial" w:hAnsi="Arial"/>
            <w:sz w:val="16"/>
            <w:szCs w:val="16"/>
            <w:u w:val="single" w:color="auto"/>
            <w:color w:val="0000FF"/>
          </w:rPr>
          <w:t>Lenders, Goldman Sachs Lending Partners LLC, as Administrative Agent and Collateral Agent,</w:t>
        </w:r>
      </w:hyperlink>
      <w:r>
        <w:rPr>
          <w:rFonts w:ascii="Arial" w:cs="Arial" w:eastAsia="Arial" w:hAnsi="Arial"/>
          <w:sz w:val="16"/>
          <w:szCs w:val="16"/>
          <w:u w:val="single" w:color="auto"/>
          <w:color w:val="0000FF"/>
        </w:rPr>
        <w:t xml:space="preserve"> </w:t>
      </w:r>
      <w:hyperlink r:id="rId33">
        <w:r>
          <w:rPr>
            <w:rFonts w:ascii="Arial" w:cs="Arial" w:eastAsia="Arial" w:hAnsi="Arial"/>
            <w:sz w:val="16"/>
            <w:szCs w:val="16"/>
            <w:u w:val="single" w:color="auto"/>
            <w:color w:val="0000FF"/>
          </w:rPr>
          <w:t>Clean Harbors, Inc., as Borrower, and the Loan Guarantors from time to time party thereto</w:t>
        </w:r>
      </w:hyperlink>
    </w:p>
    <w:p>
      <w:pPr>
        <w:spacing w:after="0" w:line="1" w:lineRule="exact"/>
        <w:rPr>
          <w:rFonts w:ascii="Arial" w:cs="Arial" w:eastAsia="Arial" w:hAnsi="Arial"/>
          <w:sz w:val="16"/>
          <w:szCs w:val="16"/>
          <w:u w:val="single" w:color="auto"/>
          <w:color w:val="0000FF"/>
        </w:rPr>
      </w:pPr>
    </w:p>
    <w:p>
      <w:pPr>
        <w:jc w:val="both"/>
        <w:ind w:left="2000" w:right="140" w:hanging="633"/>
        <w:spacing w:after="0" w:line="264"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4.43A</w:t>
      </w:r>
      <w:r>
        <w:rPr>
          <w:sz w:val="20"/>
          <w:szCs w:val="20"/>
          <w:color w:val="auto"/>
        </w:rPr>
        <w:tab/>
      </w:r>
      <w:hyperlink r:id="rId34">
        <w:r>
          <w:rPr>
            <w:rFonts w:ascii="Arial" w:cs="Arial" w:eastAsia="Arial" w:hAnsi="Arial"/>
            <w:sz w:val="18"/>
            <w:szCs w:val="18"/>
            <w:u w:val="single" w:color="auto"/>
            <w:color w:val="0000FF"/>
          </w:rPr>
          <w:t>Security Agreement dated as of June 30, 2017, among Clean Harbors, Inc. and its subsidiaries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listed on Annex A thereto or that become a party thereto as the Grantors, and Goldman Sachs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Lending Partners LLC, as the Agent</w:t>
        </w:r>
      </w:hyperlink>
    </w:p>
    <w:p>
      <w:pPr>
        <w:spacing w:after="0" w:line="19" w:lineRule="exact"/>
        <w:rPr>
          <w:rFonts w:ascii="Arial" w:cs="Arial" w:eastAsia="Arial" w:hAnsi="Arial"/>
          <w:sz w:val="18"/>
          <w:szCs w:val="18"/>
          <w:u w:val="single" w:color="auto"/>
          <w:color w:val="0000FF"/>
        </w:rPr>
      </w:pPr>
    </w:p>
    <w:p>
      <w:pPr>
        <w:ind w:left="2000" w:right="20" w:hanging="62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4.43B</w:t>
      </w:r>
      <w:r>
        <w:rPr>
          <w:sz w:val="20"/>
          <w:szCs w:val="20"/>
          <w:color w:val="auto"/>
        </w:rPr>
        <w:tab/>
      </w:r>
      <w:hyperlink r:id="rId35">
        <w:r>
          <w:rPr>
            <w:rFonts w:ascii="Arial" w:cs="Arial" w:eastAsia="Arial" w:hAnsi="Arial"/>
            <w:sz w:val="18"/>
            <w:szCs w:val="18"/>
            <w:u w:val="single" w:color="auto"/>
            <w:color w:val="0000FF"/>
          </w:rPr>
          <w:t>First Amendment to Credit Agreement dated as of June 30, 2017, among the Financial</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Institutions party thereto, as Lenders, Goldman Sachs Lending Partners LLC, as Administrative</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Agent and Collateral Agent, Clean Harbors, Inc., as Borrower, and the Loan Guarantors from</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time to time party thereto.</w:t>
        </w:r>
      </w:hyperlink>
    </w:p>
    <w:p>
      <w:pPr>
        <w:spacing w:after="0" w:line="25" w:lineRule="exact"/>
        <w:rPr>
          <w:rFonts w:ascii="Arial" w:cs="Arial" w:eastAsia="Arial" w:hAnsi="Arial"/>
          <w:sz w:val="18"/>
          <w:szCs w:val="18"/>
          <w:u w:val="single" w:color="auto"/>
          <w:color w:val="0000FF"/>
        </w:rPr>
      </w:pPr>
    </w:p>
    <w:p>
      <w:pPr>
        <w:ind w:left="2000" w:right="20" w:hanging="623"/>
        <w:spacing w:after="0" w:line="259"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4.43C</w:t>
      </w:r>
      <w:r>
        <w:rPr>
          <w:sz w:val="20"/>
          <w:szCs w:val="20"/>
          <w:color w:val="auto"/>
        </w:rPr>
        <w:tab/>
      </w:r>
      <w:hyperlink r:id="rId36">
        <w:r>
          <w:rPr>
            <w:rFonts w:ascii="Arial" w:cs="Arial" w:eastAsia="Arial" w:hAnsi="Arial"/>
            <w:sz w:val="18"/>
            <w:szCs w:val="18"/>
            <w:u w:val="single" w:color="auto"/>
            <w:color w:val="0000FF"/>
          </w:rPr>
          <w:t>Incremental Facility Amendment dated July 19, 2018, to Credit Agreement dated as of June 30,</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2017, among the Financial Institutions party thereto, as Lenders, Goldman Sachs Lending</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Partners LLC, as Administrative Agent and Collateral Agent, Clean Harbors, Inc., as Borrower,</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and the Loan Guarantors from time to time party thereto</w:t>
        </w:r>
      </w:hyperlink>
    </w:p>
    <w:p>
      <w:pPr>
        <w:spacing w:after="0" w:line="25" w:lineRule="exact"/>
        <w:rPr>
          <w:rFonts w:ascii="Arial" w:cs="Arial" w:eastAsia="Arial" w:hAnsi="Arial"/>
          <w:sz w:val="18"/>
          <w:szCs w:val="18"/>
          <w:u w:val="single" w:color="auto"/>
          <w:color w:val="0000FF"/>
        </w:rPr>
      </w:pPr>
    </w:p>
    <w:p>
      <w:pPr>
        <w:ind w:left="2000" w:right="160" w:hanging="503"/>
        <w:spacing w:after="0" w:line="257"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4.44</w:t>
      </w:r>
      <w:r>
        <w:rPr>
          <w:sz w:val="20"/>
          <w:szCs w:val="20"/>
          <w:color w:val="auto"/>
        </w:rPr>
        <w:tab/>
      </w:r>
      <w:hyperlink r:id="rId37">
        <w:r>
          <w:rPr>
            <w:rFonts w:ascii="Arial" w:cs="Arial" w:eastAsia="Arial" w:hAnsi="Arial"/>
            <w:sz w:val="18"/>
            <w:szCs w:val="18"/>
            <w:u w:val="single" w:color="auto"/>
            <w:color w:val="0000FF"/>
          </w:rPr>
          <w:t>Intercreditor Agreement dated as of June 30, 2017, among Clean Harbors, Inc., and the</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subsidiaries of Clean Harbors, Inc. listed on the signature pages thereto (together with any</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subsidiary that becomes a party thereto after the date thereof), Bank of America, N.A., as the</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Initial ABL Agent, and Goldman Sachs Lending Partners LLC, as agent under the Term Loan</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Agreement</w:t>
        </w:r>
      </w:hyperlink>
    </w:p>
    <w:p>
      <w:pPr>
        <w:spacing w:after="0" w:line="26" w:lineRule="exact"/>
        <w:rPr>
          <w:rFonts w:ascii="Arial" w:cs="Arial" w:eastAsia="Arial" w:hAnsi="Arial"/>
          <w:sz w:val="18"/>
          <w:szCs w:val="18"/>
          <w:u w:val="single" w:color="auto"/>
          <w:color w:val="0000FF"/>
        </w:rPr>
      </w:pPr>
    </w:p>
    <w:p>
      <w:pPr>
        <w:ind w:left="2000" w:right="320" w:hanging="503"/>
        <w:spacing w:after="0" w:line="264"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4.45</w:t>
      </w:r>
      <w:r>
        <w:rPr>
          <w:sz w:val="20"/>
          <w:szCs w:val="20"/>
          <w:color w:val="auto"/>
        </w:rPr>
        <w:tab/>
      </w:r>
      <w:hyperlink r:id="rId38">
        <w:r>
          <w:rPr>
            <w:rFonts w:ascii="Arial" w:cs="Arial" w:eastAsia="Arial" w:hAnsi="Arial"/>
            <w:sz w:val="18"/>
            <w:szCs w:val="18"/>
            <w:u w:val="single" w:color="auto"/>
            <w:color w:val="0000FF"/>
          </w:rPr>
          <w:t>Indenture dated as of July 2, 2019, among Clean Harbors, Inc., as Issuer, the subsidiaries of</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Clean Harbors, Inc. named therein as Guarantors, and U.S. Bank National Association, as</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Trustee</w:t>
        </w:r>
      </w:hyperlink>
    </w:p>
    <w:p>
      <w:pPr>
        <w:spacing w:after="0" w:line="19" w:lineRule="exact"/>
        <w:rPr>
          <w:rFonts w:ascii="Arial" w:cs="Arial" w:eastAsia="Arial" w:hAnsi="Arial"/>
          <w:sz w:val="18"/>
          <w:szCs w:val="18"/>
          <w:u w:val="single" w:color="auto"/>
          <w:color w:val="0000FF"/>
        </w:rPr>
      </w:pPr>
    </w:p>
    <w:p>
      <w:pPr>
        <w:ind w:left="130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10.43*</w:t>
      </w:r>
      <w:r>
        <w:rPr>
          <w:sz w:val="20"/>
          <w:szCs w:val="20"/>
          <w:color w:val="auto"/>
        </w:rPr>
        <w:tab/>
      </w:r>
      <w:hyperlink r:id="rId39">
        <w:r>
          <w:rPr>
            <w:rFonts w:ascii="Arial" w:cs="Arial" w:eastAsia="Arial" w:hAnsi="Arial"/>
            <w:sz w:val="16"/>
            <w:szCs w:val="16"/>
            <w:u w:val="single" w:color="auto"/>
            <w:color w:val="0000FF"/>
          </w:rPr>
          <w:t>Key Employee Retention Plan</w:t>
        </w:r>
      </w:hyperlink>
    </w:p>
    <w:p>
      <w:pPr>
        <w:spacing w:after="0" w:line="63" w:lineRule="exact"/>
        <w:rPr>
          <w:rFonts w:ascii="Arial" w:cs="Arial" w:eastAsia="Arial" w:hAnsi="Arial"/>
          <w:sz w:val="18"/>
          <w:szCs w:val="18"/>
          <w:u w:val="single" w:color="auto"/>
          <w:color w:val="0000FF"/>
        </w:rPr>
      </w:pPr>
    </w:p>
    <w:p>
      <w:pPr>
        <w:ind w:left="2000" w:right="200" w:hanging="813"/>
        <w:spacing w:after="0" w:line="277"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10.43A*</w:t>
      </w:r>
      <w:r>
        <w:rPr>
          <w:sz w:val="20"/>
          <w:szCs w:val="20"/>
          <w:color w:val="auto"/>
        </w:rPr>
        <w:tab/>
      </w:r>
      <w:hyperlink r:id="rId40">
        <w:r>
          <w:rPr>
            <w:rFonts w:ascii="Arial" w:cs="Arial" w:eastAsia="Arial" w:hAnsi="Arial"/>
            <w:sz w:val="18"/>
            <w:szCs w:val="18"/>
            <w:u w:val="single" w:color="auto"/>
            <w:color w:val="0000FF"/>
          </w:rPr>
          <w:t>Form of Severance Agreement under Key Employee Retention Plan with Confidentiality and</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Non-Competition Agreement</w:t>
        </w:r>
      </w:hyperlink>
    </w:p>
    <w:p>
      <w:pPr>
        <w:spacing w:after="0" w:line="8" w:lineRule="exact"/>
        <w:rPr>
          <w:sz w:val="20"/>
          <w:szCs w:val="20"/>
          <w:color w:val="auto"/>
        </w:rPr>
      </w:pPr>
    </w:p>
    <w:p>
      <w:pPr>
        <w:ind w:left="118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10.52C*</w:t>
      </w:r>
      <w:r>
        <w:rPr>
          <w:sz w:val="20"/>
          <w:szCs w:val="20"/>
          <w:color w:val="auto"/>
        </w:rPr>
        <w:tab/>
      </w:r>
      <w:hyperlink r:id="rId41">
        <w:r>
          <w:rPr>
            <w:rFonts w:ascii="Arial" w:cs="Arial" w:eastAsia="Arial" w:hAnsi="Arial"/>
            <w:sz w:val="16"/>
            <w:szCs w:val="16"/>
            <w:u w:val="single" w:color="auto"/>
            <w:color w:val="0000FF"/>
          </w:rPr>
          <w:t>Clean Harbors, Inc. Management Incentive Plan [as amended and restated effective January 1,</w:t>
        </w:r>
      </w:hyperlink>
    </w:p>
    <w:p>
      <w:pPr>
        <w:spacing w:after="0" w:line="23" w:lineRule="exact"/>
        <w:rPr>
          <w:sz w:val="20"/>
          <w:szCs w:val="20"/>
          <w:color w:val="auto"/>
        </w:rPr>
      </w:pPr>
    </w:p>
    <w:p>
      <w:pPr>
        <w:ind w:left="200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2017]</w:t>
        </w:r>
      </w:hyperlink>
    </w:p>
    <w:p>
      <w:pPr>
        <w:spacing w:after="0" w:line="49" w:lineRule="exact"/>
        <w:rPr>
          <w:sz w:val="20"/>
          <w:szCs w:val="20"/>
          <w:color w:val="auto"/>
        </w:rPr>
      </w:pPr>
    </w:p>
    <w:p>
      <w:pPr>
        <w:ind w:left="130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10.54*</w:t>
      </w:r>
      <w:r>
        <w:rPr>
          <w:sz w:val="20"/>
          <w:szCs w:val="20"/>
          <w:color w:val="auto"/>
        </w:rPr>
        <w:tab/>
      </w:r>
      <w:hyperlink r:id="rId42">
        <w:r>
          <w:rPr>
            <w:rFonts w:ascii="Arial" w:cs="Arial" w:eastAsia="Arial" w:hAnsi="Arial"/>
            <w:sz w:val="16"/>
            <w:szCs w:val="16"/>
            <w:u w:val="single" w:color="auto"/>
            <w:color w:val="0000FF"/>
          </w:rPr>
          <w:t>Clean Harbors, Inc. 2010 Stock Incentive Plan [as amended on May 10, 2010]</w:t>
        </w:r>
      </w:hyperlink>
    </w:p>
    <w:p>
      <w:pPr>
        <w:spacing w:after="0" w:line="63" w:lineRule="exact"/>
        <w:rPr>
          <w:sz w:val="20"/>
          <w:szCs w:val="20"/>
          <w:color w:val="auto"/>
        </w:rPr>
      </w:pPr>
    </w:p>
    <w:p>
      <w:pPr>
        <w:ind w:left="118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10.54A*</w:t>
      </w:r>
      <w:r>
        <w:rPr>
          <w:sz w:val="20"/>
          <w:szCs w:val="20"/>
          <w:color w:val="auto"/>
        </w:rPr>
        <w:tab/>
      </w:r>
      <w:hyperlink r:id="rId43">
        <w:r>
          <w:rPr>
            <w:rFonts w:ascii="Arial" w:cs="Arial" w:eastAsia="Arial" w:hAnsi="Arial"/>
            <w:sz w:val="16"/>
            <w:szCs w:val="16"/>
            <w:u w:val="single" w:color="auto"/>
            <w:color w:val="0000FF"/>
          </w:rPr>
          <w:t>Revised form of Restricted Stock Award Agreement [Non-Employee Director] [for use under</w:t>
        </w:r>
      </w:hyperlink>
    </w:p>
    <w:p>
      <w:pPr>
        <w:spacing w:after="0" w:line="23" w:lineRule="exact"/>
        <w:rPr>
          <w:sz w:val="20"/>
          <w:szCs w:val="20"/>
          <w:color w:val="auto"/>
        </w:rPr>
      </w:pPr>
    </w:p>
    <w:p>
      <w:pPr>
        <w:ind w:left="2000"/>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2010 Stock Incentive Plan]</w:t>
        </w:r>
      </w:hyperlink>
    </w:p>
    <w:p>
      <w:pPr>
        <w:spacing w:after="0" w:line="49" w:lineRule="exact"/>
        <w:rPr>
          <w:sz w:val="20"/>
          <w:szCs w:val="20"/>
          <w:color w:val="auto"/>
        </w:rPr>
      </w:pPr>
    </w:p>
    <w:p>
      <w:pPr>
        <w:ind w:left="2000" w:right="740" w:hanging="803"/>
        <w:spacing w:after="0" w:line="277"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10.54B*</w:t>
      </w:r>
      <w:r>
        <w:rPr>
          <w:sz w:val="20"/>
          <w:szCs w:val="20"/>
          <w:color w:val="auto"/>
        </w:rPr>
        <w:tab/>
      </w:r>
      <w:hyperlink r:id="rId44">
        <w:r>
          <w:rPr>
            <w:rFonts w:ascii="Arial" w:cs="Arial" w:eastAsia="Arial" w:hAnsi="Arial"/>
            <w:sz w:val="18"/>
            <w:szCs w:val="18"/>
            <w:u w:val="single" w:color="auto"/>
            <w:color w:val="0000FF"/>
          </w:rPr>
          <w:t>Revised form of Restricted Stock Award Agreement [Employee] [for use under Clean</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Harbors, Inc. 2010 Stock Incentive Plan]</w:t>
        </w:r>
      </w:hyperlink>
    </w:p>
    <w:p>
      <w:pPr>
        <w:spacing w:after="0" w:line="8" w:lineRule="exact"/>
        <w:rPr>
          <w:sz w:val="20"/>
          <w:szCs w:val="20"/>
          <w:color w:val="auto"/>
        </w:rPr>
      </w:pPr>
    </w:p>
    <w:p>
      <w:pPr>
        <w:ind w:left="2000" w:right="160" w:hanging="803"/>
        <w:spacing w:after="0" w:line="277" w:lineRule="auto"/>
        <w:tabs>
          <w:tab w:leader="none" w:pos="1980" w:val="left"/>
        </w:tabs>
        <w:rPr>
          <w:rFonts w:ascii="Arial" w:cs="Arial" w:eastAsia="Arial" w:hAnsi="Arial"/>
          <w:sz w:val="18"/>
          <w:szCs w:val="18"/>
          <w:u w:val="single" w:color="auto"/>
          <w:color w:val="0000FF"/>
        </w:rPr>
      </w:pPr>
      <w:r>
        <w:rPr>
          <w:rFonts w:ascii="Arial" w:cs="Arial" w:eastAsia="Arial" w:hAnsi="Arial"/>
          <w:sz w:val="18"/>
          <w:szCs w:val="18"/>
          <w:color w:val="auto"/>
        </w:rPr>
        <w:t>10.54C*</w:t>
      </w:r>
      <w:r>
        <w:rPr>
          <w:sz w:val="20"/>
          <w:szCs w:val="20"/>
          <w:color w:val="auto"/>
        </w:rPr>
        <w:tab/>
      </w:r>
      <w:hyperlink r:id="rId45">
        <w:r>
          <w:rPr>
            <w:rFonts w:ascii="Arial" w:cs="Arial" w:eastAsia="Arial" w:hAnsi="Arial"/>
            <w:sz w:val="18"/>
            <w:szCs w:val="18"/>
            <w:u w:val="single" w:color="auto"/>
            <w:color w:val="0000FF"/>
          </w:rPr>
          <w:t>Revised form of Performance-Based Restricted Stock Award Agreement [for use under Clean</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Harbors, Inc. 2010 Stock Incentive Plan]</w:t>
        </w:r>
      </w:hyperlink>
    </w:p>
    <w:p>
      <w:pPr>
        <w:spacing w:after="0" w:line="8" w:lineRule="exact"/>
        <w:rPr>
          <w:sz w:val="20"/>
          <w:szCs w:val="20"/>
          <w:color w:val="auto"/>
        </w:rPr>
      </w:pPr>
    </w:p>
    <w:p>
      <w:pPr>
        <w:ind w:left="118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10.54D*</w:t>
      </w:r>
      <w:r>
        <w:rPr>
          <w:sz w:val="20"/>
          <w:szCs w:val="20"/>
          <w:color w:val="auto"/>
        </w:rPr>
        <w:tab/>
      </w:r>
      <w:hyperlink r:id="rId46">
        <w:r>
          <w:rPr>
            <w:rFonts w:ascii="Arial" w:cs="Arial" w:eastAsia="Arial" w:hAnsi="Arial"/>
            <w:sz w:val="16"/>
            <w:szCs w:val="16"/>
            <w:u w:val="single" w:color="auto"/>
            <w:color w:val="0000FF"/>
          </w:rPr>
          <w:t>Amendment to Section 8 and 10(i) of the Company’s 2010 Stock Incentive Plan</w:t>
        </w:r>
      </w:hyperlink>
    </w:p>
    <w:p>
      <w:pPr>
        <w:spacing w:after="0" w:line="63" w:lineRule="exact"/>
        <w:rPr>
          <w:sz w:val="20"/>
          <w:szCs w:val="20"/>
          <w:color w:val="auto"/>
        </w:rPr>
      </w:pPr>
    </w:p>
    <w:p>
      <w:pPr>
        <w:ind w:left="130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10.56*</w:t>
      </w:r>
      <w:r>
        <w:rPr>
          <w:sz w:val="20"/>
          <w:szCs w:val="20"/>
          <w:color w:val="auto"/>
        </w:rPr>
        <w:tab/>
      </w:r>
      <w:hyperlink r:id="rId47">
        <w:r>
          <w:rPr>
            <w:rFonts w:ascii="Arial" w:cs="Arial" w:eastAsia="Arial" w:hAnsi="Arial"/>
            <w:sz w:val="16"/>
            <w:szCs w:val="16"/>
            <w:u w:val="single" w:color="auto"/>
            <w:color w:val="0000FF"/>
          </w:rPr>
          <w:t>Mike Battles accepted offer letter effective as of January 6, 2016</w:t>
        </w:r>
      </w:hyperlink>
    </w:p>
    <w:p>
      <w:pPr>
        <w:spacing w:after="0" w:line="63" w:lineRule="exact"/>
        <w:rPr>
          <w:sz w:val="20"/>
          <w:szCs w:val="20"/>
          <w:color w:val="auto"/>
        </w:rPr>
      </w:pPr>
    </w:p>
    <w:p>
      <w:pPr>
        <w:ind w:left="130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10.57*</w:t>
      </w:r>
      <w:r>
        <w:rPr>
          <w:sz w:val="20"/>
          <w:szCs w:val="20"/>
          <w:color w:val="auto"/>
        </w:rPr>
        <w:tab/>
      </w:r>
      <w:hyperlink r:id="rId48">
        <w:r>
          <w:rPr>
            <w:rFonts w:ascii="Arial" w:cs="Arial" w:eastAsia="Arial" w:hAnsi="Arial"/>
            <w:sz w:val="16"/>
            <w:szCs w:val="16"/>
            <w:u w:val="single" w:color="auto"/>
            <w:color w:val="0000FF"/>
          </w:rPr>
          <w:t>Clean Harbors, Inc. 2019 CEO Annual Incentive Bonus Plan</w:t>
        </w:r>
      </w:hyperlink>
    </w:p>
    <w:p>
      <w:pPr>
        <w:spacing w:after="0" w:line="63" w:lineRule="exact"/>
        <w:rPr>
          <w:sz w:val="20"/>
          <w:szCs w:val="20"/>
          <w:color w:val="auto"/>
        </w:rPr>
      </w:pPr>
    </w:p>
    <w:p>
      <w:pPr>
        <w:ind w:left="2000" w:hanging="376"/>
        <w:spacing w:after="0"/>
        <w:tabs>
          <w:tab w:leader="none" w:pos="2000" w:val="left"/>
        </w:tabs>
        <w:numPr>
          <w:ilvl w:val="0"/>
          <w:numId w:val="36"/>
        </w:numPr>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Subsidiaries</w:t>
        </w:r>
      </w:hyperlink>
    </w:p>
    <w:p>
      <w:pPr>
        <w:spacing w:after="0" w:line="63" w:lineRule="exact"/>
        <w:rPr>
          <w:sz w:val="20"/>
          <w:szCs w:val="20"/>
          <w:color w:val="auto"/>
        </w:rPr>
      </w:pPr>
    </w:p>
    <w:p>
      <w:pPr>
        <w:ind w:left="2000" w:hanging="376"/>
        <w:spacing w:after="0"/>
        <w:tabs>
          <w:tab w:leader="none" w:pos="2000" w:val="left"/>
        </w:tabs>
        <w:numPr>
          <w:ilvl w:val="0"/>
          <w:numId w:val="37"/>
        </w:numPr>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Consent of Independent Registered Public Accounting Firm</w:t>
        </w:r>
      </w:hyperlink>
    </w:p>
    <w:p>
      <w:pPr>
        <w:spacing w:after="0" w:line="63" w:lineRule="exact"/>
        <w:rPr>
          <w:rFonts w:ascii="Arial" w:cs="Arial" w:eastAsia="Arial" w:hAnsi="Arial"/>
          <w:sz w:val="18"/>
          <w:szCs w:val="18"/>
          <w:u w:val="single" w:color="auto"/>
          <w:color w:val="0000FF"/>
        </w:rPr>
      </w:pPr>
    </w:p>
    <w:p>
      <w:pPr>
        <w:ind w:left="2000" w:hanging="376"/>
        <w:spacing w:after="0"/>
        <w:tabs>
          <w:tab w:leader="none" w:pos="2000" w:val="left"/>
        </w:tabs>
        <w:numPr>
          <w:ilvl w:val="0"/>
          <w:numId w:val="37"/>
        </w:numPr>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Power of Attorney</w:t>
        </w:r>
      </w:hyperlink>
    </w:p>
    <w:p>
      <w:pPr>
        <w:spacing w:after="0" w:line="63" w:lineRule="exact"/>
        <w:rPr>
          <w:rFonts w:ascii="Arial" w:cs="Arial" w:eastAsia="Arial" w:hAnsi="Arial"/>
          <w:sz w:val="18"/>
          <w:szCs w:val="18"/>
          <w:color w:val="auto"/>
        </w:rPr>
      </w:pPr>
    </w:p>
    <w:p>
      <w:pPr>
        <w:ind w:left="148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27">
        <w:r>
          <w:rPr>
            <w:rFonts w:ascii="Arial" w:cs="Arial" w:eastAsia="Arial" w:hAnsi="Arial"/>
            <w:sz w:val="16"/>
            <w:szCs w:val="16"/>
            <w:u w:val="single" w:color="auto"/>
            <w:color w:val="0000FF"/>
          </w:rPr>
          <w:t>Rule 13a-14a/15d-14(a) Certification of the CEO Alan S. McKim</w:t>
        </w:r>
      </w:hyperlink>
    </w:p>
    <w:p>
      <w:pPr>
        <w:spacing w:after="0" w:line="63" w:lineRule="exact"/>
        <w:rPr>
          <w:rFonts w:ascii="Arial" w:cs="Arial" w:eastAsia="Arial" w:hAnsi="Arial"/>
          <w:sz w:val="18"/>
          <w:szCs w:val="18"/>
          <w:color w:val="auto"/>
        </w:rPr>
      </w:pPr>
    </w:p>
    <w:p>
      <w:pPr>
        <w:ind w:left="148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28">
        <w:r>
          <w:rPr>
            <w:rFonts w:ascii="Arial" w:cs="Arial" w:eastAsia="Arial" w:hAnsi="Arial"/>
            <w:sz w:val="16"/>
            <w:szCs w:val="16"/>
            <w:u w:val="single" w:color="auto"/>
            <w:color w:val="0000FF"/>
          </w:rPr>
          <w:t>Rule 13a-14a/15d-14(a) Certification of the CFO Michael L. Battles</w:t>
        </w:r>
      </w:hyperlink>
    </w:p>
    <w:p>
      <w:pPr>
        <w:spacing w:after="0" w:line="63" w:lineRule="exact"/>
        <w:rPr>
          <w:rFonts w:ascii="Arial" w:cs="Arial" w:eastAsia="Arial" w:hAnsi="Arial"/>
          <w:sz w:val="18"/>
          <w:szCs w:val="18"/>
          <w:color w:val="auto"/>
        </w:rPr>
      </w:pPr>
    </w:p>
    <w:p>
      <w:pPr>
        <w:ind w:left="2000" w:hanging="376"/>
        <w:spacing w:after="0"/>
        <w:tabs>
          <w:tab w:leader="none" w:pos="2000" w:val="left"/>
        </w:tabs>
        <w:numPr>
          <w:ilvl w:val="0"/>
          <w:numId w:val="38"/>
        </w:numPr>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Section 1350 Certifications</w:t>
        </w:r>
      </w:hyperlink>
    </w:p>
    <w:p>
      <w:pPr>
        <w:spacing w:after="0" w:line="63" w:lineRule="exact"/>
        <w:rPr>
          <w:rFonts w:ascii="Arial" w:cs="Arial" w:eastAsia="Arial" w:hAnsi="Arial"/>
          <w:sz w:val="18"/>
          <w:szCs w:val="18"/>
          <w:color w:val="auto"/>
        </w:rPr>
      </w:pPr>
    </w:p>
    <w:p>
      <w:pPr>
        <w:ind w:left="2000" w:right="180" w:hanging="466"/>
        <w:spacing w:after="0" w:line="273" w:lineRule="auto"/>
        <w:tabs>
          <w:tab w:leader="none" w:pos="2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10-K for the fiscal year ended December 31, 2019, formatted in iXBRL (Inline eXtensible Business Reporting Language): (i) Consolidated Balance Sheets, (ii) Consolidated Statements of Operations, (iii) Consolidated Statements of Comprehensive Income, (iv) Consolidated Statements of Cash Flows, (v) Consolidated Statements of Stockholders' Equity and (vi) Notes to Consolidated Financial Statements, tagged as blocks of text</w:t>
      </w:r>
    </w:p>
    <w:p>
      <w:pPr>
        <w:spacing w:after="0" w:line="138" w:lineRule="exact"/>
        <w:rPr>
          <w:rFonts w:ascii="Arial" w:cs="Arial" w:eastAsia="Arial" w:hAnsi="Arial"/>
          <w:sz w:val="18"/>
          <w:szCs w:val="18"/>
          <w:color w:val="auto"/>
        </w:rPr>
      </w:pPr>
    </w:p>
    <w:p>
      <w:pPr>
        <w:ind w:left="2000" w:right="600" w:hanging="466"/>
        <w:spacing w:after="0" w:line="308" w:lineRule="auto"/>
        <w:tabs>
          <w:tab w:leader="none" w:pos="2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Cover page from the Company's Annual Report on Form 10-K for the fiscal year ended December 31, 2019, formatted in iXBRL and contained in Exhibit 101.</w:t>
      </w:r>
    </w:p>
    <w:p>
      <w:pPr>
        <w:spacing w:after="0" w:line="9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_______________________________________________</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387" w:lineRule="exact"/>
        <w:rPr>
          <w:rFonts w:ascii="Arial" w:cs="Arial" w:eastAsia="Arial" w:hAnsi="Arial"/>
          <w:sz w:val="18"/>
          <w:szCs w:val="18"/>
          <w:color w:val="auto"/>
        </w:rPr>
      </w:pPr>
    </w:p>
    <w:p>
      <w:pPr>
        <w:jc w:val="center"/>
        <w:ind w:right="300"/>
        <w:spacing w:after="0"/>
        <w:rPr>
          <w:sz w:val="20"/>
          <w:szCs w:val="20"/>
          <w:color w:val="auto"/>
        </w:rPr>
      </w:pPr>
      <w:r>
        <w:rPr>
          <w:rFonts w:ascii="Arial" w:cs="Arial" w:eastAsia="Arial" w:hAnsi="Arial"/>
          <w:sz w:val="14"/>
          <w:szCs w:val="14"/>
          <w:b w:val="1"/>
          <w:bCs w:val="1"/>
          <w:color w:val="auto"/>
        </w:rPr>
        <w:t>Location</w:t>
      </w: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(12)</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(12)</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(14)</w:t>
      </w:r>
    </w:p>
    <w:p>
      <w:pPr>
        <w:spacing w:after="0" w:line="63"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(16)</w:t>
      </w:r>
    </w:p>
    <w:p>
      <w:pPr>
        <w:spacing w:after="0" w:line="279"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(17)</w:t>
      </w:r>
    </w:p>
    <w:p>
      <w:pPr>
        <w:spacing w:after="0" w:line="279"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(18)</w:t>
      </w:r>
    </w:p>
    <w:p>
      <w:pPr>
        <w:spacing w:after="0" w:line="63"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(19)</w:t>
      </w:r>
    </w:p>
    <w:p>
      <w:pPr>
        <w:spacing w:after="0" w:line="279"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(17)</w:t>
      </w:r>
    </w:p>
    <w:p>
      <w:pPr>
        <w:spacing w:after="0" w:line="279"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(17)</w:t>
      </w:r>
    </w:p>
    <w:p>
      <w:pPr>
        <w:spacing w:after="0" w:line="279"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(17)</w:t>
      </w:r>
    </w:p>
    <w:p>
      <w:pPr>
        <w:spacing w:after="0" w:line="63"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(20)</w:t>
      </w:r>
    </w:p>
    <w:p>
      <w:pPr>
        <w:spacing w:after="0" w:line="63"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(21)</w:t>
      </w:r>
    </w:p>
    <w:p>
      <w:pPr>
        <w:spacing w:after="0" w:line="63" w:lineRule="exact"/>
        <w:rPr>
          <w:rFonts w:ascii="Arial" w:cs="Arial" w:eastAsia="Arial" w:hAnsi="Arial"/>
          <w:sz w:val="18"/>
          <w:szCs w:val="18"/>
          <w:color w:val="auto"/>
        </w:rPr>
      </w:pPr>
    </w:p>
    <w:p>
      <w:pPr>
        <w:ind w:left="800"/>
        <w:spacing w:after="0"/>
        <w:rPr>
          <w:sz w:val="20"/>
          <w:szCs w:val="20"/>
          <w:color w:val="auto"/>
        </w:rPr>
      </w:pPr>
      <w:r>
        <w:rPr>
          <w:rFonts w:ascii="Arial" w:cs="Arial" w:eastAsia="Arial" w:hAnsi="Arial"/>
          <w:sz w:val="16"/>
          <w:szCs w:val="16"/>
          <w:color w:val="auto"/>
        </w:rPr>
        <w:t>(22)</w:t>
      </w:r>
    </w:p>
    <w:p>
      <w:pPr>
        <w:spacing w:after="0" w:line="8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5" w:lineRule="exact"/>
        <w:rPr>
          <w:rFonts w:ascii="Arial" w:cs="Arial" w:eastAsia="Arial" w:hAnsi="Arial"/>
          <w:sz w:val="18"/>
          <w:szCs w:val="18"/>
          <w:color w:val="auto"/>
        </w:rPr>
      </w:pPr>
    </w:p>
    <w:p>
      <w:pPr>
        <w:jc w:val="right"/>
        <w:ind w:right="240"/>
        <w:spacing w:after="0"/>
        <w:rPr>
          <w:sz w:val="20"/>
          <w:szCs w:val="20"/>
          <w:color w:val="auto"/>
        </w:rPr>
      </w:pPr>
      <w:r>
        <w:rPr>
          <w:rFonts w:ascii="Arial" w:cs="Arial" w:eastAsia="Arial" w:hAnsi="Arial"/>
          <w:sz w:val="18"/>
          <w:szCs w:val="18"/>
          <w:color w:val="auto"/>
        </w:rPr>
        <w:t>(23)</w:t>
      </w:r>
    </w:p>
    <w:p>
      <w:pPr>
        <w:spacing w:after="0" w:line="1129" w:lineRule="exact"/>
        <w:rPr>
          <w:rFonts w:ascii="Arial" w:cs="Arial" w:eastAsia="Arial" w:hAnsi="Arial"/>
          <w:sz w:val="18"/>
          <w:szCs w:val="18"/>
          <w:color w:val="auto"/>
        </w:rPr>
      </w:pPr>
    </w:p>
    <w:p>
      <w:pPr>
        <w:sectPr>
          <w:pgSz w:w="11900" w:h="16838" w:orient="portrait"/>
          <w:cols w:equalWidth="0" w:num="2">
            <w:col w:w="8900" w:space="280"/>
            <w:col w:w="1340"/>
          </w:cols>
          <w:pgMar w:left="240" w:top="118" w:right="1139" w:bottom="1440" w:gutter="0" w:footer="0" w:header="0"/>
        </w:sect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“management contract or compensatory plan or arrangement” filed as an exhibit to this report pursuant to Item 15(a)(3) of Form 10-K.</w:t>
      </w:r>
    </w:p>
    <w:p>
      <w:pPr>
        <w:sectPr>
          <w:pgSz w:w="11900" w:h="16838" w:orient="portrait"/>
          <w:cols w:equalWidth="0" w:num="1">
            <w:col w:w="10520"/>
          </w:cols>
          <w:pgMar w:left="240" w:top="118" w:right="1139" w:bottom="1440" w:gutter="0" w:footer="0" w:header="0"/>
          <w:type w:val="continuous"/>
        </w:sectPr>
      </w:pPr>
    </w:p>
    <w:p>
      <w:pPr>
        <w:spacing w:after="0" w:line="383"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520"/>
          </w:cols>
          <w:pgMar w:left="240" w:top="118" w:right="1139" w:bottom="1440" w:gutter="0" w:footer="0" w:header="0"/>
          <w:type w:val="continuous"/>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February 28, 2002.</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2001.</w:t>
      </w:r>
    </w:p>
    <w:p>
      <w:pPr>
        <w:spacing w:after="0" w:line="167"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2002.</w:t>
      </w:r>
    </w:p>
    <w:p>
      <w:pPr>
        <w:spacing w:after="0" w:line="8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September 25, 2002.</w:t>
      </w:r>
    </w:p>
    <w:p>
      <w:pPr>
        <w:spacing w:after="0" w:line="144"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June 30, 2003.</w:t>
      </w:r>
    </w:p>
    <w:p>
      <w:pPr>
        <w:spacing w:after="0" w:line="8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October 31, 2012.</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19, 2005.</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12, 2011.</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December 22, 2014.</w:t>
      </w:r>
    </w:p>
    <w:p>
      <w:pPr>
        <w:spacing w:after="0" w:line="144"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prospectus supplement dated November 28, 2012 filed on November 28, 2012 under the Company’s Registration Statement on Form S-3 (File No. 333-185141).</w:t>
      </w:r>
    </w:p>
    <w:p>
      <w:pPr>
        <w:spacing w:after="0" w:line="8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November 2, 2016.</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8-K Report filed on June 30, 2017.</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Report on Form 8-K filed on July 20, 2018.</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July 3, 2019.</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April 17, 2018.</w:t>
      </w:r>
    </w:p>
    <w:p>
      <w:pPr>
        <w:spacing w:after="0" w:line="14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1999.</w:t>
      </w:r>
    </w:p>
    <w:p>
      <w:pPr>
        <w:spacing w:after="0" w:line="8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2010.</w:t>
      </w:r>
    </w:p>
    <w:p>
      <w:pPr>
        <w:spacing w:after="0" w:line="167" w:lineRule="exact"/>
        <w:rPr>
          <w:rFonts w:ascii="Arial" w:cs="Arial" w:eastAsia="Arial" w:hAnsi="Arial"/>
          <w:sz w:val="16"/>
          <w:szCs w:val="16"/>
          <w:color w:val="auto"/>
        </w:rPr>
      </w:pPr>
    </w:p>
    <w:p>
      <w:pPr>
        <w:ind w:left="660" w:right="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Appendix B to the Company’s definitive proxy statement for its 2017 annual meeting of shareholders filed on April 26, 2017.</w:t>
      </w:r>
    </w:p>
    <w:p>
      <w:pPr>
        <w:spacing w:after="0" w:line="8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14, 2010.</w:t>
      </w:r>
    </w:p>
    <w:p>
      <w:pPr>
        <w:spacing w:after="0" w:line="144"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Appendix B to the Company’s definitive proxy statement for its annual meeting of shareholders filed on March 22, 2013.</w:t>
      </w:r>
    </w:p>
    <w:p>
      <w:pPr>
        <w:spacing w:after="0" w:line="89"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January 11, 2016.</w:t>
      </w:r>
    </w:p>
    <w:p>
      <w:pPr>
        <w:spacing w:after="0" w:line="144"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2019 annual meeting of shareholders filed on April 24, 2019.</w:t>
      </w:r>
    </w:p>
    <w:p>
      <w:pPr>
        <w:spacing w:after="0" w:line="89"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interactive data files are furnished herewith and deemed not filed or part of a registration statement or prospectus for purposes of Sections 11 or 12 of the Securities Act of 1933, as amended, are deemed not filed for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18" w:right="2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purposes of Section 18 of the Securities Exchange Act of 1934, as amended, and otherwise are not subject to liability under those sections.</w:t>
      </w:r>
    </w:p>
    <w:p>
      <w:pPr>
        <w:spacing w:after="0" w:line="3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640"/>
          </w:cols>
          <w:pgMar w:left="240" w:top="118" w:right="10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CREDIT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FOURTH AMENDMENT TO CREDIT AGREEMENT, dated as of February 20, 2020 (this “</w:t>
      </w:r>
      <w:r>
        <w:rPr>
          <w:rFonts w:ascii="Arial" w:cs="Arial" w:eastAsia="Arial" w:hAnsi="Arial"/>
          <w:sz w:val="17"/>
          <w:szCs w:val="17"/>
          <w:u w:val="single" w:color="auto"/>
          <w:color w:val="auto"/>
        </w:rPr>
        <w:t>Fourth Amendment</w:t>
      </w:r>
      <w:r>
        <w:rPr>
          <w:rFonts w:ascii="Arial" w:cs="Arial" w:eastAsia="Arial" w:hAnsi="Arial"/>
          <w:sz w:val="17"/>
          <w:szCs w:val="17"/>
          <w:color w:val="auto"/>
        </w:rPr>
        <w:t>”), is entered into by and among CLEAN HARBORS, INC., a Massachusetts corporation (the “</w:t>
      </w:r>
      <w:r>
        <w:rPr>
          <w:rFonts w:ascii="Arial" w:cs="Arial" w:eastAsia="Arial" w:hAnsi="Arial"/>
          <w:sz w:val="17"/>
          <w:szCs w:val="17"/>
          <w:u w:val="single" w:color="auto"/>
          <w:color w:val="auto"/>
        </w:rPr>
        <w:t>U.S. Borrower</w:t>
      </w:r>
      <w:r>
        <w:rPr>
          <w:rFonts w:ascii="Arial" w:cs="Arial" w:eastAsia="Arial" w:hAnsi="Arial"/>
          <w:sz w:val="17"/>
          <w:szCs w:val="17"/>
          <w:color w:val="auto"/>
        </w:rPr>
        <w:t>”), CLEAN HARBORS INDUSTRIAL SERVICES CANADA, INC., an Alberta corporation (the “</w:t>
      </w:r>
      <w:r>
        <w:rPr>
          <w:rFonts w:ascii="Arial" w:cs="Arial" w:eastAsia="Arial" w:hAnsi="Arial"/>
          <w:sz w:val="17"/>
          <w:szCs w:val="17"/>
          <w:u w:val="single" w:color="auto"/>
          <w:color w:val="auto"/>
        </w:rPr>
        <w:t>Canadian Borrower</w:t>
      </w:r>
      <w:r>
        <w:rPr>
          <w:rFonts w:ascii="Arial" w:cs="Arial" w:eastAsia="Arial" w:hAnsi="Arial"/>
          <w:sz w:val="17"/>
          <w:szCs w:val="17"/>
          <w:color w:val="auto"/>
        </w:rPr>
        <w:t>” and, together with the U.S. Borrower, the “</w:t>
      </w:r>
      <w:r>
        <w:rPr>
          <w:rFonts w:ascii="Arial" w:cs="Arial" w:eastAsia="Arial" w:hAnsi="Arial"/>
          <w:sz w:val="17"/>
          <w:szCs w:val="17"/>
          <w:u w:val="single" w:color="auto"/>
          <w:color w:val="auto"/>
        </w:rPr>
        <w:t>Borrowers</w:t>
      </w:r>
      <w:r>
        <w:rPr>
          <w:rFonts w:ascii="Arial" w:cs="Arial" w:eastAsia="Arial" w:hAnsi="Arial"/>
          <w:sz w:val="17"/>
          <w:szCs w:val="17"/>
          <w:color w:val="auto"/>
        </w:rPr>
        <w:t>”), the other Loan Parties party hereto, certain of the Lenders party hereto which constitute the “Required Lenders”, BANK OF AMERICA, N.A., as Administrative Agent (in such capacity, together with its successors and assigns, the “</w:t>
      </w:r>
      <w:r>
        <w:rPr>
          <w:rFonts w:ascii="Arial" w:cs="Arial" w:eastAsia="Arial" w:hAnsi="Arial"/>
          <w:sz w:val="17"/>
          <w:szCs w:val="17"/>
          <w:u w:val="single" w:color="auto"/>
          <w:color w:val="auto"/>
        </w:rPr>
        <w:t>Agent</w:t>
      </w:r>
      <w:r>
        <w:rPr>
          <w:rFonts w:ascii="Arial" w:cs="Arial" w:eastAsia="Arial" w:hAnsi="Arial"/>
          <w:sz w:val="17"/>
          <w:szCs w:val="17"/>
          <w:color w:val="auto"/>
        </w:rPr>
        <w:t>”), and BANK OF AMERICA, N.A. and JPMORGAN CHASE BANK, N.A., each as Issuing Banks.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WHEREAS, the Borrowers, the lenders from time to time party thereto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Lender</w:t>
      </w:r>
      <w:r>
        <w:rPr>
          <w:rFonts w:ascii="Arial" w:cs="Arial" w:eastAsia="Arial" w:hAnsi="Arial"/>
          <w:sz w:val="16"/>
          <w:szCs w:val="16"/>
          <w:color w:val="auto"/>
        </w:rPr>
        <w:t>”) and the Agent are, among others, parties to the Fifth Amended and Restated Credit Agreement dated as of November 1, 2016 (as amended by that certain First Amendment to Credit Agreement, dated as of June 30, 2017, as further amended by that certain Second Amendment to Credit Agreement, dated as of July 19, 2018, as further amended by that certain Third Amendment to Credit Agreement, dated as of July 2, 2019, and as further amended, modified and supplemented from time to time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pursuant to which the Lenders and the Issuing Banks, subject to the terms and conditions contained therein, agreed to make loans and other financial accommodations to the U.S. Borrower and the Canadian Borrower; and</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Borrowers have requested that the Agent, the Issuing Banks and the Required Lenders effect certain amendments to the Credit Agreement as more specifically set forth herein, and the Agent, the Issuing Banks and the Required Lenders are willing to effect such amendments to the Credit Agreement on the terms and conditions hereinafter set forth.</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herein contained, and for other good and valuable consideration, the receipt and sufficiency of which are hereby acknowledged, the parties signatory hereto agree as follows:</w:t>
      </w:r>
    </w:p>
    <w:p>
      <w:pPr>
        <w:spacing w:after="0" w:line="170" w:lineRule="exact"/>
        <w:rPr>
          <w:sz w:val="20"/>
          <w:szCs w:val="20"/>
          <w:color w:val="auto"/>
        </w:rPr>
      </w:pPr>
    </w:p>
    <w:p>
      <w:pPr>
        <w:ind w:firstLine="656"/>
        <w:spacing w:after="0" w:line="277" w:lineRule="auto"/>
        <w:tabs>
          <w:tab w:leader="none" w:pos="14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Except as otherwise defined in this Fourth Amendment, terms used herein that are not otherwise defined shall have the meanings given to those terms in the Credit Agreement (as amended hereby).</w:t>
      </w:r>
    </w:p>
    <w:p>
      <w:pPr>
        <w:spacing w:after="0" w:line="89" w:lineRule="exact"/>
        <w:rPr>
          <w:rFonts w:ascii="Arial" w:cs="Arial" w:eastAsia="Arial" w:hAnsi="Arial"/>
          <w:sz w:val="18"/>
          <w:szCs w:val="18"/>
          <w:color w:val="auto"/>
        </w:rPr>
      </w:pPr>
    </w:p>
    <w:p>
      <w:pPr>
        <w:ind w:firstLine="656"/>
        <w:spacing w:after="0" w:line="277" w:lineRule="auto"/>
        <w:tabs>
          <w:tab w:leader="none" w:pos="14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Amendment to Credit Agreement</w:t>
      </w:r>
      <w:r>
        <w:rPr>
          <w:rFonts w:ascii="Arial" w:cs="Arial" w:eastAsia="Arial" w:hAnsi="Arial"/>
          <w:sz w:val="18"/>
          <w:szCs w:val="18"/>
          <w:color w:val="auto"/>
        </w:rPr>
        <w:t xml:space="preserve">. Subject to the satisfaction of the conditions precedent specified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the following amendments shall be incorporated into the Credit Agreement effective as of the Effective Date:</w:t>
      </w:r>
    </w:p>
    <w:p>
      <w:pPr>
        <w:spacing w:after="0" w:line="89" w:lineRule="exact"/>
        <w:rPr>
          <w:rFonts w:ascii="Arial" w:cs="Arial" w:eastAsia="Arial" w:hAnsi="Arial"/>
          <w:sz w:val="18"/>
          <w:szCs w:val="18"/>
          <w:color w:val="auto"/>
        </w:rPr>
      </w:pPr>
    </w:p>
    <w:p>
      <w:pPr>
        <w:ind w:left="2160" w:hanging="855"/>
        <w:spacing w:after="0"/>
        <w:tabs>
          <w:tab w:leader="none" w:pos="21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Section 1.1 of the Credit Agreement is hereby amended by inserting the following defined terms in the appropriate alphabetical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order:</w:t>
      </w:r>
    </w:p>
    <w:p>
      <w:pPr>
        <w:spacing w:after="0" w:line="13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any currency (other than Dollars and Canadian Dollars) which the U.S. Borrower, the Agent, and Bank of America (as Issuing Bank) agree in their sole discretion to include as a currency in which a U.S. Letter of Credit may be issued;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requested currency is an Eligible Currency.</w:t>
      </w:r>
    </w:p>
    <w:p>
      <w:pPr>
        <w:spacing w:after="0" w:line="181" w:lineRule="exact"/>
        <w:rPr>
          <w:sz w:val="20"/>
          <w:szCs w:val="20"/>
          <w:color w:val="auto"/>
        </w:rPr>
      </w:pPr>
    </w:p>
    <w:p>
      <w:pPr>
        <w:jc w:val="both"/>
        <w:ind w:left="1300"/>
        <w:spacing w:after="0" w:line="286" w:lineRule="auto"/>
        <w:rPr>
          <w:sz w:val="20"/>
          <w:szCs w:val="20"/>
          <w:color w:val="auto"/>
        </w:rPr>
      </w:pPr>
      <w:r>
        <w:rPr>
          <w:rFonts w:ascii="Arial" w:cs="Arial" w:eastAsia="Arial" w:hAnsi="Arial"/>
          <w:sz w:val="16"/>
          <w:szCs w:val="16"/>
          <w:u w:val="single" w:color="auto"/>
          <w:color w:val="auto"/>
        </w:rPr>
        <w:t>Eligible Currency</w:t>
      </w:r>
      <w:r>
        <w:rPr>
          <w:rFonts w:ascii="Arial" w:cs="Arial" w:eastAsia="Arial" w:hAnsi="Arial"/>
          <w:sz w:val="16"/>
          <w:szCs w:val="16"/>
          <w:color w:val="auto"/>
        </w:rPr>
        <w:t>: means any lawful currency other than Dollars and Canadian Dollars that is readily available, freely transferable and convertible into Dollars in the international interbank market available to the applicable Issuing Bank in such market and as to which a Dollar Equivalent may be readily calculated. If, after the designation by the Agent and the applicable Issuing Bank of any currency as an Alternative Currency, any change in currency controls or exchange regulations, or any change in the national or international financial, political or economic conditions imposed in the country in which such currency is issued, results in, in the reasonable opinion of the applicable Issuing Bank, (a) such currency no longer being readily available, freely transferable and convertible into Dollars, (b) a Dollar Equivalent no longer being readily calculable with respect to such currency, (c) providing such currency no longer being practicable for the Issuing Bank or (d) such currency no longer being a currency in which the applicable Issuing Bank is willing, in its sole discretion, to make issuances, fundings, disbursements, settlements and payments in respect of any Letter of Credit (each of the foregoing clauses, a “</w:t>
      </w:r>
      <w:r>
        <w:rPr>
          <w:rFonts w:ascii="Arial" w:cs="Arial" w:eastAsia="Arial" w:hAnsi="Arial"/>
          <w:sz w:val="16"/>
          <w:szCs w:val="16"/>
          <w:u w:val="single" w:color="auto"/>
          <w:color w:val="auto"/>
        </w:rPr>
        <w:t>Disqualifying Event</w:t>
      </w:r>
      <w:r>
        <w:rPr>
          <w:rFonts w:ascii="Arial" w:cs="Arial" w:eastAsia="Arial" w:hAnsi="Arial"/>
          <w:sz w:val="16"/>
          <w:szCs w:val="16"/>
          <w:color w:val="auto"/>
        </w:rPr>
        <w:t>”), then such Issuing Bank shall promptly notify the Agent and the U.S. Borrower, and such country’s currency shall no longer be an Alternative Currency until such time as the Disqualifying Event(s) no longer exist. Within five (5) Business Days after receipt of such notice from the applicable Issuing Bank, the U.S. Borrower shall Cash Collateralize that portion of the LC Obligations comprised of the aggregate undrawn amount of Letters of Credit to the extent not otherwise Cash Collateralized.”</w:t>
      </w:r>
    </w:p>
    <w:p>
      <w:pPr>
        <w:spacing w:after="0" w:line="175" w:lineRule="exact"/>
        <w:rPr>
          <w:sz w:val="20"/>
          <w:szCs w:val="20"/>
          <w:color w:val="auto"/>
        </w:rPr>
      </w:pPr>
    </w:p>
    <w:p>
      <w:pPr>
        <w:ind w:right="20" w:firstLine="1305"/>
        <w:spacing w:after="0" w:line="277" w:lineRule="auto"/>
        <w:tabs>
          <w:tab w:leader="none" w:pos="21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1.1 of the Credit Agreement is hereby amended by deleting the definitions of “Business Day”, “Exchange Rate”, and “LC Conditions” in their entirety and inserting in lieu thereof the following, respectively:</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4.34J</w:t>
      </w:r>
    </w:p>
    <w:p>
      <w:pPr>
        <w:spacing w:after="0" w:line="364"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any day excluding Saturday, Sunday and any other day that is a legal holiday under the laws of The Commonwealth of Massachusetts or is a day on which banking institutions located in such state are closed; and when used with reference to (a) a LIBOR Loan, shall also exclude any day on which banks are not open for the transaction of banking business in London, United Kingdom, (b) a Canadian Revolver Loan, shall also exclude a day on which banks in Toronto, Ontario, Canada are not open for the transaction of banking business, and (c) any issuance, fundings, disbursements, settlements and payments in a currency other than Dollars in respect of any Letter of Credit denominated in a currency other than Dollars, means any such day on which banks are open for foreign exchange business in the principal financial center of the country of such currency.</w:t>
      </w:r>
    </w:p>
    <w:p>
      <w:pPr>
        <w:spacing w:after="0" w:line="178"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u w:val="single" w:color="auto"/>
          <w:color w:val="auto"/>
        </w:rPr>
        <w:t>Exchange Rate</w:t>
      </w:r>
      <w:r>
        <w:rPr>
          <w:rFonts w:ascii="Arial" w:cs="Arial" w:eastAsia="Arial" w:hAnsi="Arial"/>
          <w:sz w:val="18"/>
          <w:szCs w:val="18"/>
          <w:color w:val="auto"/>
        </w:rPr>
        <w:t>: on any date, (a) with respect to Canadian Dollars in relation to Dollars, the spot rate as quoted by Bank of America as its noon spot rate at which Dollars are offered on such date for Canadian Dollars, (b) with respect to Dollars in relation to Canadian Dollars, the spot rate as quoted by Bank of America as its noon spot rate at which Canadian Dollars are offered on such date for Dollars, and (c) with respect to any Alternative Currency in relation to Dollars, the spot rate as quoted by Bank of America as its noon spot rate at which Dollars are offered on such date for such Alternative Currency.</w:t>
      </w:r>
    </w:p>
    <w:p>
      <w:pPr>
        <w:spacing w:after="0" w:line="184" w:lineRule="exact"/>
        <w:rPr>
          <w:sz w:val="20"/>
          <w:szCs w:val="20"/>
          <w:color w:val="auto"/>
        </w:rPr>
      </w:pPr>
    </w:p>
    <w:p>
      <w:pPr>
        <w:jc w:val="both"/>
        <w:ind w:left="1300"/>
        <w:spacing w:after="0" w:line="268" w:lineRule="auto"/>
        <w:rPr>
          <w:sz w:val="20"/>
          <w:szCs w:val="20"/>
          <w:color w:val="auto"/>
        </w:rPr>
      </w:pPr>
      <w:r>
        <w:rPr>
          <w:rFonts w:ascii="Arial" w:cs="Arial" w:eastAsia="Arial" w:hAnsi="Arial"/>
          <w:sz w:val="17"/>
          <w:szCs w:val="17"/>
          <w:u w:val="single" w:color="auto"/>
          <w:color w:val="auto"/>
        </w:rPr>
        <w:t>LC Conditions</w:t>
      </w:r>
      <w:r>
        <w:rPr>
          <w:rFonts w:ascii="Arial" w:cs="Arial" w:eastAsia="Arial" w:hAnsi="Arial"/>
          <w:sz w:val="17"/>
          <w:szCs w:val="17"/>
          <w:color w:val="auto"/>
        </w:rPr>
        <w:t xml:space="preserve">: the following conditions necessary for the issuance of a Letter of Credit: (a) each of the conditions set forth in </w:t>
      </w:r>
      <w:r>
        <w:rPr>
          <w:rFonts w:ascii="Arial" w:cs="Arial" w:eastAsia="Arial" w:hAnsi="Arial"/>
          <w:sz w:val="17"/>
          <w:szCs w:val="17"/>
          <w:b w:val="1"/>
          <w:bCs w:val="1"/>
          <w:color w:val="auto"/>
        </w:rPr>
        <w:t>Section 6.2</w:t>
      </w:r>
      <w:r>
        <w:rPr>
          <w:rFonts w:ascii="Arial" w:cs="Arial" w:eastAsia="Arial" w:hAnsi="Arial"/>
          <w:sz w:val="17"/>
          <w:szCs w:val="17"/>
          <w:color w:val="auto"/>
        </w:rPr>
        <w:t xml:space="preserve"> (or with respect to Letters of Credit issued on the Closing Date, in </w:t>
      </w:r>
      <w:r>
        <w:rPr>
          <w:rFonts w:ascii="Arial" w:cs="Arial" w:eastAsia="Arial" w:hAnsi="Arial"/>
          <w:sz w:val="17"/>
          <w:szCs w:val="17"/>
          <w:b w:val="1"/>
          <w:bCs w:val="1"/>
          <w:color w:val="auto"/>
        </w:rPr>
        <w:t>Section 6.1)</w:t>
      </w:r>
      <w:r>
        <w:rPr>
          <w:rFonts w:ascii="Arial" w:cs="Arial" w:eastAsia="Arial" w:hAnsi="Arial"/>
          <w:sz w:val="17"/>
          <w:szCs w:val="17"/>
          <w:color w:val="auto"/>
        </w:rPr>
        <w:t xml:space="preserve">; (b) after giving effect to the issuance of a Letter of Credit for the account of the U.S. Borrower, the Dollar Equivalent of the total U.S. LC Obligations (excluding amounts specified in </w:t>
      </w:r>
      <w:r>
        <w:rPr>
          <w:rFonts w:ascii="Arial" w:cs="Arial" w:eastAsia="Arial" w:hAnsi="Arial"/>
          <w:sz w:val="17"/>
          <w:szCs w:val="17"/>
          <w:b w:val="1"/>
          <w:bCs w:val="1"/>
          <w:color w:val="auto"/>
        </w:rPr>
        <w:t>clause (c)</w:t>
      </w:r>
      <w:r>
        <w:rPr>
          <w:rFonts w:ascii="Arial" w:cs="Arial" w:eastAsia="Arial" w:hAnsi="Arial"/>
          <w:sz w:val="17"/>
          <w:szCs w:val="17"/>
          <w:color w:val="auto"/>
        </w:rPr>
        <w:t xml:space="preserve"> of such definition) do not exceed the U.S. Letter of Credit Sublimit and no U.S. Overadvance exists or would result therefrom; (c) after giving effect to the issuance of a Letter of Credit for the account of the Canadian Borrower, total Canadian LC Obligations (excluding amounts specified in </w:t>
      </w:r>
      <w:r>
        <w:rPr>
          <w:rFonts w:ascii="Arial" w:cs="Arial" w:eastAsia="Arial" w:hAnsi="Arial"/>
          <w:sz w:val="17"/>
          <w:szCs w:val="17"/>
          <w:b w:val="1"/>
          <w:bCs w:val="1"/>
          <w:color w:val="auto"/>
        </w:rPr>
        <w:t>clause (c)</w:t>
      </w:r>
      <w:r>
        <w:rPr>
          <w:rFonts w:ascii="Arial" w:cs="Arial" w:eastAsia="Arial" w:hAnsi="Arial"/>
          <w:sz w:val="17"/>
          <w:szCs w:val="17"/>
          <w:color w:val="auto"/>
        </w:rPr>
        <w:t xml:space="preserve"> of such definition) do not exceed the Canadian Letter of Credit Sublimit and no Canadian Overadvance exists or would result therefrom; (d) the expiration date of such Letter of Credit is (i) no more than three hundred sixty five (365) days from issuance, in the case of standby Letters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Letters of Credit may contain automatic extension provisions in accordance with </w:t>
      </w:r>
      <w:r>
        <w:rPr>
          <w:rFonts w:ascii="Arial" w:cs="Arial" w:eastAsia="Arial" w:hAnsi="Arial"/>
          <w:sz w:val="17"/>
          <w:szCs w:val="17"/>
          <w:b w:val="1"/>
          <w:bCs w:val="1"/>
          <w:color w:val="auto"/>
        </w:rPr>
        <w:t xml:space="preserve">Section 2.2.1(e) </w:t>
      </w:r>
      <w:r>
        <w:rPr>
          <w:rFonts w:ascii="Arial" w:cs="Arial" w:eastAsia="Arial" w:hAnsi="Arial"/>
          <w:sz w:val="17"/>
          <w:szCs w:val="17"/>
          <w:color w:val="auto"/>
        </w:rPr>
        <w:t>or</w:t>
      </w:r>
      <w:r>
        <w:rPr>
          <w:rFonts w:ascii="Arial" w:cs="Arial" w:eastAsia="Arial" w:hAnsi="Arial"/>
          <w:sz w:val="17"/>
          <w:szCs w:val="17"/>
          <w:b w:val="1"/>
          <w:bCs w:val="1"/>
          <w:color w:val="auto"/>
        </w:rPr>
        <w:t xml:space="preserve"> Section 2.3.1(e)</w:t>
      </w:r>
      <w:r>
        <w:rPr>
          <w:rFonts w:ascii="Arial" w:cs="Arial" w:eastAsia="Arial" w:hAnsi="Arial"/>
          <w:sz w:val="17"/>
          <w:szCs w:val="17"/>
          <w:color w:val="auto"/>
        </w:rPr>
        <w:t>, as applicable, (ii) no more than one hundred twenty (120) days from issuance, in the case of</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documentary Letters of Credit, and (iii) in all cases for all letters of credit and letters of guarantee: (A) at least fifteen (15) Business Days prior to the Facility Termination Date or (B) with the consent of Agent and the applicable Issuing Bank, no later than the Facility Termination Date; (e) with respect to the issuance of Letters of Credit for the account of the U.S. Borrower, the Letter of Credit and payments thereunder are denominated in Dollars, Canadian Dollars, or an Alternative Currency; (f) with respect to the issuance of Letters of Credit for the account of the Canadian Borrower, the Letter of Credit and payments thereunder are denominated in Dollars or Canadian Dollars; and (g) the form of the proposed Letter of Credit is reasonably satisfactory to the Agent and the applicable Issuing Bank in their discretion.”</w:t>
      </w:r>
    </w:p>
    <w:p>
      <w:pPr>
        <w:spacing w:after="0" w:line="185" w:lineRule="exact"/>
        <w:rPr>
          <w:sz w:val="20"/>
          <w:szCs w:val="20"/>
          <w:color w:val="auto"/>
        </w:rPr>
      </w:pPr>
    </w:p>
    <w:p>
      <w:pPr>
        <w:ind w:left="2160" w:hanging="855"/>
        <w:spacing w:after="0"/>
        <w:tabs>
          <w:tab w:leader="none" w:pos="2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Section 1.6 of the Credit Agreement is hereby amended by deleting such section in its entirety and inserting the following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lieu thereof:</w:t>
      </w:r>
    </w:p>
    <w:p>
      <w:pPr>
        <w:spacing w:after="0" w:line="126" w:lineRule="exact"/>
        <w:rPr>
          <w:sz w:val="20"/>
          <w:szCs w:val="20"/>
          <w:color w:val="auto"/>
        </w:rPr>
      </w:pPr>
    </w:p>
    <w:p>
      <w:pPr>
        <w:jc w:val="both"/>
        <w:ind w:left="13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1.6</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Dollar Equivalent of the stated amount of such Letter of Credit in effect at such time; provided, however, that with respect to any Letter of Credit that, by its terms or the terms of any LC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72" w:lineRule="exact"/>
        <w:rPr>
          <w:sz w:val="20"/>
          <w:szCs w:val="20"/>
          <w:color w:val="auto"/>
        </w:rPr>
      </w:pPr>
    </w:p>
    <w:p>
      <w:pPr>
        <w:ind w:left="2160" w:hanging="855"/>
        <w:spacing w:after="0"/>
        <w:tabs>
          <w:tab w:leader="none" w:pos="21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Credit Agreement is hereby amended by adding the following new Section 1.7 in the appropriate numerical order:</w:t>
      </w:r>
    </w:p>
    <w:p>
      <w:pPr>
        <w:spacing w:after="0" w:line="152" w:lineRule="exact"/>
        <w:rPr>
          <w:sz w:val="20"/>
          <w:szCs w:val="20"/>
          <w:color w:val="auto"/>
        </w:rPr>
      </w:pPr>
    </w:p>
    <w:p>
      <w:pPr>
        <w:jc w:val="both"/>
        <w:ind w:left="130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1.7</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LLC Divisions and Series</w:t>
      </w:r>
      <w:r>
        <w:rPr>
          <w:rFonts w:ascii="Arial" w:cs="Arial" w:eastAsia="Arial" w:hAnsi="Arial"/>
          <w:sz w:val="17"/>
          <w:szCs w:val="17"/>
          <w:color w:val="auto"/>
        </w:rPr>
        <w:t>. 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4.34J</w:t>
      </w:r>
    </w:p>
    <w:p>
      <w:pPr>
        <w:spacing w:after="0" w:line="364" w:lineRule="exact"/>
        <w:rPr>
          <w:sz w:val="20"/>
          <w:szCs w:val="20"/>
          <w:color w:val="auto"/>
        </w:rPr>
      </w:pPr>
    </w:p>
    <w:p>
      <w:pPr>
        <w:ind w:left="2160" w:hanging="855"/>
        <w:spacing w:after="0"/>
        <w:tabs>
          <w:tab w:leader="none" w:pos="2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Section 2.2.1 of the Credit Agreement is hereby amended by deleting such subsection in its entirety and inserting in lieu thereof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130"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Issuance of Letters of Credit</w:t>
      </w:r>
      <w:r>
        <w:rPr>
          <w:rFonts w:ascii="Arial" w:cs="Arial" w:eastAsia="Arial" w:hAnsi="Arial"/>
          <w:sz w:val="17"/>
          <w:szCs w:val="17"/>
          <w:color w:val="auto"/>
        </w:rPr>
        <w:t>. U.S. Issuing Bank agrees to issue letters of credit for the account of the U.S. Borrower (“</w:t>
      </w:r>
      <w:r>
        <w:rPr>
          <w:rFonts w:ascii="Arial" w:cs="Arial" w:eastAsia="Arial" w:hAnsi="Arial"/>
          <w:sz w:val="17"/>
          <w:szCs w:val="17"/>
          <w:u w:val="single" w:color="auto"/>
          <w:color w:val="auto"/>
        </w:rPr>
        <w:t>U.S. Letters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Credit</w:t>
      </w:r>
      <w:r>
        <w:rPr>
          <w:rFonts w:ascii="Arial" w:cs="Arial" w:eastAsia="Arial" w:hAnsi="Arial"/>
          <w:sz w:val="17"/>
          <w:szCs w:val="17"/>
          <w:color w:val="auto"/>
        </w:rPr>
        <w:t>”) from time to time until (x) fifteen (15) Business Days prior to the Facility Termination Date (or until the U.S. Revolver Commitment Termination Date, if earlier) or (y) with the consent of the Agent and U.S. Issuing Bank, the Facility Termination Date (or until the U.S. Revolver Commitment Termination Date, if earlier), on the terms set forth herein, including the following:”</w:t>
      </w:r>
    </w:p>
    <w:p>
      <w:pPr>
        <w:spacing w:after="0" w:line="171" w:lineRule="exact"/>
        <w:rPr>
          <w:sz w:val="20"/>
          <w:szCs w:val="20"/>
          <w:color w:val="auto"/>
        </w:rPr>
      </w:pPr>
    </w:p>
    <w:p>
      <w:pPr>
        <w:ind w:left="2140" w:hanging="835"/>
        <w:spacing w:after="0"/>
        <w:tabs>
          <w:tab w:leader="none" w:pos="2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Section 2.2.1(a) of the Credit Agreement is hereby amended by deleting such subsection in its entirety and inserting in lieu</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 the following:</w:t>
      </w:r>
    </w:p>
    <w:p>
      <w:pPr>
        <w:spacing w:after="0" w:line="130" w:lineRule="exact"/>
        <w:rPr>
          <w:sz w:val="20"/>
          <w:szCs w:val="20"/>
          <w:color w:val="auto"/>
        </w:rPr>
      </w:pPr>
    </w:p>
    <w:p>
      <w:pPr>
        <w:jc w:val="both"/>
        <w:ind w:left="1300"/>
        <w:spacing w:after="0" w:line="286" w:lineRule="auto"/>
        <w:rPr>
          <w:sz w:val="20"/>
          <w:szCs w:val="20"/>
          <w:color w:val="auto"/>
        </w:rPr>
      </w:pPr>
      <w:r>
        <w:rPr>
          <w:rFonts w:ascii="Arial" w:cs="Arial" w:eastAsia="Arial" w:hAnsi="Arial"/>
          <w:sz w:val="16"/>
          <w:szCs w:val="16"/>
          <w:color w:val="auto"/>
        </w:rPr>
        <w:t>“(a) The U.S. Borrower acknowledges that U.S. Issuing Bank’s willingness to issue any U.S. Letter of Credit is conditioned upon U.S. Issuing Bank’s receipt of an LC Application with respect to the requested U.S. Letter of Credit, as well as such other instruments and agreements as U.S. Issuing Bank may customarily require for issuance of a letter of credit of similar type and amount. U.S. Issuing Bank shall have no obligation to issue any U.S. Letter of Credit unless (i) U.S. Issuing Bank receives an LC Request and LC Application at least three (3) Business Days prior to the requested date of issuance; (ii) each LC Condition is satisfied; (iii) if a Defaulting Lender that is a U.S. Lender exists, such Defaulting Lender or the U.S. Borrower have entered into arrangements satisfactory to the Agent and U.S. Issuing Bank to eliminate any funding risk associated with such Defaulting Lender (it being understood that Cash Collateralization of a Defaulting Lender’s Pro Rata share of the requested U.S. Letter of Credit is satisfactory to the Agent and U.S. Issuing Bank); and (iv) with respect to an Alternative Currency, such U.S. Issuing Bank does, as of the issuance date of the requested U.S. Letter of Credit, issue Letters of Credit in the requested currency. If U.S. Issuing Bank receives written notice from a U.S. Lender at least five (5) Business Days before the requested date of issuance of a U.S. Letter of Credit that any LC Condition has not been satisfied, U.S. Issuing Bank shall have no obligation to issue the requested U.S. Letter of Credit (or any other) until such notice is withdrawn in writing by that Lender or until the Required Facility Lenders have waived such condition in accordance with this Agreement. Prior to receipt of any such notice, U.S. Issuing Bank shall not be deemed to have knowledge of any failure of LC Conditions. No U.S. Letter of Credit denominated in any Alternative Currency may be issued by any U.S. Issuing Bank other than Bank of America or an Affiliate of Bank of America.”</w:t>
      </w:r>
    </w:p>
    <w:p>
      <w:pPr>
        <w:spacing w:after="0" w:line="169" w:lineRule="exact"/>
        <w:rPr>
          <w:sz w:val="20"/>
          <w:szCs w:val="20"/>
          <w:color w:val="auto"/>
        </w:rPr>
      </w:pPr>
    </w:p>
    <w:p>
      <w:pPr>
        <w:ind w:left="2160" w:hanging="855"/>
        <w:spacing w:after="0"/>
        <w:tabs>
          <w:tab w:leader="none" w:pos="21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Section 2.2.1(b) of the Credit Agreement is hereby amended by deleting such subsection in its entirety and inserting in lieu</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 the following:</w:t>
      </w:r>
    </w:p>
    <w:p>
      <w:pPr>
        <w:spacing w:after="0" w:line="130" w:lineRule="exact"/>
        <w:rPr>
          <w:sz w:val="20"/>
          <w:szCs w:val="20"/>
          <w:color w:val="auto"/>
        </w:rPr>
      </w:pPr>
    </w:p>
    <w:p>
      <w:pPr>
        <w:jc w:val="both"/>
        <w:ind w:left="1300"/>
        <w:spacing w:after="0" w:line="269" w:lineRule="auto"/>
        <w:rPr>
          <w:sz w:val="20"/>
          <w:szCs w:val="20"/>
          <w:color w:val="auto"/>
        </w:rPr>
      </w:pPr>
      <w:r>
        <w:rPr>
          <w:rFonts w:ascii="Arial" w:cs="Arial" w:eastAsia="Arial" w:hAnsi="Arial"/>
          <w:sz w:val="17"/>
          <w:szCs w:val="17"/>
          <w:color w:val="auto"/>
        </w:rPr>
        <w:t>“(b) Letters of Credit may be requested by the U.S. Borrower only (i) to support obligations of a U.S. Domiciled Loan Party incurred in the Ordinary Course of Business; or (ii) for other purposes as the Agent may approve from time to time in writing. The renewal or extension of any U.S. Letter of Credit shall be treated as the issuance of a new U.S. Letter of Credit, except that delivery of a new LC Application may be required at the discretion of U.S. Issuing Bank. Notwithstanding that a U.S. Letter of Credit issued or outstanding hereunder is in support of obligations of a U.S. Domiciled Loan Party incurred in the Ordinary Course of Business or for other purposes as the Agent may approve from time to time in writing, the U.S. Borrower shall be obligated to reimburse, indemnify and compensate the applicable Issuing Bank hereunder for any and all drawings under such Letter of Credit as if such Letter of Credit had been issued solely for the account of the U.S. Borrower. The U.S. Borrower irrevocably waives any and all defenses that might otherwise be available to it as a guarantor or surety of any or all of the obligations of any such U.S. Domiciled Loan Party or other Subsidiary in respect of such Letter of Credit. The U.S. Borrower hereby acknowledges that the issuance of U.S. Letters of Credit for the account of U.S. Domiciled Loan Parties or other Subsidiaries inures to the benefit of the U.S. Borrower, and that the U.S. Borrower’s business derives substantial benefits from the businesses of such U.S. Domiciled Loan Parties or other Subsidiaries.”</w:t>
      </w:r>
    </w:p>
    <w:p>
      <w:pPr>
        <w:spacing w:after="0" w:line="180" w:lineRule="exact"/>
        <w:rPr>
          <w:sz w:val="20"/>
          <w:szCs w:val="20"/>
          <w:color w:val="auto"/>
        </w:rPr>
      </w:pPr>
    </w:p>
    <w:p>
      <w:pPr>
        <w:ind w:left="2160" w:hanging="855"/>
        <w:spacing w:after="0"/>
        <w:tabs>
          <w:tab w:leader="none" w:pos="21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Section 2.2.2(a) of the Credit Agreement is hereby amended by deleting such subsection in its entirety and inserting in lieu</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 the following:</w:t>
      </w:r>
    </w:p>
    <w:p>
      <w:pPr>
        <w:spacing w:after="0" w:line="130"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“(a) If U.S. Issuing Bank honors any request for payment under a U.S. Letter of Credit, the U.S. Borrower shall pay to U.S. Issuing Bank, on the same day (“</w:t>
      </w:r>
      <w:r>
        <w:rPr>
          <w:rFonts w:ascii="Arial" w:cs="Arial" w:eastAsia="Arial" w:hAnsi="Arial"/>
          <w:sz w:val="17"/>
          <w:szCs w:val="17"/>
          <w:u w:val="single" w:color="auto"/>
          <w:color w:val="auto"/>
        </w:rPr>
        <w:t>U.S. Reimbursement Date</w:t>
      </w:r>
      <w:r>
        <w:rPr>
          <w:rFonts w:ascii="Arial" w:cs="Arial" w:eastAsia="Arial" w:hAnsi="Arial"/>
          <w:sz w:val="17"/>
          <w:szCs w:val="17"/>
          <w:color w:val="auto"/>
        </w:rPr>
        <w:t>”), the amount paid by U.S. Issuing Bank under such U.S. Letter of Credit, together with interest at the interest rate for U.S. Base Rate Loans from the U.S. Reimbursement Date until payment by the U.S. Borrower. The U.S. Borrower shall make such payment to the applicable U.S. Issuing Bank in Dollars, unless, in the case of a Letter of Credit denominated in Canadian Dollars or an Alternative Currency, such Issuing Bank (at its option) shall have specified in such notice that it</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4.34J</w:t>
      </w:r>
    </w:p>
    <w:p>
      <w:pPr>
        <w:spacing w:after="0" w:line="364" w:lineRule="exact"/>
        <w:rPr>
          <w:sz w:val="20"/>
          <w:szCs w:val="20"/>
          <w:color w:val="auto"/>
        </w:rPr>
      </w:pPr>
    </w:p>
    <w:p>
      <w:pPr>
        <w:jc w:val="both"/>
        <w:ind w:left="1300"/>
        <w:spacing w:after="0" w:line="285" w:lineRule="auto"/>
        <w:rPr>
          <w:sz w:val="20"/>
          <w:szCs w:val="20"/>
          <w:color w:val="auto"/>
        </w:rPr>
      </w:pPr>
      <w:r>
        <w:rPr>
          <w:rFonts w:ascii="Arial" w:cs="Arial" w:eastAsia="Arial" w:hAnsi="Arial"/>
          <w:sz w:val="16"/>
          <w:szCs w:val="16"/>
          <w:color w:val="auto"/>
        </w:rPr>
        <w:t xml:space="preserve">will require reimbursement in Canadian Dollars or the applicable Alternative Currency. In the case of any such reimbursement in Dollars of a drawing under a Letter of Credit denominated in Canadian Dollars or an Alternative Currency, the applicable U.S. Issuing Bank shall notify the U.S. Borrower of the Dollar Equivalent of the amount of the drawing promptly following the determination thereof. On each U.S. Reimbursement Date, the U.S. Borrower shall reimburse such U.S. Issuing Bank in an amount equal to the amount of such drawing and in the applicable currency. In the event that (i) a drawing denominated in Canadian Dollars or an Alternative Currency is to be reimbursed in Dollars and (ii) the Dollar amount paid by the U.S. Borrower, whether on or after the U.S. Reimbursement Date, shall not be adequate on the date of that payment to purchase in accordance with normal banking procedures a sum denominated in the Alternative Currency equal to the drawing, the U.S. Borrower agrees, as a separate and independent obligation, to indemnify the applicable U.S. Issuing Bank for the loss resulting from its inability on that date to purchase the Alternative Currency in the full amount of the drawing. The obligation of the U.S. Borrower to reimburse U.S. Issuing Bank for any payment made under a U.S. Letter of Credit shall be absolute, unconditional and irrevocable, and shall be paid under any and all circumstances whatsoever without regard to any lack of validity or enforceability of any such U.S. Letter of Credit, any adverse change in the relevant exchange rates or in the availability of any relevant Alternative Currency to the U.S. Borrower or in the relevant currency markets generally, the existence of any claim, setoff, defense or other right that the U.S. Borrower or any other U.S. Domiciled Loan Parties may have at any time against the beneficiary, or any other event or circumstance whatsoever, whether or not similar to any of the foregoing, that might, but for the provisions of this Section, constitute a legal or equitable discharge of, or provide a right of setoff against, the U.S. Borrower’s obligations hereunder. Whether or not the Loan Party Agent submits a Notice of Borrowing, the U.S. Borrower shall be deemed to have requested a Borrowing of U.S. Base Rate Loans in an amount necessary to pay all amounts due U.S. Issuing Bank on any U.S. Reimbursement Date and each U.S. Lender agrees to fund its Pro Rata share of such Borrowing whether or not the U.S. Revolver Commitments have terminated, any U.S. Overadvance exists or is created thereby, or the conditions in </w:t>
      </w:r>
      <w:r>
        <w:rPr>
          <w:rFonts w:ascii="Arial" w:cs="Arial" w:eastAsia="Arial" w:hAnsi="Arial"/>
          <w:sz w:val="16"/>
          <w:szCs w:val="16"/>
          <w:b w:val="1"/>
          <w:bCs w:val="1"/>
          <w:color w:val="auto"/>
        </w:rPr>
        <w:t>Section 6</w:t>
      </w:r>
      <w:r>
        <w:rPr>
          <w:rFonts w:ascii="Arial" w:cs="Arial" w:eastAsia="Arial" w:hAnsi="Arial"/>
          <w:sz w:val="16"/>
          <w:szCs w:val="16"/>
          <w:color w:val="auto"/>
        </w:rPr>
        <w:t xml:space="preserve"> are satisfied.”</w:t>
      </w:r>
    </w:p>
    <w:p>
      <w:pPr>
        <w:spacing w:after="0" w:line="387" w:lineRule="exact"/>
        <w:rPr>
          <w:sz w:val="20"/>
          <w:szCs w:val="20"/>
          <w:color w:val="auto"/>
        </w:rPr>
      </w:pPr>
    </w:p>
    <w:p>
      <w:pPr>
        <w:ind w:left="2120" w:hanging="815"/>
        <w:spacing w:after="0"/>
        <w:tabs>
          <w:tab w:leader="none" w:pos="21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Section 2.2.2(b) of the Credit Agreement is hereby amended by adding “in Dollars” immediately after “unconditionally pay”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appears therein.</w:t>
      </w:r>
    </w:p>
    <w:p>
      <w:pPr>
        <w:spacing w:after="0" w:line="130" w:lineRule="exact"/>
        <w:rPr>
          <w:sz w:val="20"/>
          <w:szCs w:val="20"/>
          <w:color w:val="auto"/>
        </w:rPr>
      </w:pPr>
    </w:p>
    <w:p>
      <w:pPr>
        <w:ind w:left="2120" w:hanging="815"/>
        <w:spacing w:after="0"/>
        <w:tabs>
          <w:tab w:leader="none" w:pos="21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Section 2.2.3 of the Credit Agreement is hereby amended by deleting such section in its entirety and inserting in lieu thereof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30" w:lineRule="exact"/>
        <w:rPr>
          <w:sz w:val="20"/>
          <w:szCs w:val="20"/>
          <w:color w:val="auto"/>
        </w:rPr>
      </w:pPr>
    </w:p>
    <w:p>
      <w:pPr>
        <w:jc w:val="both"/>
        <w:ind w:left="1300"/>
        <w:spacing w:after="0" w:line="269"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Cash Collateral</w:t>
      </w:r>
      <w:r>
        <w:rPr>
          <w:rFonts w:ascii="Arial" w:cs="Arial" w:eastAsia="Arial" w:hAnsi="Arial"/>
          <w:sz w:val="17"/>
          <w:szCs w:val="17"/>
          <w:color w:val="auto"/>
        </w:rPr>
        <w:t xml:space="preserve">. If any U.S. LC Obligations, whether or not then due or payable, shall for any reason be outstanding at any time (a) that an Event of Default exists, (b) that a U.S. Overadvance exists, (c) after the U.S. Revolver Commitment Termination Date, or (d) within five (5) Business Days prior to the applicable expiry date of the Letters of Credit (if such expiry date is within fifteen (15) Business Days of the Facility Termination Date), then the U.S. Borrower shall, at U.S. Issuing Bank’s or the Agent’s request, Cash Collateralize the stated amount of all outstanding Letters of Credit issued for the account of the U.S. Borrower and pay to U.S. Issuing Bank the amount of all other U.S. LC Obligations. The U.S. Borrower shall, </w:t>
      </w:r>
      <w:r>
        <w:rPr>
          <w:rFonts w:ascii="Arial" w:cs="Arial" w:eastAsia="Arial" w:hAnsi="Arial"/>
          <w:sz w:val="17"/>
          <w:szCs w:val="17"/>
          <w:b w:val="1"/>
          <w:bCs w:val="1"/>
          <w:color w:val="auto"/>
        </w:rPr>
        <w:t>on demand</w:t>
      </w:r>
      <w:r>
        <w:rPr>
          <w:rFonts w:ascii="Arial" w:cs="Arial" w:eastAsia="Arial" w:hAnsi="Arial"/>
          <w:sz w:val="17"/>
          <w:szCs w:val="17"/>
          <w:color w:val="auto"/>
        </w:rPr>
        <w:t xml:space="preserve"> by U.S. Issuing Bank or the Agent from time to time, Cash Collateralize (in Dollars or, if the applicable Letters of Credit were issued in Canadian Dollars or an Alternative Currency and if so requested by the applicable U.S. Issuing Bank (in its sole discretion), Canadian Dollars or such Alternative Currency) the U.S. LC Obligations of any Defaulting Lender that is a U.S. Lender. If the U.S. Borrower fails to provide any Cash Collateral as required hereunder, the U.S. Lenders may (and shall upon direction of the Agent) advance, as U.S. Revolver Loans, the amount of the Cash Collateral required (whether or not the U.S. Revolver Commitments have terminated, any U.S. Overadvance exists or is created thereby or the conditions in </w:t>
      </w:r>
      <w:r>
        <w:rPr>
          <w:rFonts w:ascii="Arial" w:cs="Arial" w:eastAsia="Arial" w:hAnsi="Arial"/>
          <w:sz w:val="17"/>
          <w:szCs w:val="17"/>
          <w:b w:val="1"/>
          <w:bCs w:val="1"/>
          <w:color w:val="auto"/>
        </w:rPr>
        <w:t>Section 6</w:t>
      </w:r>
      <w:r>
        <w:rPr>
          <w:rFonts w:ascii="Arial" w:cs="Arial" w:eastAsia="Arial" w:hAnsi="Arial"/>
          <w:sz w:val="17"/>
          <w:szCs w:val="17"/>
          <w:color w:val="auto"/>
        </w:rPr>
        <w:t xml:space="preserve"> are satisfied).”</w:t>
      </w:r>
    </w:p>
    <w:p>
      <w:pPr>
        <w:spacing w:after="0" w:line="180" w:lineRule="exact"/>
        <w:rPr>
          <w:sz w:val="20"/>
          <w:szCs w:val="20"/>
          <w:color w:val="auto"/>
        </w:rPr>
      </w:pPr>
    </w:p>
    <w:p>
      <w:pPr>
        <w:ind w:left="2160" w:hanging="855"/>
        <w:spacing w:after="0"/>
        <w:tabs>
          <w:tab w:leader="none" w:pos="2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Section 2.2.4 of the Credit Agreement is hereby amended by deleting the “(” immediately before “the Person” appears therein.</w:t>
      </w:r>
    </w:p>
    <w:p>
      <w:pPr>
        <w:spacing w:after="0" w:line="167" w:lineRule="exact"/>
        <w:rPr>
          <w:rFonts w:ascii="Arial" w:cs="Arial" w:eastAsia="Arial" w:hAnsi="Arial"/>
          <w:sz w:val="16"/>
          <w:szCs w:val="16"/>
          <w:color w:val="auto"/>
        </w:rPr>
      </w:pPr>
    </w:p>
    <w:p>
      <w:pPr>
        <w:ind w:left="2120" w:hanging="815"/>
        <w:spacing w:after="0"/>
        <w:tabs>
          <w:tab w:leader="none" w:pos="21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Section 2.3.1 of the Credit Agreement is hereby amended by deleting such subsection in its entirety and inserting in lieu thereof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130"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Issuance of Letters of Credit</w:t>
      </w:r>
      <w:r>
        <w:rPr>
          <w:rFonts w:ascii="Arial" w:cs="Arial" w:eastAsia="Arial" w:hAnsi="Arial"/>
          <w:sz w:val="18"/>
          <w:szCs w:val="18"/>
          <w:color w:val="auto"/>
        </w:rPr>
        <w:t>. Canadian Issuing Bank agrees to issue letters of credit and letters of guarantee for the account of the Canadian Borrower (“</w:t>
      </w:r>
      <w:r>
        <w:rPr>
          <w:rFonts w:ascii="Arial" w:cs="Arial" w:eastAsia="Arial" w:hAnsi="Arial"/>
          <w:sz w:val="18"/>
          <w:szCs w:val="18"/>
          <w:u w:val="single" w:color="auto"/>
          <w:color w:val="auto"/>
        </w:rPr>
        <w:t>Canadian Letters of Credit</w:t>
      </w:r>
      <w:r>
        <w:rPr>
          <w:rFonts w:ascii="Arial" w:cs="Arial" w:eastAsia="Arial" w:hAnsi="Arial"/>
          <w:sz w:val="18"/>
          <w:szCs w:val="18"/>
          <w:color w:val="auto"/>
        </w:rPr>
        <w:t>”) from time to time until (x) fifteen (15) Business Days prior to the Facility Termination Date (or until the Canadian Revolver Commitment Termination Date, if earlier) or (y) with the consent of the Agent and Canadian Issuing Bank, the Facility Termination Date (or until the Canadian Revolver Commitment Termination Date, if earlier), on the terms set forth herein, including the following:”</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4.34J</w:t>
      </w:r>
    </w:p>
    <w:p>
      <w:pPr>
        <w:spacing w:after="0" w:line="364" w:lineRule="exact"/>
        <w:rPr>
          <w:sz w:val="20"/>
          <w:szCs w:val="20"/>
          <w:color w:val="auto"/>
        </w:rPr>
      </w:pPr>
    </w:p>
    <w:p>
      <w:pPr>
        <w:ind w:firstLine="1305"/>
        <w:spacing w:after="0" w:line="277" w:lineRule="auto"/>
        <w:tabs>
          <w:tab w:leader="none" w:pos="22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2.3.1(a) of the Credit Agreement is hereby amended by deleting the first sentence in such subsection in its entirety and inserting in lieu thereof the following:</w:t>
      </w:r>
    </w:p>
    <w:p>
      <w:pPr>
        <w:spacing w:after="0" w:line="8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Canadian Borrower acknowledges that Canadian Issuing Bank’s willingness to issue any Canadian Letter of Credit is conditioned upon Canadian Issuing Bank’s receipt of an LC Application with respect to the requested Canadian Letter of Credit, as well as such other instruments and agreements as Canadian Issuing Bank may customarily require for issuance of a letter of credit or letter of guarantee of similar type and amount.”</w:t>
      </w:r>
    </w:p>
    <w:p>
      <w:pPr>
        <w:spacing w:after="0" w:line="187" w:lineRule="exact"/>
        <w:rPr>
          <w:sz w:val="20"/>
          <w:szCs w:val="20"/>
          <w:color w:val="auto"/>
        </w:rPr>
      </w:pPr>
    </w:p>
    <w:p>
      <w:pPr>
        <w:ind w:left="2160" w:hanging="855"/>
        <w:spacing w:after="0"/>
        <w:tabs>
          <w:tab w:leader="none" w:pos="21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Section 2.3.1(b) of the Credit Agreement is hereby amended by deleting such subsection in its entirety and inserting in lieu</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 the following:</w:t>
      </w:r>
    </w:p>
    <w:p>
      <w:pPr>
        <w:spacing w:after="0" w:line="130" w:lineRule="exact"/>
        <w:rPr>
          <w:sz w:val="20"/>
          <w:szCs w:val="20"/>
          <w:color w:val="auto"/>
        </w:rPr>
      </w:pPr>
    </w:p>
    <w:p>
      <w:pPr>
        <w:jc w:val="both"/>
        <w:ind w:left="1300"/>
        <w:spacing w:after="0" w:line="268" w:lineRule="auto"/>
        <w:rPr>
          <w:sz w:val="20"/>
          <w:szCs w:val="20"/>
          <w:color w:val="auto"/>
        </w:rPr>
      </w:pPr>
      <w:r>
        <w:rPr>
          <w:rFonts w:ascii="Arial" w:cs="Arial" w:eastAsia="Arial" w:hAnsi="Arial"/>
          <w:sz w:val="17"/>
          <w:szCs w:val="17"/>
          <w:color w:val="auto"/>
        </w:rPr>
        <w:t>“(b) Letters of Credit may be requested by the Loan Party Agent for the account of Canadian Borrower only (i) to support obligations of a Canadian Domiciled Loan Party incurred in the Ordinary Course of Business; or (ii) for other purposes as the Agent may approve from time to time in writing. The renewal or extension of any Canadian Letter of Credit shall be treated as the issuance of a new Canadian Letter of Credit, except that delivery of a new LC Application may be required at the discretion of Canadian Issuing Bank. Notwithstanding that a Canadian Letter of Credit issued or outstanding hereunder is in support of obligations of a Canadian Domiciled Loan Party incurred in the Ordinary Course of Business or for other purposes as the Agent may approve from time to time in writing, the Canadian Borrower shall be obligated to reimburse, indemnify and compensate the applicable Issuing Bank hereunder for any and all drawings under such Letter of Credit as if such Letter of Credit had been issued solely for the account of the Canadian Borrower. The Canadian Borrower irrevocably waives any and all defenses that might otherwise be available to it as a guarantor or surety of any or all of the obligations of any such Canadian Domiciled Loan Party or other Subsidiary in respect of such Letter of Credit. The Canadian Borrower hereby acknowledges that the issuance of Canadian Letters of Credit for the account of Canadian Domiciled Loan Parties or other Subsidiaries inures to the benefit of the Canadian Borrower, and that the Canadian Borrower’s business derives substantial benefits from the businesses of such Canadian Domiciled Loan Parties or other Subsidiaries.”</w:t>
      </w:r>
    </w:p>
    <w:p>
      <w:pPr>
        <w:spacing w:after="0" w:line="188" w:lineRule="exact"/>
        <w:rPr>
          <w:sz w:val="20"/>
          <w:szCs w:val="20"/>
          <w:color w:val="auto"/>
        </w:rPr>
      </w:pPr>
    </w:p>
    <w:p>
      <w:pPr>
        <w:ind w:firstLine="1305"/>
        <w:spacing w:after="0" w:line="277" w:lineRule="auto"/>
        <w:tabs>
          <w:tab w:leader="none" w:pos="21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2.3.2(a) of the Credit Agreement is hereby amended by deleting the second sentence of such section in its entirety and inserting in lieu thereof the following:</w:t>
      </w:r>
    </w:p>
    <w:p>
      <w:pPr>
        <w:spacing w:after="0" w:line="89" w:lineRule="exact"/>
        <w:rPr>
          <w:sz w:val="20"/>
          <w:szCs w:val="20"/>
          <w:color w:val="auto"/>
        </w:rPr>
      </w:pPr>
    </w:p>
    <w:p>
      <w:pPr>
        <w:jc w:val="both"/>
        <w:ind w:left="1300"/>
        <w:spacing w:after="0" w:line="291" w:lineRule="auto"/>
        <w:rPr>
          <w:sz w:val="20"/>
          <w:szCs w:val="20"/>
          <w:color w:val="auto"/>
        </w:rPr>
      </w:pPr>
      <w:r>
        <w:rPr>
          <w:rFonts w:ascii="Arial" w:cs="Arial" w:eastAsia="Arial" w:hAnsi="Arial"/>
          <w:sz w:val="16"/>
          <w:szCs w:val="16"/>
          <w:color w:val="auto"/>
        </w:rPr>
        <w:t>“The obligation of the Canadian Borrower to reimburse Canadian Issuing Bank for any payment made under a Canadian Letter of Credit shall be absolute, unconditional and irrevocable, and shall be paid under any and all circumstances whatsoever without regard to any lack of validity or enforceability of any Canadian Letter of Credit, any adverse change in the relevant exchange rates or in the availability of any relevant Alternative Currency to the U.S. Borrower or in the relevant currency markets generally, the existence of any claim, setoff, defense or other right that the Canadian Borrower or any other Canadian Domiciled Loan Parties may have at any time against the beneficiary, or any other event or circumstance whatsoever, whether or not similar to any of the foregoing, that might, but for the provisions of this Section, constitute a legal or equitable discharge of, or provide a right of setoff against, the Canadian Borrower’s obligations hereunder.”</w:t>
      </w:r>
    </w:p>
    <w:p>
      <w:pPr>
        <w:spacing w:after="0" w:line="167" w:lineRule="exact"/>
        <w:rPr>
          <w:sz w:val="20"/>
          <w:szCs w:val="20"/>
          <w:color w:val="auto"/>
        </w:rPr>
      </w:pPr>
    </w:p>
    <w:p>
      <w:pPr>
        <w:ind w:firstLine="1305"/>
        <w:spacing w:after="0" w:line="277" w:lineRule="auto"/>
        <w:tabs>
          <w:tab w:leader="none" w:pos="21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2.3.2(b) of the Credit Agreement is hereby amended by adding “in Dollars or Canadian Dollars, as the case may be,” immediately after “unconditionally pay” appears therein.</w:t>
      </w:r>
    </w:p>
    <w:p>
      <w:pPr>
        <w:spacing w:after="0" w:line="89" w:lineRule="exact"/>
        <w:rPr>
          <w:rFonts w:ascii="Arial" w:cs="Arial" w:eastAsia="Arial" w:hAnsi="Arial"/>
          <w:sz w:val="18"/>
          <w:szCs w:val="18"/>
          <w:color w:val="auto"/>
        </w:rPr>
      </w:pPr>
    </w:p>
    <w:p>
      <w:pPr>
        <w:ind w:left="2160" w:hanging="855"/>
        <w:spacing w:after="0"/>
        <w:tabs>
          <w:tab w:leader="none" w:pos="2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Section 2.3.4 of the Credit Agreement is hereby amended by deleting the “(” immediately before “the Person” appears therein.</w:t>
      </w:r>
    </w:p>
    <w:p>
      <w:pPr>
        <w:spacing w:after="0" w:line="167" w:lineRule="exact"/>
        <w:rPr>
          <w:rFonts w:ascii="Arial" w:cs="Arial" w:eastAsia="Arial" w:hAnsi="Arial"/>
          <w:sz w:val="16"/>
          <w:szCs w:val="16"/>
          <w:color w:val="auto"/>
        </w:rPr>
      </w:pPr>
    </w:p>
    <w:p>
      <w:pPr>
        <w:ind w:left="2140" w:hanging="835"/>
        <w:spacing w:after="0"/>
        <w:tabs>
          <w:tab w:leader="none" w:pos="2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Section 3.2.2 of the Credit Agreement is hereby amended by deleting the first sentence such section in its entirety and inserting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lieu thereof the following:</w:t>
      </w:r>
    </w:p>
    <w:p>
      <w:pPr>
        <w:spacing w:after="0" w:line="130" w:lineRule="exact"/>
        <w:rPr>
          <w:sz w:val="20"/>
          <w:szCs w:val="20"/>
          <w:color w:val="auto"/>
        </w:rPr>
      </w:pPr>
    </w:p>
    <w:p>
      <w:pPr>
        <w:jc w:val="both"/>
        <w:ind w:left="1300"/>
        <w:spacing w:after="0" w:line="290" w:lineRule="auto"/>
        <w:rPr>
          <w:sz w:val="20"/>
          <w:szCs w:val="20"/>
          <w:color w:val="auto"/>
        </w:rPr>
      </w:pPr>
      <w:r>
        <w:rPr>
          <w:rFonts w:ascii="Arial" w:cs="Arial" w:eastAsia="Arial" w:hAnsi="Arial"/>
          <w:sz w:val="16"/>
          <w:szCs w:val="16"/>
          <w:color w:val="auto"/>
        </w:rPr>
        <w:t xml:space="preserve">“The U.S. Borrower shall pay (a) to the Agent, for the Pro Rata benefit of the U.S. Lenders, a fee equal to the per annum rate of the Applicable Margin in effect for LIBOR Loans times the Dollar Equivalent of the average daily stated amount of U.S. Letters of Credit, which fee shall be payable monthly in arrears, on the first (1st) day of each month; (b) to U.S. Issuing Bank, for its own account, a fronting fee equal to .125% per annum on the Dollar Equivalent of the stated amount of each U.S. Letter of Credit issued by U.S. Issuing Bank, which fee shall be payable monthly in arrears, on the first (1st) day of each month; and (c) to U.S. Issuing Bank, for its own account, all customary charges associated with the issuance, amending, negotiating, payment, processing, transfer and administration of U.S. Letters of Credit, which charges shall be paid as and when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all amounts payable pursuant to this </w:t>
      </w:r>
      <w:r>
        <w:rPr>
          <w:rFonts w:ascii="Arial" w:cs="Arial" w:eastAsia="Arial" w:hAnsi="Arial"/>
          <w:sz w:val="16"/>
          <w:szCs w:val="16"/>
          <w:b w:val="1"/>
          <w:bCs w:val="1"/>
          <w:color w:val="auto"/>
        </w:rPr>
        <w:t xml:space="preserve">clause (c) </w:t>
      </w:r>
      <w:r>
        <w:rPr>
          <w:rFonts w:ascii="Arial" w:cs="Arial" w:eastAsia="Arial" w:hAnsi="Arial"/>
          <w:sz w:val="16"/>
          <w:szCs w:val="16"/>
          <w:color w:val="auto"/>
        </w:rPr>
        <w:t>with respect to the Existing Letters of Credit shall be determined in accordance with the applicable documentation thereto.”</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4.34J</w:t>
      </w:r>
    </w:p>
    <w:p>
      <w:pPr>
        <w:spacing w:after="0" w:line="364" w:lineRule="exact"/>
        <w:rPr>
          <w:sz w:val="20"/>
          <w:szCs w:val="20"/>
          <w:color w:val="auto"/>
        </w:rPr>
      </w:pPr>
    </w:p>
    <w:p>
      <w:pPr>
        <w:ind w:left="2140" w:hanging="835"/>
        <w:spacing w:after="0"/>
        <w:tabs>
          <w:tab w:leader="none" w:pos="2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Section 3.2.3 of the Credit Agreement is hereby amended by deleting the first sentence such section in its entirety and inserting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lieu thereof the following:</w:t>
      </w:r>
    </w:p>
    <w:p>
      <w:pPr>
        <w:spacing w:after="0" w:line="130"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 xml:space="preserve">“The Canadian Borrower shall pay (a) to the Agent, for the Pro Rata benefit of the Canadian Lenders, a fee equal to the per annum rate of the Applicable Margin in effect for Canadian BA Rate Loans times the Dollar Equivalent of the average daily stated amount of Canadian Letters of Credit, which fee shall be payable monthly in arrears, on the first (1st) day of each month; (b) to Canadian Issuing Bank, for its own account, a fronting fee equal to .125% per annum on the Dollar Equivalent of the stated amount of each Canadian Letter of Credit issued by Canadian Issuing Bank, which fee shall be payable monthly in arrears, on the first (1st) day of each month; and (c) to Canadian Issuing Bank, for its own account, all customary charges associated with the issuance, amending, negotiating, payment, processing, transfer and administration of Canadian Letters of Credit, which charges shall be paid as and when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all amounts payable pursuant to this </w:t>
      </w:r>
      <w:r>
        <w:rPr>
          <w:rFonts w:ascii="Arial" w:cs="Arial" w:eastAsia="Arial" w:hAnsi="Arial"/>
          <w:sz w:val="17"/>
          <w:szCs w:val="17"/>
          <w:b w:val="1"/>
          <w:bCs w:val="1"/>
          <w:color w:val="auto"/>
        </w:rPr>
        <w:t>clause (c)</w:t>
      </w:r>
      <w:r>
        <w:rPr>
          <w:rFonts w:ascii="Arial" w:cs="Arial" w:eastAsia="Arial" w:hAnsi="Arial"/>
          <w:sz w:val="17"/>
          <w:szCs w:val="17"/>
          <w:color w:val="auto"/>
        </w:rPr>
        <w:t xml:space="preserve"> with respect to the Existing Letters of Credit shall be determined in accordance with the applicable documentation thereto.”</w:t>
      </w:r>
    </w:p>
    <w:p>
      <w:pPr>
        <w:spacing w:after="0" w:line="182" w:lineRule="exact"/>
        <w:rPr>
          <w:sz w:val="20"/>
          <w:szCs w:val="20"/>
          <w:color w:val="auto"/>
        </w:rPr>
      </w:pPr>
    </w:p>
    <w:p>
      <w:pPr>
        <w:ind w:left="2120" w:hanging="815"/>
        <w:spacing w:after="0"/>
        <w:tabs>
          <w:tab w:leader="none" w:pos="21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Section 3.9 of the Credit Agreement is hereby amended by deleting such section in its entirety and inserting in lieu thereof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26"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3.9</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Funding Losses.</w:t>
      </w:r>
      <w:r>
        <w:rPr>
          <w:rFonts w:ascii="Arial" w:cs="Arial" w:eastAsia="Arial" w:hAnsi="Arial"/>
          <w:sz w:val="17"/>
          <w:szCs w:val="17"/>
          <w:color w:val="auto"/>
        </w:rPr>
        <w:t xml:space="preserve"> If for any reason (other than default by a Lender) (a) any Borrowing of, or conversion to or continuation of, an Interest Period Loan does not occur on the date specified therefor in a Notice of Borrowing or Notice of Conversion/Continuation (whether or not withdrawn), (b) any repayment or conversion of an Interest Period Loan occurs on a day other than the end of its Interest Period, (c) any Borrower fails to repay an Interest Period Loan when required hereunder, or (d) any Borrower fails to repay any drawing under any Letter of Credit (or interest due thereon) denominated in an Alternative Currency on its scheduled due date or any payment thereof in a different currency, then such Borrower shall pay to the Agent its customary administrative charge and to each Lender and the applicable Issuing Bank all losses and expenses that it sustains as a consequence thereof, including any loss or expense arising from liquidation or redeployment of funds or from fees payable to terminate deposits of matching funds, but excluding loss of margin. All amounts payable by the Borrowers under this </w:t>
      </w:r>
      <w:r>
        <w:rPr>
          <w:rFonts w:ascii="Arial" w:cs="Arial" w:eastAsia="Arial" w:hAnsi="Arial"/>
          <w:sz w:val="17"/>
          <w:szCs w:val="17"/>
          <w:b w:val="1"/>
          <w:bCs w:val="1"/>
          <w:color w:val="auto"/>
        </w:rPr>
        <w:t>Section 3.9</w:t>
      </w:r>
      <w:r>
        <w:rPr>
          <w:rFonts w:ascii="Arial" w:cs="Arial" w:eastAsia="Arial" w:hAnsi="Arial"/>
          <w:sz w:val="17"/>
          <w:szCs w:val="17"/>
          <w:color w:val="auto"/>
        </w:rPr>
        <w:t xml:space="preserve"> shall be due and payable in accordance with </w:t>
      </w:r>
      <w:r>
        <w:rPr>
          <w:rFonts w:ascii="Arial" w:cs="Arial" w:eastAsia="Arial" w:hAnsi="Arial"/>
          <w:sz w:val="17"/>
          <w:szCs w:val="17"/>
          <w:b w:val="1"/>
          <w:bCs w:val="1"/>
          <w:color w:val="auto"/>
        </w:rPr>
        <w:t>Section 3.3.</w:t>
      </w:r>
      <w:r>
        <w:rPr>
          <w:rFonts w:ascii="Arial" w:cs="Arial" w:eastAsia="Arial" w:hAnsi="Arial"/>
          <w:sz w:val="17"/>
          <w:szCs w:val="17"/>
          <w:color w:val="auto"/>
        </w:rPr>
        <w:t xml:space="preserve"> The Lenders shall not be required to purchase Dollar deposits in the London interbank market or any other offshore Dollar market to fund any LIBOR Loan, but the provisions hereof shall apply as if each Lender had purchased such deposits.”</w:t>
      </w:r>
    </w:p>
    <w:p>
      <w:pPr>
        <w:spacing w:after="0" w:line="178" w:lineRule="exact"/>
        <w:rPr>
          <w:sz w:val="20"/>
          <w:szCs w:val="20"/>
          <w:color w:val="auto"/>
        </w:rPr>
      </w:pPr>
    </w:p>
    <w:p>
      <w:pPr>
        <w:ind w:left="2160" w:hanging="855"/>
        <w:spacing w:after="0"/>
        <w:tabs>
          <w:tab w:leader="none" w:pos="21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Section 5.11.1 of the Credit Agreement is hereby amended by deleting such subsection in its entirety and inserting in lieu</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 the following:</w:t>
      </w:r>
    </w:p>
    <w:p>
      <w:pPr>
        <w:spacing w:after="0" w:line="126" w:lineRule="exact"/>
        <w:rPr>
          <w:sz w:val="20"/>
          <w:szCs w:val="20"/>
          <w:color w:val="auto"/>
        </w:rPr>
      </w:pPr>
    </w:p>
    <w:p>
      <w:pPr>
        <w:ind w:left="1300" w:right="20"/>
        <w:spacing w:after="0" w:line="347" w:lineRule="auto"/>
        <w:rPr>
          <w:sz w:val="20"/>
          <w:szCs w:val="20"/>
          <w:color w:val="auto"/>
        </w:rPr>
      </w:pPr>
      <w:r>
        <w:rPr>
          <w:rFonts w:ascii="Arial" w:cs="Arial" w:eastAsia="Arial" w:hAnsi="Arial"/>
          <w:sz w:val="16"/>
          <w:szCs w:val="16"/>
          <w:color w:val="auto"/>
        </w:rPr>
        <w:t xml:space="preserve">“5.11.1 Except as otherwise explicitly set forth herein (including in </w:t>
      </w:r>
      <w:r>
        <w:rPr>
          <w:rFonts w:ascii="Arial" w:cs="Arial" w:eastAsia="Arial" w:hAnsi="Arial"/>
          <w:sz w:val="16"/>
          <w:szCs w:val="16"/>
          <w:b w:val="1"/>
          <w:bCs w:val="1"/>
          <w:color w:val="auto"/>
        </w:rPr>
        <w:t>Section 2.2.2</w:t>
      </w:r>
      <w:r>
        <w:rPr>
          <w:rFonts w:ascii="Arial" w:cs="Arial" w:eastAsia="Arial" w:hAnsi="Arial"/>
          <w:sz w:val="16"/>
          <w:szCs w:val="16"/>
          <w:color w:val="auto"/>
        </w:rPr>
        <w:t>), each repayment of a Revolver Loan or LC Obligation or a part thereof shall be made in the currency in which such Revolver Loan or LC Obligation is denominated at the time of that repayment;”</w:t>
      </w:r>
    </w:p>
    <w:p>
      <w:pPr>
        <w:spacing w:after="0" w:line="120" w:lineRule="exact"/>
        <w:rPr>
          <w:sz w:val="20"/>
          <w:szCs w:val="20"/>
          <w:color w:val="auto"/>
        </w:rPr>
      </w:pPr>
    </w:p>
    <w:p>
      <w:pPr>
        <w:ind w:left="2160" w:hanging="855"/>
        <w:spacing w:after="0"/>
        <w:tabs>
          <w:tab w:leader="none" w:pos="21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Section 5.12 of the Credit Agreement is hereby amended by deleting such section in its entirety and inserting in lieu thereof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26" w:lineRule="exact"/>
        <w:rPr>
          <w:sz w:val="20"/>
          <w:szCs w:val="20"/>
          <w:color w:val="auto"/>
        </w:rPr>
      </w:pPr>
    </w:p>
    <w:p>
      <w:pPr>
        <w:jc w:val="both"/>
        <w:ind w:left="130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5.12</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Currency Fluctuations.</w:t>
      </w:r>
      <w:r>
        <w:rPr>
          <w:rFonts w:ascii="Arial" w:cs="Arial" w:eastAsia="Arial" w:hAnsi="Arial"/>
          <w:sz w:val="17"/>
          <w:szCs w:val="17"/>
          <w:color w:val="auto"/>
        </w:rPr>
        <w:t xml:space="preserve"> On each Business Day or such other date determined by the Agent, the Agent shall determine the Exchange Rate as of such date. The Exchange Rate so determined shall become effective on the first Business Day immediately following such determination (a “</w:t>
      </w:r>
      <w:r>
        <w:rPr>
          <w:rFonts w:ascii="Arial" w:cs="Arial" w:eastAsia="Arial" w:hAnsi="Arial"/>
          <w:sz w:val="17"/>
          <w:szCs w:val="17"/>
          <w:u w:val="single" w:color="auto"/>
          <w:color w:val="auto"/>
        </w:rPr>
        <w:t>Reset Date</w:t>
      </w:r>
      <w:r>
        <w:rPr>
          <w:rFonts w:ascii="Arial" w:cs="Arial" w:eastAsia="Arial" w:hAnsi="Arial"/>
          <w:sz w:val="17"/>
          <w:szCs w:val="17"/>
          <w:color w:val="auto"/>
        </w:rPr>
        <w:t>”) and shall remain effective until the next succeeding Reset Date. On each Reset Date, the Agent shall determine the Dollar Equivalent of the Canadian Revolver Exposure and Dollar Equivalent of any U.S. LC Obligations arising under U.S. Letters of Credit issued in Canadian Dollars or an Alternative Currency. If, on any Reset Date, the Total Revolver Exposure exceeds the total amount of the Commitments on such date, the U.S. LC Obligations on such date exceed the U.S. Letter of Credit Sublimit, the U.S. Revolver Exposure on such date exceeds the U.S. Borrowing Base, or the Canadian LC Obligations on such date exceed the Canadian Letter of Credit Sublimit, the Canadian Revolver Exposure on such date exceeds the Canadian Borrowing Base on such date (the amount of any such excess referred to herein as the “</w:t>
      </w:r>
      <w:r>
        <w:rPr>
          <w:rFonts w:ascii="Arial" w:cs="Arial" w:eastAsia="Arial" w:hAnsi="Arial"/>
          <w:sz w:val="17"/>
          <w:szCs w:val="17"/>
          <w:u w:val="single" w:color="auto"/>
          <w:color w:val="auto"/>
        </w:rPr>
        <w:t>Excess Amount</w:t>
      </w:r>
      <w:r>
        <w:rPr>
          <w:rFonts w:ascii="Arial" w:cs="Arial" w:eastAsia="Arial" w:hAnsi="Arial"/>
          <w:sz w:val="17"/>
          <w:szCs w:val="17"/>
          <w:color w:val="auto"/>
        </w:rPr>
        <w:t>”) then (a) the Agent shall give notice thereof to the Borrowers and the Lenders and (b) within two (2) Business Days thereafter, the Borrowers shall cause such excess to be eliminated, either by repayment of Revolver Loans or depositing of Cash Collateral with the Agent with respect to LC Obligations and, until such Excess Amount is repaid, the Lenders shall not have any obligation to make any Loans.”</w:t>
      </w:r>
    </w:p>
    <w:p>
      <w:pPr>
        <w:spacing w:after="0" w:line="184" w:lineRule="exact"/>
        <w:rPr>
          <w:sz w:val="20"/>
          <w:szCs w:val="20"/>
          <w:color w:val="auto"/>
        </w:rPr>
      </w:pPr>
    </w:p>
    <w:p>
      <w:pPr>
        <w:ind w:left="2200" w:hanging="895"/>
        <w:spacing w:after="0"/>
        <w:tabs>
          <w:tab w:leader="none" w:pos="22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Credit Agreement is hereby amended by adding the following new Section 14.24 in the appropriate numerical order:</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jc w:val="both"/>
        <w:ind w:left="13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14.2.4</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Acknowledgment Regarding Any Support QFCs</w:t>
      </w:r>
      <w:r>
        <w:rPr>
          <w:rFonts w:ascii="Arial" w:cs="Arial" w:eastAsia="Arial" w:hAnsi="Arial"/>
          <w:sz w:val="16"/>
          <w:szCs w:val="16"/>
          <w:color w:val="auto"/>
        </w:rPr>
        <w:t>. To the extent that the Loan Documents provide support, through a guarantee or otherwise, for any Hedging Agreement or any other agreement 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hereof, the following terms shall have the following meanings:</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(a) a “covered entity” as that term is defined in, and interpreted in accordance with, 12 C.F.R.</w:t>
      </w:r>
    </w:p>
    <w:p>
      <w:pPr>
        <w:spacing w:after="0" w:line="46" w:lineRule="exact"/>
        <w:rPr>
          <w:sz w:val="20"/>
          <w:szCs w:val="20"/>
          <w:color w:val="auto"/>
        </w:rPr>
      </w:pPr>
    </w:p>
    <w:p>
      <w:pPr>
        <w:ind w:left="1300" w:firstLine="5"/>
        <w:spacing w:after="0" w:line="261" w:lineRule="auto"/>
        <w:tabs>
          <w:tab w:leader="none" w:pos="14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84"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70" w:lineRule="exact"/>
        <w:rPr>
          <w:sz w:val="20"/>
          <w:szCs w:val="20"/>
          <w:color w:val="auto"/>
        </w:rPr>
      </w:pPr>
    </w:p>
    <w:p>
      <w:pPr>
        <w:ind w:left="1440" w:hanging="784"/>
        <w:spacing w:after="0"/>
        <w:tabs>
          <w:tab w:leader="none" w:pos="14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Loan Party hereby represents and warrants that:</w:t>
      </w:r>
    </w:p>
    <w:p>
      <w:pPr>
        <w:spacing w:after="0" w:line="144" w:lineRule="exact"/>
        <w:rPr>
          <w:rFonts w:ascii="Arial" w:cs="Arial" w:eastAsia="Arial" w:hAnsi="Arial"/>
          <w:sz w:val="18"/>
          <w:szCs w:val="18"/>
          <w:color w:val="auto"/>
        </w:rPr>
      </w:pPr>
    </w:p>
    <w:p>
      <w:pPr>
        <w:ind w:left="2160" w:hanging="855"/>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44" w:lineRule="exact"/>
        <w:rPr>
          <w:rFonts w:ascii="Arial" w:cs="Arial" w:eastAsia="Arial" w:hAnsi="Arial"/>
          <w:sz w:val="18"/>
          <w:szCs w:val="18"/>
          <w:color w:val="auto"/>
        </w:rPr>
      </w:pPr>
    </w:p>
    <w:p>
      <w:pPr>
        <w:jc w:val="both"/>
        <w:ind w:firstLine="1305"/>
        <w:spacing w:after="0" w:line="257" w:lineRule="auto"/>
        <w:tabs>
          <w:tab w:leader="none" w:pos="2155"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execution, delivery and performance of this Fourth Amendment by each Loan Party are all within such Loan Party’s corporate powers, are not in contravention of any Applicable Law or the terms of such Loan Party’s Organic Documents, the Goldman Term Loan Agreement, or any indenture, agreement or undertaking to which such Loan Party is a party or by which such Loan Party or its property is bound, and shall not result in the creation or imposition of any lien, claim, charge or encumbrance upon any of the Collateral, except in favor of Agent and the other Secured Parties pursuant to the Credit Agreement and the other Loan Documents as amended hereby;</w:t>
      </w:r>
    </w:p>
    <w:p>
      <w:pPr>
        <w:spacing w:after="0" w:line="107" w:lineRule="exact"/>
        <w:rPr>
          <w:rFonts w:ascii="Arial" w:cs="Arial" w:eastAsia="Arial" w:hAnsi="Arial"/>
          <w:sz w:val="18"/>
          <w:szCs w:val="18"/>
          <w:color w:val="auto"/>
        </w:rPr>
      </w:pPr>
    </w:p>
    <w:p>
      <w:pPr>
        <w:jc w:val="both"/>
        <w:ind w:firstLine="1305"/>
        <w:spacing w:after="0" w:line="276" w:lineRule="auto"/>
        <w:tabs>
          <w:tab w:leader="none" w:pos="2144"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this Fourth Amendment and each other agreement or instrument to be executed and delivered by the Loan Parties in connection herewith have been duly authorized, executed and delivered by all necessary action on the part of such Loan Party and, if necessary, its stockholders, as the case may be, and the agreements and obligations of each Loan Party contained herein and therein constitute the legal, valid and binding obligations of such Loan Party, enforceable against it in accordance with their terms, except as enforceability is limited by bankruptcy, insolvency, reorganization, receivership, moratorium or other laws affecting creditor’s rights generally and by general principles of equity; and</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4.34J</w:t>
      </w:r>
    </w:p>
    <w:p>
      <w:pPr>
        <w:spacing w:after="0" w:line="364" w:lineRule="exact"/>
        <w:rPr>
          <w:sz w:val="20"/>
          <w:szCs w:val="20"/>
          <w:color w:val="auto"/>
        </w:rPr>
      </w:pPr>
    </w:p>
    <w:p>
      <w:pPr>
        <w:jc w:val="both"/>
        <w:ind w:firstLine="1305"/>
        <w:spacing w:after="0" w:line="286" w:lineRule="auto"/>
        <w:tabs>
          <w:tab w:leader="none" w:pos="2155" w:val="left"/>
        </w:tabs>
        <w:numPr>
          <w:ilvl w:val="2"/>
          <w:numId w:val="65"/>
        </w:numPr>
        <w:rPr>
          <w:rFonts w:ascii="Arial" w:cs="Arial" w:eastAsia="Arial" w:hAnsi="Arial"/>
          <w:sz w:val="16"/>
          <w:szCs w:val="16"/>
          <w:color w:val="auto"/>
        </w:rPr>
      </w:pPr>
      <w:r>
        <w:rPr>
          <w:rFonts w:ascii="Arial" w:cs="Arial" w:eastAsia="Arial" w:hAnsi="Arial"/>
          <w:sz w:val="16"/>
          <w:szCs w:val="16"/>
          <w:color w:val="auto"/>
        </w:rPr>
        <w:t>after giving effect to this Fourth Amendment, all representations and warranties contained in the Credit Agreement and each other Loan Document are true and correct in all respects on and as of the date hereof, except to the extent that such representations and warranties specifically refer to an earlier date, in which case they shall be true and correct as of such earlier date, and except for the representations and warranties contained in Sections 9.1.5(a) and (b) of the Credit Agreement, which shall be deemed to refer to the most recent statements furnished pursuant to Sections 10.1.1(a)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 the Credit Agreement, respectively.</w:t>
      </w:r>
    </w:p>
    <w:p>
      <w:pPr>
        <w:spacing w:after="0" w:line="129" w:lineRule="exact"/>
        <w:rPr>
          <w:rFonts w:ascii="Arial" w:cs="Arial" w:eastAsia="Arial" w:hAnsi="Arial"/>
          <w:sz w:val="18"/>
          <w:szCs w:val="18"/>
          <w:color w:val="auto"/>
        </w:rPr>
      </w:pPr>
    </w:p>
    <w:p>
      <w:pPr>
        <w:ind w:firstLine="656"/>
        <w:spacing w:after="0" w:line="277" w:lineRule="auto"/>
        <w:tabs>
          <w:tab w:leader="none" w:pos="1431"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Fourth Amendment shall not be effective until each of the following conditions precedent have been fulfilled to the satisfaction of the Agent (such date referred to herein as,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2160" w:hanging="855"/>
        <w:spacing w:after="0"/>
        <w:tabs>
          <w:tab w:leader="none" w:pos="21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Issuing Banks and Required Lenders shall have approved this Fourth Amendment;</w:t>
      </w:r>
    </w:p>
    <w:p>
      <w:pPr>
        <w:spacing w:after="0" w:line="144" w:lineRule="exact"/>
        <w:rPr>
          <w:rFonts w:ascii="Arial" w:cs="Arial" w:eastAsia="Arial" w:hAnsi="Arial"/>
          <w:sz w:val="18"/>
          <w:szCs w:val="18"/>
          <w:color w:val="auto"/>
        </w:rPr>
      </w:pPr>
    </w:p>
    <w:p>
      <w:pPr>
        <w:ind w:left="2160" w:hanging="855"/>
        <w:spacing w:after="0"/>
        <w:tabs>
          <w:tab w:leader="none" w:pos="21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Agent shall have received this Fourth Amendment, duly executed by each of the parties hereto;</w:t>
      </w:r>
    </w:p>
    <w:p>
      <w:pPr>
        <w:spacing w:after="0" w:line="144" w:lineRule="exact"/>
        <w:rPr>
          <w:rFonts w:ascii="Arial" w:cs="Arial" w:eastAsia="Arial" w:hAnsi="Arial"/>
          <w:sz w:val="18"/>
          <w:szCs w:val="18"/>
          <w:color w:val="auto"/>
        </w:rPr>
      </w:pPr>
    </w:p>
    <w:p>
      <w:pPr>
        <w:ind w:left="2160" w:hanging="855"/>
        <w:spacing w:after="0"/>
        <w:tabs>
          <w:tab w:leader="none" w:pos="216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after giving effect to this Fourth Amendment, no Default or Event of Default shall have occurred and be continuing;</w:t>
      </w:r>
    </w:p>
    <w:p>
      <w:pPr>
        <w:spacing w:after="0" w:line="144" w:lineRule="exact"/>
        <w:rPr>
          <w:rFonts w:ascii="Arial" w:cs="Arial" w:eastAsia="Arial" w:hAnsi="Arial"/>
          <w:sz w:val="18"/>
          <w:szCs w:val="18"/>
          <w:color w:val="auto"/>
        </w:rPr>
      </w:pPr>
    </w:p>
    <w:p>
      <w:pPr>
        <w:jc w:val="both"/>
        <w:ind w:firstLine="1305"/>
        <w:spacing w:after="0" w:line="259" w:lineRule="auto"/>
        <w:tabs>
          <w:tab w:leader="none" w:pos="2155" w:val="left"/>
        </w:tabs>
        <w:numPr>
          <w:ilvl w:val="2"/>
          <w:numId w:val="66"/>
        </w:numPr>
        <w:rPr>
          <w:rFonts w:ascii="Arial" w:cs="Arial" w:eastAsia="Arial" w:hAnsi="Arial"/>
          <w:sz w:val="18"/>
          <w:szCs w:val="18"/>
          <w:color w:val="auto"/>
        </w:rPr>
      </w:pPr>
      <w:r>
        <w:rPr>
          <w:rFonts w:ascii="Arial" w:cs="Arial" w:eastAsia="Arial" w:hAnsi="Arial"/>
          <w:sz w:val="18"/>
          <w:szCs w:val="18"/>
          <w:color w:val="auto"/>
        </w:rPr>
        <w:t>all orders, permissions, consents, approvals, licenses, authorizations and validations of, and filings, recordings and registrations with, and exemptions by, any Governmental Authority, or any other Person required to authorize or otherwise required in connection with the execution, delivery and performance by each Loan Party of this Fourth Amendment and the transactions contemplated, shall have been obtained and shall be in full force and effect; and</w:t>
      </w:r>
    </w:p>
    <w:p>
      <w:pPr>
        <w:spacing w:after="0" w:line="105" w:lineRule="exact"/>
        <w:rPr>
          <w:rFonts w:ascii="Arial" w:cs="Arial" w:eastAsia="Arial" w:hAnsi="Arial"/>
          <w:sz w:val="18"/>
          <w:szCs w:val="18"/>
          <w:color w:val="auto"/>
        </w:rPr>
      </w:pPr>
    </w:p>
    <w:p>
      <w:pPr>
        <w:jc w:val="both"/>
        <w:ind w:firstLine="1305"/>
        <w:spacing w:after="0" w:line="259" w:lineRule="auto"/>
        <w:tabs>
          <w:tab w:leader="none" w:pos="2144"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Borrowers shall have paid in full all fees and expenses of the Agent (including the fees, charges and disbursement of counsel to the Agent) incurred in connection with the preparation, execution, delivery and administration of this Fourth Amendment and the other instruments and documents to be delivered hereunder (with such fees and expenses described in this paragraph being fully earned as of the date hereof, and no portion thereof shall be refunded or returned to the Loan Parties under any circumstances).</w:t>
      </w:r>
    </w:p>
    <w:p>
      <w:pPr>
        <w:spacing w:after="0" w:line="105" w:lineRule="exact"/>
        <w:rPr>
          <w:rFonts w:ascii="Arial" w:cs="Arial" w:eastAsia="Arial" w:hAnsi="Arial"/>
          <w:sz w:val="18"/>
          <w:szCs w:val="18"/>
          <w:color w:val="auto"/>
        </w:rPr>
      </w:pPr>
    </w:p>
    <w:p>
      <w:pPr>
        <w:jc w:val="both"/>
        <w:ind w:firstLine="656"/>
        <w:spacing w:after="0" w:line="271" w:lineRule="auto"/>
        <w:tabs>
          <w:tab w:leader="none" w:pos="1431"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Effect on Loan Documents</w:t>
      </w:r>
      <w:r>
        <w:rPr>
          <w:rFonts w:ascii="Arial" w:cs="Arial" w:eastAsia="Arial" w:hAnsi="Arial"/>
          <w:sz w:val="17"/>
          <w:szCs w:val="17"/>
          <w:color w:val="auto"/>
        </w:rPr>
        <w:t>. The Credit Agreement and the other Loan Documents, after giving effect to the Fourth Amendment and any other Loan Documents to be executed simultaneously herewith, shall be and remain in full force and effect in accordance with their terms and hereby are ratified and confirmed in all respects. The execution, delivery, and performance of this Fourth Amendment shall not operate as a waiver of any right, power, or remedy of the Agent or any other Secured Party under the Credit Agreement or any other Loan Document, as in effect prior to the date hereof. Each Loan Party hereby ratifies and confirms in all respects all of its obligations (including with respect to Guarantees) and liabilities under the Loan Documents to which it is a party and each Loan Party hereby ratifies and confirms in all respects any prior grant of a security interest under the Loan Documents to which it is party, which security interests shall continue to secure the applicable Obligations (after giving effect to this Fourth Amendment), in each case, on and subject to the terms and conditions set forth in the Credit Agreement and the other Loan Documents.</w:t>
      </w:r>
    </w:p>
    <w:p>
      <w:pPr>
        <w:spacing w:after="0" w:line="97" w:lineRule="exact"/>
        <w:rPr>
          <w:rFonts w:ascii="Arial" w:cs="Arial" w:eastAsia="Arial" w:hAnsi="Arial"/>
          <w:sz w:val="17"/>
          <w:szCs w:val="17"/>
          <w:color w:val="auto"/>
        </w:rPr>
      </w:pPr>
    </w:p>
    <w:p>
      <w:pPr>
        <w:jc w:val="both"/>
        <w:ind w:firstLine="656"/>
        <w:spacing w:after="0" w:line="279" w:lineRule="auto"/>
        <w:tabs>
          <w:tab w:leader="none" w:pos="1431"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Loan Party shall execute and deliver all agreements, documents and instruments, each in form and substance satisfactory to the Agent, and take all actions as the Agent may reasonably request from time to time, to perfect and maintain the perfection and priority of the security interest in the Collateral held by the Agent and to fully consummate the transactions contemplated under this Fourth Amendment, the Credit Agreement, and the other Loan Documents, as modified hereby or simultaneously herewith, as applicable.</w:t>
      </w:r>
    </w:p>
    <w:p>
      <w:pPr>
        <w:spacing w:after="0" w:line="90" w:lineRule="exact"/>
        <w:rPr>
          <w:rFonts w:ascii="Arial" w:cs="Arial" w:eastAsia="Arial" w:hAnsi="Arial"/>
          <w:sz w:val="17"/>
          <w:szCs w:val="17"/>
          <w:color w:val="auto"/>
        </w:rPr>
      </w:pPr>
    </w:p>
    <w:p>
      <w:pPr>
        <w:jc w:val="both"/>
        <w:ind w:firstLine="656"/>
        <w:spacing w:after="0" w:line="269" w:lineRule="auto"/>
        <w:tabs>
          <w:tab w:leader="none" w:pos="1431"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Each Loan Party hereby remises, releases, acquits, satisfies and forever discharges Agent and the other Secured Parties, their agents, employees, officers, directors, predecessors, attorneys and all others acting on behalf of or at the direction of Agent or the other Secured Parties, of and from any and all manner of actions, causes of action, suit, debts, accounts, covenants, contracts, controversies, agreements, variances, damages, judgments, claims and demands whatsoever, in law or in equity, which any of such parties ever had, or now has, to the extent arising from or in connection with any act, omission or state of facts taken or existing on or prior to the Effective Date, against Agent and the other Secured Parties, their agents, employees, officers, directors, attorneys and all persons acting on behalf of or at the direction of Agent or the other Secured Parties (“</w:t>
      </w:r>
      <w:r>
        <w:rPr>
          <w:rFonts w:ascii="Arial" w:cs="Arial" w:eastAsia="Arial" w:hAnsi="Arial"/>
          <w:sz w:val="17"/>
          <w:szCs w:val="17"/>
          <w:u w:val="single" w:color="auto"/>
          <w:color w:val="auto"/>
        </w:rPr>
        <w:t>Releasees</w:t>
      </w:r>
      <w:r>
        <w:rPr>
          <w:rFonts w:ascii="Arial" w:cs="Arial" w:eastAsia="Arial" w:hAnsi="Arial"/>
          <w:sz w:val="17"/>
          <w:szCs w:val="17"/>
          <w:color w:val="auto"/>
        </w:rPr>
        <w:t>”), for, upon or by reason of any matter, cause or thing whatsoever arising under, or in connection with, or otherwise related to, the Loan Documents through the Effective Date. Without limiting the generality of the foregoing, each Loan Party waives and affirmatively agrees not to allege or otherwise pursue any defenses, affirmative defenses, counterclaims, claims, causes of action, setoffs or other rights they have or may have under, or in connection with, or otherwise related to, the Loan Documents as of the Effective Date, including, but not limited to, the rights to contest any conduct of Agent, the other Secured Parties or other Releasees on or prior to the Effective Date.</w:t>
      </w:r>
    </w:p>
    <w:p>
      <w:pPr>
        <w:spacing w:after="0" w:line="101" w:lineRule="exact"/>
        <w:rPr>
          <w:rFonts w:ascii="Arial" w:cs="Arial" w:eastAsia="Arial" w:hAnsi="Arial"/>
          <w:sz w:val="17"/>
          <w:szCs w:val="17"/>
          <w:color w:val="auto"/>
        </w:rPr>
      </w:pPr>
    </w:p>
    <w:p>
      <w:pPr>
        <w:ind w:firstLine="656"/>
        <w:spacing w:after="0" w:line="277" w:lineRule="auto"/>
        <w:tabs>
          <w:tab w:leader="none" w:pos="1431"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No Novation; Entire Agreement</w:t>
      </w:r>
      <w:r>
        <w:rPr>
          <w:rFonts w:ascii="Arial" w:cs="Arial" w:eastAsia="Arial" w:hAnsi="Arial"/>
          <w:sz w:val="18"/>
          <w:szCs w:val="18"/>
          <w:color w:val="auto"/>
        </w:rPr>
        <w:t>. This Fourth Amendment evidences solely the amendment of certain specified terms and obligations of the Loan Parties under the Credit Agreement and is not a novation or discharge of any of the other</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4.34J</w:t>
      </w:r>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of the Loan Parties under the Credit Agreement. There are no other understandings, express or implied, among the Loan Parties, the Agent and the other Secured Parties regarding the subject matter hereof or thereof.</w:t>
      </w:r>
    </w:p>
    <w:p>
      <w:pPr>
        <w:spacing w:after="0" w:line="89" w:lineRule="exact"/>
        <w:rPr>
          <w:sz w:val="20"/>
          <w:szCs w:val="20"/>
          <w:color w:val="auto"/>
        </w:rPr>
      </w:pPr>
    </w:p>
    <w:p>
      <w:pPr>
        <w:ind w:left="1440" w:hanging="784"/>
        <w:spacing w:after="0"/>
        <w:tabs>
          <w:tab w:leader="none" w:pos="14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FOURTH AMENDMENT SHALL BE GOVERNED BY THE LAWS OF THE STATE OF NEW YORK,</w:t>
      </w:r>
    </w:p>
    <w:p>
      <w:pPr>
        <w:spacing w:after="0" w:line="23"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r>
        <w:rPr>
          <w:rFonts w:ascii="Arial" w:cs="Arial" w:eastAsia="Arial" w:hAnsi="Arial"/>
          <w:sz w:val="18"/>
          <w:szCs w:val="18"/>
          <w:color w:val="auto"/>
        </w:rPr>
        <w:t>WITHOUT GIVING EFFECT TO ANY CONFLICT OF LAW PRINCIPLES (BUT GIVING EFFECT TO SECTION 5</w:t>
      </w:r>
      <w:r>
        <w:rPr>
          <w:rFonts w:ascii="MS PGothic" w:cs="MS PGothic" w:eastAsia="MS PGothic" w:hAnsi="MS PGothic"/>
          <w:sz w:val="18"/>
          <w:szCs w:val="18"/>
          <w:color w:val="auto"/>
        </w:rPr>
        <w:t>‑</w:t>
      </w:r>
      <w:r>
        <w:rPr>
          <w:rFonts w:ascii="Arial" w:cs="Arial" w:eastAsia="Arial" w:hAnsi="Arial"/>
          <w:sz w:val="18"/>
          <w:szCs w:val="18"/>
          <w:color w:val="auto"/>
        </w:rPr>
        <w:t>1401 OF THE NEW YORK GENERAL OBLIGATION LAW AND FEDERAL LAWS RELATING TO NATIONAL BANKS).</w:t>
      </w:r>
    </w:p>
    <w:p>
      <w:pPr>
        <w:spacing w:after="0" w:line="121" w:lineRule="exact"/>
        <w:rPr>
          <w:rFonts w:ascii="Arial" w:cs="Arial" w:eastAsia="Arial" w:hAnsi="Arial"/>
          <w:sz w:val="18"/>
          <w:szCs w:val="18"/>
          <w:color w:val="auto"/>
        </w:rPr>
      </w:pPr>
    </w:p>
    <w:p>
      <w:pPr>
        <w:jc w:val="both"/>
        <w:ind w:firstLine="656"/>
        <w:spacing w:after="0" w:line="279" w:lineRule="auto"/>
        <w:tabs>
          <w:tab w:leader="none" w:pos="152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Counterparts; Facsimile Execution</w:t>
      </w:r>
      <w:r>
        <w:rPr>
          <w:rFonts w:ascii="Arial" w:cs="Arial" w:eastAsia="Arial" w:hAnsi="Arial"/>
          <w:sz w:val="17"/>
          <w:szCs w:val="17"/>
          <w:color w:val="auto"/>
        </w:rPr>
        <w:t>. This Fourth Amendment may be executed in any number of counterparts and by different parties and on separate counterparts, each of which when so executed and delivered shall be deemed an original, and all of which, when taken together, shall constitute one and the same instrument. Delivery of an executed counterpart of a signature page to this Fourth Amendment by facsimile (or other electronic transmission) shall be as effective as delivery of a manually executed counterpart of this Fourth Amendment.</w:t>
      </w:r>
    </w:p>
    <w:p>
      <w:pPr>
        <w:spacing w:after="0" w:line="90" w:lineRule="exact"/>
        <w:rPr>
          <w:rFonts w:ascii="Arial" w:cs="Arial" w:eastAsia="Arial" w:hAnsi="Arial"/>
          <w:sz w:val="17"/>
          <w:szCs w:val="17"/>
          <w:color w:val="auto"/>
        </w:rPr>
      </w:pPr>
    </w:p>
    <w:p>
      <w:pPr>
        <w:jc w:val="both"/>
        <w:ind w:firstLine="656"/>
        <w:spacing w:after="0" w:line="259" w:lineRule="auto"/>
        <w:tabs>
          <w:tab w:leader="none" w:pos="151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Fourth Amendment is a Loan Document. This Fourth Amendment and the Credit Agreement shall be construed collectively and in the event that any term, provision or condition of any of such documents is inconsistent with or contradictory to any term, provision or condition of any other such document, the terms, provisions and conditions of this Fourth Amendment shall supersede and control the terms, provisions and conditions of the Credit Agreement.</w:t>
      </w:r>
    </w:p>
    <w:p>
      <w:pPr>
        <w:spacing w:after="0" w:line="105" w:lineRule="exact"/>
        <w:rPr>
          <w:rFonts w:ascii="Arial" w:cs="Arial" w:eastAsia="Arial" w:hAnsi="Arial"/>
          <w:sz w:val="18"/>
          <w:szCs w:val="18"/>
          <w:color w:val="auto"/>
        </w:rPr>
      </w:pPr>
    </w:p>
    <w:p>
      <w:pPr>
        <w:ind w:left="1520" w:hanging="864"/>
        <w:spacing w:after="0"/>
        <w:tabs>
          <w:tab w:leader="none" w:pos="152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The terms and provisions hereof shall be binding upon and inure to the benefit of the parties hereto and their successors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assigns.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4.34J</w:t>
      </w:r>
    </w:p>
    <w:p>
      <w:pPr>
        <w:spacing w:after="0" w:line="3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WITNESS WHEREOF, this Fourth Amendment has been duly executed and delivered by each of the parties hereto as a sealed instrument as of the date first above written.</w:t>
      </w:r>
    </w:p>
    <w:p>
      <w:pPr>
        <w:spacing w:after="0" w:line="200" w:lineRule="exact"/>
        <w:rPr>
          <w:sz w:val="20"/>
          <w:szCs w:val="20"/>
          <w:color w:val="auto"/>
        </w:rPr>
      </w:pPr>
    </w:p>
    <w:p>
      <w:pPr>
        <w:spacing w:after="0" w:line="399" w:lineRule="exact"/>
        <w:rPr>
          <w:sz w:val="20"/>
          <w:szCs w:val="20"/>
          <w:color w:val="auto"/>
        </w:rPr>
      </w:pPr>
    </w:p>
    <w:p>
      <w:pPr>
        <w:ind w:left="2600"/>
        <w:spacing w:after="0"/>
        <w:rPr>
          <w:sz w:val="20"/>
          <w:szCs w:val="20"/>
          <w:color w:val="auto"/>
        </w:rPr>
      </w:pPr>
      <w:r>
        <w:rPr>
          <w:rFonts w:ascii="Arial" w:cs="Arial" w:eastAsia="Arial" w:hAnsi="Arial"/>
          <w:sz w:val="18"/>
          <w:szCs w:val="18"/>
          <w:b w:val="1"/>
          <w:bCs w:val="1"/>
          <w:u w:val="single" w:color="auto"/>
          <w:color w:val="auto"/>
        </w:rPr>
        <w:t>BORROWERS</w:t>
      </w:r>
      <w:r>
        <w:rPr>
          <w:rFonts w:ascii="Arial" w:cs="Arial" w:eastAsia="Arial" w:hAnsi="Arial"/>
          <w:sz w:val="18"/>
          <w:szCs w:val="18"/>
          <w:b w:val="1"/>
          <w:bCs w:val="1"/>
          <w:color w:val="auto"/>
        </w:rPr>
        <w: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CLEAN HARBORS, INC.</w:t>
      </w:r>
    </w:p>
    <w:p>
      <w:pPr>
        <w:spacing w:after="0" w:line="200" w:lineRule="exact"/>
        <w:rPr>
          <w:sz w:val="20"/>
          <w:szCs w:val="20"/>
          <w:color w:val="auto"/>
        </w:rPr>
      </w:pPr>
    </w:p>
    <w:p>
      <w:pPr>
        <w:spacing w:after="0" w:line="24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Michael L. Battles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 Chief Financial Officer and Executive Vice President</w:t>
      </w:r>
    </w:p>
    <w:p>
      <w:pPr>
        <w:spacing w:after="0" w:line="200" w:lineRule="exact"/>
        <w:rPr>
          <w:sz w:val="20"/>
          <w:szCs w:val="20"/>
          <w:color w:val="auto"/>
        </w:rPr>
      </w:pPr>
    </w:p>
    <w:p>
      <w:pPr>
        <w:spacing w:after="0" w:line="22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CLEAN HARBORS INDUSTRIAL SERVICES CANADA, INC.</w:t>
      </w:r>
    </w:p>
    <w:p>
      <w:pPr>
        <w:spacing w:after="0" w:line="200" w:lineRule="exact"/>
        <w:rPr>
          <w:sz w:val="20"/>
          <w:szCs w:val="20"/>
          <w:color w:val="auto"/>
        </w:rPr>
      </w:pPr>
    </w:p>
    <w:p>
      <w:pPr>
        <w:spacing w:after="0" w:line="24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Michael L. Battles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400"/>
        <w:spacing w:after="0"/>
        <w:rPr>
          <w:sz w:val="20"/>
          <w:szCs w:val="20"/>
          <w:color w:val="auto"/>
        </w:rPr>
      </w:pPr>
      <w:r>
        <w:rPr>
          <w:rFonts w:ascii="Arial" w:cs="Arial" w:eastAsia="Arial" w:hAnsi="Arial"/>
          <w:sz w:val="18"/>
          <w:szCs w:val="18"/>
          <w:b w:val="1"/>
          <w:bCs w:val="1"/>
          <w:u w:val="single" w:color="auto"/>
          <w:color w:val="auto"/>
        </w:rPr>
        <w:t>OTHER LOAN PARTIES</w:t>
      </w:r>
      <w:r>
        <w:rPr>
          <w:rFonts w:ascii="Arial" w:cs="Arial" w:eastAsia="Arial" w:hAnsi="Arial"/>
          <w:sz w:val="18"/>
          <w:szCs w:val="18"/>
          <w:b w:val="1"/>
          <w:bCs w:val="1"/>
          <w:color w:val="auto"/>
        </w:rPr>
        <w:t>:</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ALTAIR DISPOSAL SERVICES, LLC</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BATON ROUGE DISPOSAL,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BRIDGEPORT DISPOSAL,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CH INTERNATIONAL HOLDINGS,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ANDOVER,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ARAGONITE,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ARIZONA,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BATON ROUGE,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BDT,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BUTTONWILLOW,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CHATTANOOGA,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CLIVE,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COFFEYVILLE,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COLFAX,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DEER PARK,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DEER TRAIL,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DEVELOPMENT,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DISPOSAL SERVICES,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EL DORADO,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ENVIRONMENTAL SERVICES,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EXPLORATION SERVICES,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FLORIDA,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GRASSY MOUNTAIN,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INDUSTRIAL SERVICES,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KANSAS,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KINGSTON FACILITY CORPORATION</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LAPORTE,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LAUREL,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LONE MOUNTAIN,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OF BALTIMORE,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OF BRAINTREE,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OF CONNECTICUT,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PECATONICA,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RECYCLING SERVICES OF CHICAGO,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RECYCLING SERVICES OF OHIO,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REIDSVILLE,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SAN JOSE,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SAN LEON,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SERVICES,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SURFACE RENTALS USA,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TENNESSEE,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WESTMORLAND,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WHITE CASTLE,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WICHITA,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WILMINGTON,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CROWLEY DISPOSAL,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DISPOSAL PROPERTIES,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EMERALD SERVICES,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GSX DISPOSAL,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HILLIARD DISPOSAL,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INDUSTRIAL SERVICE OIL COMPANY,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MURPHY’S WASTE OIL SERVICE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ROEBUCK DISPOSAL, LLC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ROSEMEAD OIL PRODUCTS,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SAFETY-KLEEN ENVIROSYSTEMS COMPANY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SAFETY-KLEEN ENVIROSYSTEMS COMPANY OF PUERTO RICO, INC.</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SAFETY-KLEEN, INC.</w:t>
      </w:r>
    </w:p>
    <w:p>
      <w:pPr>
        <w:sectPr>
          <w:pgSz w:w="11900" w:h="16838" w:orient="portrait"/>
          <w:cols w:equalWidth="0" w:num="1">
            <w:col w:w="10220"/>
          </w:cols>
          <w:pgMar w:left="14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SAFETY-KLEEN INTERNATIONAL, INC.</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SAFETY-KLEEN SYSTEMS, INC.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SAFETY-KLEEN OF CALIFORNIA, INC.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SAWYER DISPOSAL SERVICES, LLC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SERVICE CHEMICAL, LLC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SPRING GROVE RESOURCE RECOVERY, INC.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THERMO FLUIDS INC.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THE SOLVENTS RECOVERY SERVICE OF NEW JERSEY, INC.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TULSA DISPOSAL, LLC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VERSANT ENERGY SERVICES, INC.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LONESTAR WEST ENTERPRISES, LLC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LONESTAR WEST SERVICES LLC</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CYN OIL CORPORATION</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H2O ENVIRONMENTAL, INC.</w:t>
      </w:r>
    </w:p>
    <w:p>
      <w:pPr>
        <w:spacing w:after="0" w:line="23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Michael L. Battles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10580"/>
          </w:cols>
          <w:pgMar w:left="108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PLAQUEMINE REMEDIATION SERVICES, LLC</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R. McDonald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Michael R. McDonald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0520"/>
          </w:cols>
          <w:pgMar w:left="11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4.34J</w:t>
      </w:r>
    </w:p>
    <w:p>
      <w:pPr>
        <w:spacing w:after="0" w:line="356" w:lineRule="exact"/>
        <w:rPr>
          <w:sz w:val="20"/>
          <w:szCs w:val="20"/>
          <w:color w:val="auto"/>
        </w:rPr>
      </w:pPr>
    </w:p>
    <w:p>
      <w:pPr>
        <w:ind w:left="1400"/>
        <w:spacing w:after="0"/>
        <w:rPr>
          <w:sz w:val="20"/>
          <w:szCs w:val="20"/>
          <w:color w:val="auto"/>
        </w:rPr>
      </w:pPr>
      <w:r>
        <w:rPr>
          <w:rFonts w:ascii="Arial" w:cs="Arial" w:eastAsia="Arial" w:hAnsi="Arial"/>
          <w:sz w:val="20"/>
          <w:szCs w:val="20"/>
          <w:b w:val="1"/>
          <w:bCs w:val="1"/>
          <w:color w:val="auto"/>
        </w:rPr>
        <w:t>BCT STRUCTURES, ULC</w:t>
      </w:r>
    </w:p>
    <w:p>
      <w:pPr>
        <w:spacing w:after="0" w:line="21" w:lineRule="exact"/>
        <w:rPr>
          <w:sz w:val="20"/>
          <w:szCs w:val="20"/>
          <w:color w:val="auto"/>
        </w:rPr>
      </w:pPr>
    </w:p>
    <w:p>
      <w:pPr>
        <w:ind w:left="1400"/>
        <w:spacing w:after="0"/>
        <w:rPr>
          <w:sz w:val="20"/>
          <w:szCs w:val="20"/>
          <w:color w:val="auto"/>
        </w:rPr>
      </w:pPr>
      <w:r>
        <w:rPr>
          <w:rFonts w:ascii="Arial" w:cs="Arial" w:eastAsia="Arial" w:hAnsi="Arial"/>
          <w:sz w:val="20"/>
          <w:szCs w:val="20"/>
          <w:b w:val="1"/>
          <w:bCs w:val="1"/>
          <w:color w:val="auto"/>
        </w:rPr>
        <w:t>CLEAN HARBORS CANADA, INC.</w:t>
      </w:r>
    </w:p>
    <w:p>
      <w:pPr>
        <w:ind w:left="1400" w:right="2760"/>
        <w:spacing w:after="0" w:line="239" w:lineRule="auto"/>
        <w:rPr>
          <w:sz w:val="20"/>
          <w:szCs w:val="20"/>
          <w:color w:val="auto"/>
        </w:rPr>
      </w:pPr>
      <w:r>
        <w:rPr>
          <w:rFonts w:ascii="Arial" w:cs="Arial" w:eastAsia="Arial" w:hAnsi="Arial"/>
          <w:sz w:val="20"/>
          <w:szCs w:val="20"/>
          <w:b w:val="1"/>
          <w:bCs w:val="1"/>
          <w:color w:val="auto"/>
        </w:rPr>
        <w:t>CLEAN HARBORS DIRECTIONAL BORING SERVICES, ULC CLEAN HARBORS ENERGY AND INDUSTRIAL SERVICES CORP. CLEAN HARBORS ENERGY AND INDUSTRIAL WESTERN LTD. CLEAN HARBORS ENERGY SERVICES, ULC</w:t>
      </w:r>
    </w:p>
    <w:p>
      <w:pPr>
        <w:spacing w:after="0" w:line="2" w:lineRule="exact"/>
        <w:rPr>
          <w:sz w:val="20"/>
          <w:szCs w:val="20"/>
          <w:color w:val="auto"/>
        </w:rPr>
      </w:pPr>
    </w:p>
    <w:p>
      <w:pPr>
        <w:ind w:left="1400" w:right="3160"/>
        <w:spacing w:after="0" w:line="239" w:lineRule="auto"/>
        <w:rPr>
          <w:sz w:val="20"/>
          <w:szCs w:val="20"/>
          <w:color w:val="auto"/>
        </w:rPr>
      </w:pPr>
      <w:r>
        <w:rPr>
          <w:rFonts w:ascii="Arial" w:cs="Arial" w:eastAsia="Arial" w:hAnsi="Arial"/>
          <w:sz w:val="20"/>
          <w:szCs w:val="20"/>
          <w:b w:val="1"/>
          <w:bCs w:val="1"/>
          <w:color w:val="auto"/>
        </w:rPr>
        <w:t>CLEAN HARBORS EXPLORATION SERVICES, ULC CLEAN HARBORS INDUSTRIAL SERVICES CANADA, INC. CLEAN HARBORS INNU ENVIRONMENTAL SERVICES, INC. CLEAN HARBORS LODGING SERVICES, ULC</w:t>
      </w:r>
    </w:p>
    <w:p>
      <w:pPr>
        <w:spacing w:after="0" w:line="2" w:lineRule="exact"/>
        <w:rPr>
          <w:sz w:val="20"/>
          <w:szCs w:val="20"/>
          <w:color w:val="auto"/>
        </w:rPr>
      </w:pPr>
    </w:p>
    <w:p>
      <w:pPr>
        <w:ind w:left="1400" w:right="500"/>
        <w:spacing w:after="0" w:line="239" w:lineRule="auto"/>
        <w:rPr>
          <w:sz w:val="20"/>
          <w:szCs w:val="20"/>
          <w:color w:val="auto"/>
        </w:rPr>
      </w:pPr>
      <w:r>
        <w:rPr>
          <w:rFonts w:ascii="Arial" w:cs="Arial" w:eastAsia="Arial" w:hAnsi="Arial"/>
          <w:sz w:val="20"/>
          <w:szCs w:val="20"/>
          <w:b w:val="1"/>
          <w:bCs w:val="1"/>
          <w:color w:val="auto"/>
        </w:rPr>
        <w:t>SERVICES ENVIRONNEMENTAUX CLEAN HARBORS MERCIER, INC./CLEAN HARBORS MERCIER, INC.</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b w:val="1"/>
          <w:bCs w:val="1"/>
          <w:color w:val="auto"/>
        </w:rPr>
        <w:t>CLEAN HARBORS PRODUCTION SERVICES, ULC</w:t>
      </w:r>
    </w:p>
    <w:p>
      <w:pPr>
        <w:ind w:left="1400" w:right="620"/>
        <w:spacing w:after="0" w:line="239" w:lineRule="auto"/>
        <w:rPr>
          <w:sz w:val="20"/>
          <w:szCs w:val="20"/>
          <w:color w:val="auto"/>
        </w:rPr>
      </w:pPr>
      <w:r>
        <w:rPr>
          <w:rFonts w:ascii="Arial" w:cs="Arial" w:eastAsia="Arial" w:hAnsi="Arial"/>
          <w:sz w:val="20"/>
          <w:szCs w:val="20"/>
          <w:b w:val="1"/>
          <w:bCs w:val="1"/>
          <w:color w:val="auto"/>
        </w:rPr>
        <w:t>SERVICES ENVIRONNEMENTAUX CLEAN HARBORS QUEBEC, INC./CLEAN HARBORS QUEBEC, INC.</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20"/>
          <w:szCs w:val="20"/>
          <w:b w:val="1"/>
          <w:bCs w:val="1"/>
          <w:color w:val="auto"/>
        </w:rPr>
        <w:t>CLEAN HARBORS SURFACE RENTALS, ULC</w:t>
      </w:r>
    </w:p>
    <w:p>
      <w:pPr>
        <w:ind w:left="1400"/>
        <w:spacing w:after="0"/>
        <w:rPr>
          <w:sz w:val="20"/>
          <w:szCs w:val="20"/>
          <w:color w:val="auto"/>
        </w:rPr>
      </w:pPr>
      <w:r>
        <w:rPr>
          <w:rFonts w:ascii="Arial" w:cs="Arial" w:eastAsia="Arial" w:hAnsi="Arial"/>
          <w:sz w:val="20"/>
          <w:szCs w:val="20"/>
          <w:b w:val="1"/>
          <w:bCs w:val="1"/>
          <w:color w:val="auto"/>
        </w:rPr>
        <w:t>ENVIROSORT INC.</w:t>
      </w:r>
    </w:p>
    <w:p>
      <w:pPr>
        <w:ind w:left="1400"/>
        <w:spacing w:after="0"/>
        <w:rPr>
          <w:sz w:val="20"/>
          <w:szCs w:val="20"/>
          <w:color w:val="auto"/>
        </w:rPr>
      </w:pPr>
      <w:r>
        <w:rPr>
          <w:rFonts w:ascii="Arial" w:cs="Arial" w:eastAsia="Arial" w:hAnsi="Arial"/>
          <w:sz w:val="20"/>
          <w:szCs w:val="20"/>
          <w:b w:val="1"/>
          <w:bCs w:val="1"/>
          <w:color w:val="auto"/>
        </w:rPr>
        <w:t>GRIZZCO CAMP SERVICES, ULC</w:t>
      </w:r>
    </w:p>
    <w:p>
      <w:pPr>
        <w:ind w:left="1400"/>
        <w:spacing w:after="0"/>
        <w:rPr>
          <w:sz w:val="20"/>
          <w:szCs w:val="20"/>
          <w:color w:val="auto"/>
        </w:rPr>
      </w:pPr>
      <w:r>
        <w:rPr>
          <w:rFonts w:ascii="Arial" w:cs="Arial" w:eastAsia="Arial" w:hAnsi="Arial"/>
          <w:sz w:val="20"/>
          <w:szCs w:val="20"/>
          <w:b w:val="1"/>
          <w:bCs w:val="1"/>
          <w:color w:val="auto"/>
        </w:rPr>
        <w:t>JL FILTRATION INC.</w:t>
      </w:r>
    </w:p>
    <w:p>
      <w:pPr>
        <w:ind w:left="1400"/>
        <w:spacing w:after="0"/>
        <w:rPr>
          <w:sz w:val="20"/>
          <w:szCs w:val="20"/>
          <w:color w:val="auto"/>
        </w:rPr>
      </w:pPr>
      <w:r>
        <w:rPr>
          <w:rFonts w:ascii="Arial" w:cs="Arial" w:eastAsia="Arial" w:hAnsi="Arial"/>
          <w:sz w:val="20"/>
          <w:szCs w:val="20"/>
          <w:b w:val="1"/>
          <w:bCs w:val="1"/>
          <w:color w:val="auto"/>
        </w:rPr>
        <w:t>LONESTAR WEST INC.</w:t>
      </w:r>
    </w:p>
    <w:p>
      <w:pPr>
        <w:ind w:left="1400"/>
        <w:spacing w:after="0"/>
        <w:rPr>
          <w:sz w:val="20"/>
          <w:szCs w:val="20"/>
          <w:color w:val="auto"/>
        </w:rPr>
      </w:pPr>
      <w:r>
        <w:rPr>
          <w:rFonts w:ascii="Arial" w:cs="Arial" w:eastAsia="Arial" w:hAnsi="Arial"/>
          <w:sz w:val="20"/>
          <w:szCs w:val="20"/>
          <w:b w:val="1"/>
          <w:bCs w:val="1"/>
          <w:color w:val="auto"/>
        </w:rPr>
        <w:t>LONESTAR SYLVAN INC.</w:t>
      </w:r>
    </w:p>
    <w:p>
      <w:pPr>
        <w:ind w:left="1400"/>
        <w:spacing w:after="0"/>
        <w:rPr>
          <w:sz w:val="20"/>
          <w:szCs w:val="20"/>
          <w:color w:val="auto"/>
        </w:rPr>
      </w:pPr>
      <w:r>
        <w:rPr>
          <w:rFonts w:ascii="Arial" w:cs="Arial" w:eastAsia="Arial" w:hAnsi="Arial"/>
          <w:sz w:val="20"/>
          <w:szCs w:val="20"/>
          <w:b w:val="1"/>
          <w:bCs w:val="1"/>
          <w:color w:val="auto"/>
        </w:rPr>
        <w:t>LONESTAR VACUUM INC.</w:t>
      </w:r>
    </w:p>
    <w:p>
      <w:pPr>
        <w:ind w:left="1400"/>
        <w:spacing w:after="0"/>
        <w:rPr>
          <w:sz w:val="20"/>
          <w:szCs w:val="20"/>
          <w:color w:val="auto"/>
        </w:rPr>
      </w:pPr>
      <w:r>
        <w:rPr>
          <w:rFonts w:ascii="Arial" w:cs="Arial" w:eastAsia="Arial" w:hAnsi="Arial"/>
          <w:sz w:val="20"/>
          <w:szCs w:val="20"/>
          <w:b w:val="1"/>
          <w:bCs w:val="1"/>
          <w:color w:val="auto"/>
        </w:rPr>
        <w:t>SAFETY-KLEEN CANADA INC.</w:t>
      </w:r>
    </w:p>
    <w:p>
      <w:pPr>
        <w:ind w:left="1400"/>
        <w:spacing w:after="0"/>
        <w:rPr>
          <w:sz w:val="20"/>
          <w:szCs w:val="20"/>
          <w:color w:val="auto"/>
        </w:rPr>
      </w:pPr>
      <w:r>
        <w:rPr>
          <w:rFonts w:ascii="Arial" w:cs="Arial" w:eastAsia="Arial" w:hAnsi="Arial"/>
          <w:sz w:val="20"/>
          <w:szCs w:val="20"/>
          <w:b w:val="1"/>
          <w:bCs w:val="1"/>
          <w:color w:val="auto"/>
        </w:rPr>
        <w:t>SANITHERM, ULC</w:t>
      </w:r>
    </w:p>
    <w:p>
      <w:pPr>
        <w:ind w:left="1400"/>
        <w:spacing w:after="0"/>
        <w:rPr>
          <w:sz w:val="20"/>
          <w:szCs w:val="20"/>
          <w:color w:val="auto"/>
        </w:rPr>
      </w:pPr>
      <w:r>
        <w:rPr>
          <w:rFonts w:ascii="Arial" w:cs="Arial" w:eastAsia="Arial" w:hAnsi="Arial"/>
          <w:sz w:val="20"/>
          <w:szCs w:val="20"/>
          <w:b w:val="1"/>
          <w:bCs w:val="1"/>
          <w:color w:val="auto"/>
        </w:rPr>
        <w:t>TRI-VAX ENTERPRISES LTD.</w:t>
      </w:r>
    </w:p>
    <w:p>
      <w:pPr>
        <w:ind w:left="1400"/>
        <w:spacing w:after="0"/>
        <w:rPr>
          <w:sz w:val="20"/>
          <w:szCs w:val="20"/>
          <w:color w:val="auto"/>
        </w:rPr>
      </w:pPr>
      <w:r>
        <w:rPr>
          <w:rFonts w:ascii="Arial" w:cs="Arial" w:eastAsia="Arial" w:hAnsi="Arial"/>
          <w:sz w:val="20"/>
          <w:szCs w:val="20"/>
          <w:b w:val="1"/>
          <w:bCs w:val="1"/>
          <w:color w:val="auto"/>
        </w:rPr>
        <w:t>VULSAY INDUSTRIES LTD.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L. Battles</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Michael L. Battles</w:t>
      </w:r>
    </w:p>
    <w:p>
      <w:pPr>
        <w:spacing w:after="0" w:line="17"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Executive Vice President</w:t>
      </w:r>
    </w:p>
    <w:p>
      <w:pPr>
        <w:sectPr>
          <w:pgSz w:w="11900" w:h="16838" w:orient="portrait"/>
          <w:cols w:equalWidth="0" w:num="1">
            <w:col w:w="10220"/>
          </w:cols>
          <w:pgMar w:left="14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4.34J</w:t>
      </w:r>
    </w:p>
    <w:p>
      <w:pPr>
        <w:spacing w:after="0" w:line="200" w:lineRule="exact"/>
        <w:rPr>
          <w:sz w:val="20"/>
          <w:szCs w:val="20"/>
          <w:color w:val="auto"/>
        </w:rPr>
      </w:pPr>
    </w:p>
    <w:p>
      <w:pPr>
        <w:spacing w:after="0" w:line="376"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DIRECTIONAL BORING SERVICES LP</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Clean Harbors Directional Boring Services, ULC,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Michael L. Battles, Executive Vice President</w:t>
      </w:r>
    </w:p>
    <w:p>
      <w:pPr>
        <w:spacing w:after="0" w:line="200" w:lineRule="exact"/>
        <w:rPr>
          <w:sz w:val="20"/>
          <w:szCs w:val="20"/>
          <w:color w:val="auto"/>
        </w:rPr>
      </w:pP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ENERGY AND INDUSTRIAL SERVICES LP</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Clean Harbors Energy and Industrial Services Corp.,</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Michael L. Battles, Executive Vice President</w:t>
      </w:r>
    </w:p>
    <w:p>
      <w:pPr>
        <w:spacing w:after="0" w:line="200" w:lineRule="exact"/>
        <w:rPr>
          <w:sz w:val="20"/>
          <w:szCs w:val="20"/>
          <w:color w:val="auto"/>
        </w:rPr>
      </w:pP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EXPLORATION SERVICES LP</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Clean Harbors Exploration Services ULC,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Michael L. Battles, Executive Vice President</w:t>
      </w:r>
    </w:p>
    <w:p>
      <w:pPr>
        <w:spacing w:after="0" w:line="200" w:lineRule="exact"/>
        <w:rPr>
          <w:sz w:val="20"/>
          <w:szCs w:val="20"/>
          <w:color w:val="auto"/>
        </w:rPr>
      </w:pP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LODGING SERVICES LP</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Clean Harbors Lodging Services, ULC,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Michael L. Battles, Executive Vice President</w:t>
      </w:r>
    </w:p>
    <w:p>
      <w:pPr>
        <w:spacing w:after="0" w:line="200" w:lineRule="exact"/>
        <w:rPr>
          <w:sz w:val="20"/>
          <w:szCs w:val="20"/>
          <w:color w:val="auto"/>
        </w:rPr>
      </w:pP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CLEAN HARBORS SURFACE RENTALS PARTNERSHIP</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Clean Harbors Surface Rentals, ULC,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Michael L. Battles, Executive Vice President</w:t>
      </w:r>
    </w:p>
    <w:p>
      <w:pPr>
        <w:spacing w:after="0" w:line="200" w:lineRule="exact"/>
        <w:rPr>
          <w:sz w:val="20"/>
          <w:szCs w:val="20"/>
          <w:color w:val="auto"/>
        </w:rPr>
      </w:pP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JL FILTRATION OPERATING LIMITED PARTNERSHIP</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JL Filtration Inc., Its General Partner</w:t>
      </w:r>
    </w:p>
    <w:p>
      <w:pPr>
        <w:spacing w:after="0" w:line="200" w:lineRule="exact"/>
        <w:rPr>
          <w:sz w:val="20"/>
          <w:szCs w:val="20"/>
          <w:color w:val="auto"/>
        </w:rPr>
      </w:pPr>
    </w:p>
    <w:p>
      <w:pPr>
        <w:spacing w:after="0" w:line="24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Michael L. Battles, Executive Vice President</w:t>
      </w:r>
    </w:p>
    <w:p>
      <w:pPr>
        <w:sectPr>
          <w:pgSz w:w="11900" w:h="16838" w:orient="portrait"/>
          <w:cols w:equalWidth="0" w:num="1">
            <w:col w:w="10220"/>
          </w:cols>
          <w:pgMar w:left="14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VERSANT ENERGY SERVICES, LP</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Clean Harbors Industrial Services Canada, Inc.,</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L. Battles</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Michael L. Battles, Executive Vice President</w:t>
      </w:r>
    </w:p>
    <w:p>
      <w:pPr>
        <w:sectPr>
          <w:pgSz w:w="11900" w:h="16838" w:orient="portrait"/>
          <w:cols w:equalWidth="0" w:num="1">
            <w:col w:w="10220"/>
          </w:cols>
          <w:pgMar w:left="14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400"/>
        <w:spacing w:after="0"/>
        <w:rPr>
          <w:sz w:val="20"/>
          <w:szCs w:val="20"/>
          <w:color w:val="auto"/>
        </w:rPr>
      </w:pPr>
      <w:r>
        <w:rPr>
          <w:rFonts w:ascii="Arial" w:cs="Arial" w:eastAsia="Arial" w:hAnsi="Arial"/>
          <w:sz w:val="18"/>
          <w:szCs w:val="18"/>
          <w:b w:val="1"/>
          <w:bCs w:val="1"/>
          <w:u w:val="single" w:color="auto"/>
          <w:color w:val="auto"/>
        </w:rPr>
        <w:t>AGENT AND LENDERS</w:t>
      </w:r>
      <w:r>
        <w:rPr>
          <w:rFonts w:ascii="Arial" w:cs="Arial" w:eastAsia="Arial" w:hAnsi="Arial"/>
          <w:sz w:val="18"/>
          <w:szCs w:val="18"/>
          <w:b w:val="1"/>
          <w:bCs w:val="1"/>
          <w:color w:val="auto"/>
        </w:rPr>
        <w:t>:</w:t>
      </w:r>
    </w:p>
    <w:p>
      <w:pPr>
        <w:spacing w:after="0" w:line="22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as Agent, a U.S. Issuing Bank, and a U.S. Lender</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Christopher M. O’Halloran</w:t>
      </w:r>
    </w:p>
    <w:p>
      <w:pPr>
        <w:spacing w:after="0" w:line="23" w:lineRule="exact"/>
        <w:rPr>
          <w:sz w:val="20"/>
          <w:szCs w:val="20"/>
          <w:color w:val="auto"/>
        </w:rPr>
      </w:pPr>
    </w:p>
    <w:p>
      <w:pPr>
        <w:ind w:left="1400"/>
        <w:spacing w:after="0"/>
        <w:tabs>
          <w:tab w:leader="none" w:pos="2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Christopher M. O’Halloran</w:t>
      </w:r>
    </w:p>
    <w:p>
      <w:pPr>
        <w:spacing w:after="0" w:line="9" w:lineRule="exact"/>
        <w:rPr>
          <w:sz w:val="20"/>
          <w:szCs w:val="20"/>
          <w:color w:val="auto"/>
        </w:rPr>
      </w:pPr>
    </w:p>
    <w:p>
      <w:pPr>
        <w:ind w:left="1400"/>
        <w:spacing w:after="0"/>
        <w:tabs>
          <w:tab w:leader="none" w:pos="1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(acting through its Canada branch), as a Canadian Lender and Canadian Issuing Bank</w:t>
      </w:r>
    </w:p>
    <w:p>
      <w:pPr>
        <w:spacing w:after="0" w:line="24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Sylwia Durkiewicz</w:t>
      </w:r>
    </w:p>
    <w:p>
      <w:pPr>
        <w:spacing w:after="0" w:line="23" w:lineRule="exact"/>
        <w:rPr>
          <w:sz w:val="20"/>
          <w:szCs w:val="20"/>
          <w:color w:val="auto"/>
        </w:rPr>
      </w:pPr>
    </w:p>
    <w:p>
      <w:pPr>
        <w:ind w:left="1400"/>
        <w:spacing w:after="0"/>
        <w:tabs>
          <w:tab w:leader="none" w:pos="2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Sylwia Durkiewicz</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20"/>
          </w:cols>
          <w:pgMar w:left="14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CANADIAN IMPERIAL BANK OF COMMERCE,</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as a Canadian Lender</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Aaron Adinata</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Aaron Adinata</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Brian Chisholm</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Brian Chisholm</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220"/>
          </w:cols>
          <w:pgMar w:left="14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 xml:space="preserve">CANADIAN IMPERIAL BANK OF COMMERCE, NEW YORK BRANCH, </w:t>
      </w:r>
      <w:r>
        <w:rPr>
          <w:rFonts w:ascii="Arial" w:cs="Arial" w:eastAsia="Arial" w:hAnsi="Arial"/>
          <w:sz w:val="18"/>
          <w:szCs w:val="18"/>
          <w:color w:val="auto"/>
        </w:rPr>
        <w:t>as a U.S. Lender</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 /s/ Andrew R. Campbell</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Andrew R. Campbell</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Dominic Sorresso</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Dominic Sorresso</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220"/>
          </w:cols>
          <w:pgMar w:left="14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400" w:right="160"/>
        <w:spacing w:after="0" w:line="282" w:lineRule="auto"/>
        <w:rPr>
          <w:sz w:val="20"/>
          <w:szCs w:val="20"/>
          <w:color w:val="auto"/>
        </w:rPr>
      </w:pPr>
      <w:r>
        <w:rPr>
          <w:rFonts w:ascii="Arial" w:cs="Arial" w:eastAsia="Arial" w:hAnsi="Arial"/>
          <w:sz w:val="18"/>
          <w:szCs w:val="18"/>
          <w:b w:val="1"/>
          <w:bCs w:val="1"/>
          <w:color w:val="auto"/>
        </w:rPr>
        <w:t xml:space="preserve">CITIZENS BUSINESS CAPITAL, f/k/a RBS CITIZENS BUSINESS CAPITAL, a division of CITIZENS ASSET FINANCE, INC., f/k/a RBS ASSET FINANCE, INC., </w:t>
      </w:r>
      <w:r>
        <w:rPr>
          <w:rFonts w:ascii="Arial" w:cs="Arial" w:eastAsia="Arial" w:hAnsi="Arial"/>
          <w:sz w:val="18"/>
          <w:szCs w:val="18"/>
          <w:color w:val="auto"/>
        </w:rPr>
        <w:t>as a U.S. Lender and Canadian Lender</w:t>
      </w:r>
    </w:p>
    <w:p>
      <w:pPr>
        <w:spacing w:after="0" w:line="16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William Boyle</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William Boyle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AVP</w:t>
      </w:r>
    </w:p>
    <w:p>
      <w:pPr>
        <w:sectPr>
          <w:pgSz w:w="11900" w:h="16838" w:orient="portrait"/>
          <w:cols w:equalWidth="0" w:num="1">
            <w:col w:w="10220"/>
          </w:cols>
          <w:pgMar w:left="14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 U.S. Lender and U.S. Issuing Bank</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Alicia Schreibstein</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Alicia Schreibstein</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 xml:space="preserve">JPMORGAN CHASE BANK, N.A., Toronto Branch, </w:t>
      </w:r>
      <w:r>
        <w:rPr>
          <w:rFonts w:ascii="Arial" w:cs="Arial" w:eastAsia="Arial" w:hAnsi="Arial"/>
          <w:sz w:val="18"/>
          <w:szCs w:val="18"/>
          <w:color w:val="auto"/>
        </w:rPr>
        <w:t>as a Canadian Lender and Canadian Issuing Bank</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Deborah Booth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Deborah Booth</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220"/>
          </w:cols>
          <w:pgMar w:left="14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 xml:space="preserve">PEOPLE’S UNITED BANK, N.A., </w:t>
      </w:r>
      <w:r>
        <w:rPr>
          <w:rFonts w:ascii="Arial" w:cs="Arial" w:eastAsia="Arial" w:hAnsi="Arial"/>
          <w:sz w:val="18"/>
          <w:szCs w:val="18"/>
          <w:color w:val="auto"/>
        </w:rPr>
        <w:t>as a U.S. Lender and Canadian Lender</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J. McDermott</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Michael J. McDermott</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SVP</w:t>
      </w:r>
    </w:p>
    <w:p>
      <w:pPr>
        <w:sectPr>
          <w:pgSz w:w="11900" w:h="16838" w:orient="portrait"/>
          <w:cols w:equalWidth="0" w:num="1">
            <w:col w:w="10220"/>
          </w:cols>
          <w:pgMar w:left="14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 xml:space="preserve">SIEMENS FINANCIAL SERVICES, INC., </w:t>
      </w:r>
      <w:r>
        <w:rPr>
          <w:rFonts w:ascii="Arial" w:cs="Arial" w:eastAsia="Arial" w:hAnsi="Arial"/>
          <w:sz w:val="18"/>
          <w:szCs w:val="18"/>
          <w:color w:val="auto"/>
        </w:rPr>
        <w:t>as a U.S. Lender and Canadian Lender</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Schafer</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Mark Schafer</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Maria Levy</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Maria Levy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20"/>
          </w:cols>
          <w:pgMar w:left="14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4.34J</w:t>
      </w:r>
    </w:p>
    <w:p>
      <w:pPr>
        <w:spacing w:after="0" w:line="36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 xml:space="preserve">GOLDMAN SACHS BANK USA, </w:t>
      </w:r>
      <w:r>
        <w:rPr>
          <w:rFonts w:ascii="Arial" w:cs="Arial" w:eastAsia="Arial" w:hAnsi="Arial"/>
          <w:sz w:val="18"/>
          <w:szCs w:val="18"/>
          <w:color w:val="auto"/>
        </w:rPr>
        <w:t>as a U.S. Lender and Canadian Lender</w:t>
      </w:r>
    </w:p>
    <w:p>
      <w:pPr>
        <w:spacing w:after="0" w:line="2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Jamie Minieri</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Name: Jamie Minieri</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220"/>
          </w:cols>
          <w:pgMar w:left="14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680" w:type="dxa"/>
            <w:vAlign w:val="bottom"/>
            <w:gridSpan w:val="3"/>
          </w:tcPr>
          <w:p>
            <w:pPr>
              <w:ind w:left="2880"/>
              <w:spacing w:after="0"/>
              <w:rPr>
                <w:sz w:val="20"/>
                <w:szCs w:val="20"/>
                <w:color w:val="auto"/>
              </w:rPr>
            </w:pPr>
            <w:r>
              <w:rPr>
                <w:rFonts w:ascii="Arial" w:cs="Arial" w:eastAsia="Arial" w:hAnsi="Arial"/>
                <w:sz w:val="20"/>
                <w:szCs w:val="20"/>
                <w:b w:val="1"/>
                <w:bCs w:val="1"/>
                <w:color w:val="auto"/>
              </w:rPr>
              <w:t>Subsidiaries of Clean Harbors, Inc.</w:t>
            </w:r>
          </w:p>
        </w:tc>
      </w:tr>
      <w:tr>
        <w:trPr>
          <w:trHeight w:val="347"/>
        </w:trPr>
        <w:tc>
          <w:tcPr>
            <w:tcW w:w="2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20"/>
                <w:szCs w:val="20"/>
                <w:b w:val="1"/>
                <w:bCs w:val="1"/>
                <w:color w:val="auto"/>
              </w:rPr>
              <w:t>Subsidiary</w:t>
            </w:r>
          </w:p>
        </w:tc>
        <w:tc>
          <w:tcPr>
            <w:tcW w:w="4100" w:type="dxa"/>
            <w:vAlign w:val="bottom"/>
            <w:gridSpan w:val="2"/>
          </w:tcPr>
          <w:p>
            <w:pPr>
              <w:spacing w:after="0"/>
              <w:rPr>
                <w:sz w:val="20"/>
                <w:szCs w:val="20"/>
                <w:color w:val="auto"/>
              </w:rPr>
            </w:pPr>
            <w:r>
              <w:rPr>
                <w:rFonts w:ascii="Arial" w:cs="Arial" w:eastAsia="Arial" w:hAnsi="Arial"/>
                <w:sz w:val="20"/>
                <w:szCs w:val="20"/>
                <w:b w:val="1"/>
                <w:bCs w:val="1"/>
                <w:color w:val="auto"/>
              </w:rPr>
              <w:t>Jurisdiction of Organization</w:t>
            </w: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700" w:type="dxa"/>
            <w:vAlign w:val="bottom"/>
          </w:tcPr>
          <w:p>
            <w:pPr>
              <w:spacing w:after="0"/>
              <w:rPr>
                <w:sz w:val="4"/>
                <w:szCs w:val="4"/>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Altair Disposal Services,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Baton Rouge Disposal,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Bridgeport Disposal,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Cat Tech International, Ltd.*</w:t>
            </w:r>
          </w:p>
        </w:tc>
        <w:tc>
          <w:tcPr>
            <w:tcW w:w="4100" w:type="dxa"/>
            <w:vAlign w:val="bottom"/>
            <w:gridSpan w:val="2"/>
          </w:tcPr>
          <w:p>
            <w:pPr>
              <w:spacing w:after="0"/>
              <w:rPr>
                <w:sz w:val="20"/>
                <w:szCs w:val="20"/>
                <w:color w:val="auto"/>
              </w:rPr>
            </w:pPr>
            <w:r>
              <w:rPr>
                <w:rFonts w:ascii="Arial" w:cs="Arial" w:eastAsia="Arial" w:hAnsi="Arial"/>
                <w:sz w:val="20"/>
                <w:szCs w:val="20"/>
                <w:color w:val="auto"/>
              </w:rPr>
              <w:t>Bahamas</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CH International Holdings,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Andover,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Aragonite,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Arizona,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Baton Rouge,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BDT,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Buttonwillow,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Canada,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New Brunswick</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Caribe,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Puerto Rico</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Chattanooga,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Clive,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Coffeyville,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Colfax,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Deer Park,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Deer Trail,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Development,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Directional Boring Services, ULC*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Directional Boring Services LP*</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Disposal Services,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El Dorado,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Energy and Industrial Services Corp.*</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Energy and Industrial Services LP*</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Energy and Industrial Western Ltd.*</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Energy Services ULC*</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Environmental Services,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Massachusetts</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Exploration Services,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Nevada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Exploration Services, ULC*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Alberta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Exploration Services LP*</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Florida,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Grassy Mountain, LLC</w:t>
            </w:r>
          </w:p>
        </w:tc>
        <w:tc>
          <w:tcPr>
            <w:tcW w:w="410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India LLP*</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India</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Industrial Services Canada,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Alberta</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Industrial Services, Inc.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Innu Environmental Services, Inc.</w:t>
            </w:r>
          </w:p>
        </w:tc>
        <w:tc>
          <w:tcPr>
            <w:tcW w:w="4100" w:type="dxa"/>
            <w:vAlign w:val="bottom"/>
            <w:gridSpan w:val="2"/>
          </w:tcPr>
          <w:p>
            <w:pPr>
              <w:spacing w:after="0"/>
              <w:rPr>
                <w:sz w:val="20"/>
                <w:szCs w:val="20"/>
                <w:color w:val="auto"/>
              </w:rPr>
            </w:pPr>
            <w:r>
              <w:rPr>
                <w:rFonts w:ascii="Arial" w:cs="Arial" w:eastAsia="Arial" w:hAnsi="Arial"/>
                <w:sz w:val="20"/>
                <w:szCs w:val="20"/>
                <w:color w:val="auto"/>
              </w:rPr>
              <w:t>Newfoundland</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Clean Harbors Kansas, LLC</w:t>
            </w: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61"/>
        </w:trPr>
        <w:tc>
          <w:tcPr>
            <w:tcW w:w="20" w:type="dxa"/>
            <w:vAlign w:val="bottom"/>
          </w:tcPr>
          <w:p>
            <w:pPr>
              <w:spacing w:after="0"/>
              <w:rPr>
                <w:sz w:val="22"/>
                <w:szCs w:val="22"/>
                <w:color w:val="auto"/>
              </w:rPr>
            </w:pPr>
          </w:p>
        </w:tc>
        <w:tc>
          <w:tcPr>
            <w:tcW w:w="6500" w:type="dxa"/>
            <w:vAlign w:val="bottom"/>
            <w:gridSpan w:val="2"/>
          </w:tcPr>
          <w:p>
            <w:pPr>
              <w:spacing w:after="0"/>
              <w:rPr>
                <w:sz w:val="20"/>
                <w:szCs w:val="20"/>
                <w:color w:val="auto"/>
              </w:rPr>
            </w:pPr>
            <w:r>
              <w:rPr>
                <w:rFonts w:ascii="Arial" w:cs="Arial" w:eastAsia="Arial" w:hAnsi="Arial"/>
                <w:sz w:val="20"/>
                <w:szCs w:val="20"/>
                <w:color w:val="auto"/>
              </w:rPr>
              <w:t>Clean Harbors Kingston Facility Corporation</w:t>
            </w:r>
          </w:p>
        </w:tc>
        <w:tc>
          <w:tcPr>
            <w:tcW w:w="4100" w:type="dxa"/>
            <w:vAlign w:val="bottom"/>
            <w:gridSpan w:val="2"/>
          </w:tcPr>
          <w:p>
            <w:pPr>
              <w:spacing w:after="0"/>
              <w:rPr>
                <w:sz w:val="20"/>
                <w:szCs w:val="20"/>
                <w:color w:val="auto"/>
              </w:rPr>
            </w:pPr>
            <w:r>
              <w:rPr>
                <w:rFonts w:ascii="Arial" w:cs="Arial" w:eastAsia="Arial" w:hAnsi="Arial"/>
                <w:sz w:val="20"/>
                <w:szCs w:val="20"/>
                <w:color w:val="auto"/>
              </w:rPr>
              <w:t>Massachusetts</w:t>
            </w:r>
          </w:p>
        </w:tc>
      </w:tr>
      <w:tr>
        <w:trPr>
          <w:trHeight w:val="2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61"/>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LaPorte, LLC</w:t>
            </w:r>
          </w:p>
        </w:tc>
        <w:tc>
          <w:tcPr>
            <w:tcW w:w="41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Delaware</w:t>
            </w:r>
          </w:p>
        </w:tc>
      </w:tr>
      <w:tr>
        <w:trPr>
          <w:trHeight w:val="23"/>
        </w:trPr>
        <w:tc>
          <w:tcPr>
            <w:tcW w:w="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ectPr>
          <w:pgSz w:w="11900" w:h="16838" w:orient="portrait"/>
          <w:cols w:equalWidth="0" w:num="1">
            <w:col w:w="11020"/>
          </w:cols>
          <w:pgMar w:left="6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Laurel,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Lodging Services LP*</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Lodging Services, ULC*</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Lone Mountain,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Mercier, Inc.</w:t>
            </w:r>
          </w:p>
        </w:tc>
        <w:tc>
          <w:tcPr>
            <w:tcW w:w="5040" w:type="dxa"/>
            <w:vAlign w:val="bottom"/>
          </w:tcPr>
          <w:p>
            <w:pPr>
              <w:ind w:left="940"/>
              <w:spacing w:after="0"/>
              <w:rPr>
                <w:sz w:val="20"/>
                <w:szCs w:val="20"/>
                <w:color w:val="auto"/>
              </w:rPr>
            </w:pPr>
            <w:r>
              <w:rPr>
                <w:rFonts w:ascii="Arial" w:cs="Arial" w:eastAsia="Arial" w:hAnsi="Arial"/>
                <w:sz w:val="20"/>
                <w:szCs w:val="20"/>
                <w:color w:val="auto"/>
              </w:rPr>
              <w:t>Quebec</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of Baltimore,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of Braintree, Inc.</w:t>
            </w:r>
          </w:p>
        </w:tc>
        <w:tc>
          <w:tcPr>
            <w:tcW w:w="5040" w:type="dxa"/>
            <w:vAlign w:val="bottom"/>
          </w:tcPr>
          <w:p>
            <w:pPr>
              <w:ind w:left="940"/>
              <w:spacing w:after="0"/>
              <w:rPr>
                <w:sz w:val="20"/>
                <w:szCs w:val="20"/>
                <w:color w:val="auto"/>
              </w:rPr>
            </w:pPr>
            <w:r>
              <w:rPr>
                <w:rFonts w:ascii="Arial" w:cs="Arial" w:eastAsia="Arial" w:hAnsi="Arial"/>
                <w:sz w:val="20"/>
                <w:szCs w:val="20"/>
                <w:color w:val="auto"/>
              </w:rPr>
              <w:t>Massachusetts</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of Connecticut,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Pecatonica,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Production Services, ULC*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Quebec, Inc.*</w:t>
            </w:r>
          </w:p>
        </w:tc>
        <w:tc>
          <w:tcPr>
            <w:tcW w:w="5040" w:type="dxa"/>
            <w:vAlign w:val="bottom"/>
          </w:tcPr>
          <w:p>
            <w:pPr>
              <w:ind w:left="940"/>
              <w:spacing w:after="0"/>
              <w:rPr>
                <w:sz w:val="20"/>
                <w:szCs w:val="20"/>
                <w:color w:val="auto"/>
              </w:rPr>
            </w:pPr>
            <w:r>
              <w:rPr>
                <w:rFonts w:ascii="Arial" w:cs="Arial" w:eastAsia="Arial" w:hAnsi="Arial"/>
                <w:sz w:val="20"/>
                <w:szCs w:val="20"/>
                <w:color w:val="auto"/>
              </w:rPr>
              <w:t>Quebec</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Recycling Services of Chicago,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Recycling Services of Ohio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Reidsville,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San Jose,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San Leon,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Services, Inc.</w:t>
            </w:r>
          </w:p>
        </w:tc>
        <w:tc>
          <w:tcPr>
            <w:tcW w:w="5040" w:type="dxa"/>
            <w:vAlign w:val="bottom"/>
          </w:tcPr>
          <w:p>
            <w:pPr>
              <w:ind w:left="940"/>
              <w:spacing w:after="0"/>
              <w:rPr>
                <w:sz w:val="20"/>
                <w:szCs w:val="20"/>
                <w:color w:val="auto"/>
              </w:rPr>
            </w:pPr>
            <w:r>
              <w:rPr>
                <w:rFonts w:ascii="Arial" w:cs="Arial" w:eastAsia="Arial" w:hAnsi="Arial"/>
                <w:sz w:val="20"/>
                <w:szCs w:val="20"/>
                <w:color w:val="auto"/>
              </w:rPr>
              <w:t>Massachusetts</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Surface Rentals, ULC*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Alberta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Surface Rentals Partnership*</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Surface Rentals USA,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Tennessee,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Westmorland,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White Castle,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Clean Harbors Wichita,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Clean Harbors Wilmington,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Crowley Disposal,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Delaware</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CTVI Inc.*</w:t>
            </w:r>
          </w:p>
        </w:tc>
        <w:tc>
          <w:tcPr>
            <w:tcW w:w="5040" w:type="dxa"/>
            <w:vAlign w:val="bottom"/>
          </w:tcPr>
          <w:p>
            <w:pPr>
              <w:ind w:left="940"/>
              <w:spacing w:after="0"/>
              <w:rPr>
                <w:sz w:val="20"/>
                <w:szCs w:val="20"/>
                <w:color w:val="auto"/>
              </w:rPr>
            </w:pPr>
            <w:r>
              <w:rPr>
                <w:rFonts w:ascii="Arial" w:cs="Arial" w:eastAsia="Arial" w:hAnsi="Arial"/>
                <w:sz w:val="20"/>
                <w:szCs w:val="20"/>
                <w:color w:val="auto"/>
              </w:rPr>
              <w:t>Virgin Islands</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Cyn Oil Corporation</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Massachusetts</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Disposal Properties,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Emerald Services,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Washington</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EnviroSORT Inc.</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Grizzco Camp Services, ULC*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British Columbia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GSX Disposal,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H20 Environmental,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Nevada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Hilliard Disposal, LLC</w:t>
            </w:r>
          </w:p>
        </w:tc>
        <w:tc>
          <w:tcPr>
            <w:tcW w:w="5040" w:type="dxa"/>
            <w:vAlign w:val="bottom"/>
          </w:tcPr>
          <w:p>
            <w:pPr>
              <w:ind w:left="940"/>
              <w:spacing w:after="0"/>
              <w:rPr>
                <w:sz w:val="20"/>
                <w:szCs w:val="20"/>
                <w:color w:val="auto"/>
              </w:rPr>
            </w:pPr>
            <w:r>
              <w:rPr>
                <w:rFonts w:ascii="Arial" w:cs="Arial" w:eastAsia="Arial" w:hAnsi="Arial"/>
                <w:sz w:val="20"/>
                <w:szCs w:val="20"/>
                <w:color w:val="auto"/>
              </w:rPr>
              <w:t>Delaware</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Industrial Service Oil Company,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California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Laidlaw Environmental Services de Mexico S.A. de C.V.*</w:t>
            </w:r>
          </w:p>
        </w:tc>
        <w:tc>
          <w:tcPr>
            <w:tcW w:w="5040" w:type="dxa"/>
            <w:vAlign w:val="bottom"/>
          </w:tcPr>
          <w:p>
            <w:pPr>
              <w:ind w:left="940"/>
              <w:spacing w:after="0"/>
              <w:rPr>
                <w:sz w:val="20"/>
                <w:szCs w:val="20"/>
                <w:color w:val="auto"/>
              </w:rPr>
            </w:pPr>
            <w:r>
              <w:rPr>
                <w:rFonts w:ascii="Arial" w:cs="Arial" w:eastAsia="Arial" w:hAnsi="Arial"/>
                <w:sz w:val="20"/>
                <w:szCs w:val="20"/>
                <w:color w:val="auto"/>
              </w:rPr>
              <w:t>Mexico</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Lonestar Sylvan Inc.*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Canada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Lonestar Vacuum Inc.*</w:t>
            </w:r>
          </w:p>
        </w:tc>
        <w:tc>
          <w:tcPr>
            <w:tcW w:w="5040" w:type="dxa"/>
            <w:vAlign w:val="bottom"/>
          </w:tcPr>
          <w:p>
            <w:pPr>
              <w:ind w:left="940"/>
              <w:spacing w:after="0"/>
              <w:rPr>
                <w:sz w:val="20"/>
                <w:szCs w:val="20"/>
                <w:color w:val="auto"/>
              </w:rPr>
            </w:pPr>
            <w:r>
              <w:rPr>
                <w:rFonts w:ascii="Arial" w:cs="Arial" w:eastAsia="Arial" w:hAnsi="Arial"/>
                <w:sz w:val="20"/>
                <w:szCs w:val="20"/>
                <w:color w:val="auto"/>
              </w:rPr>
              <w:t>Alberta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Lonestar West Enterprises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Oklahoma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Lonestar West Inc.*</w:t>
            </w:r>
          </w:p>
        </w:tc>
        <w:tc>
          <w:tcPr>
            <w:tcW w:w="5040" w:type="dxa"/>
            <w:vAlign w:val="bottom"/>
          </w:tcPr>
          <w:p>
            <w:pPr>
              <w:ind w:left="940"/>
              <w:spacing w:after="0"/>
              <w:rPr>
                <w:sz w:val="20"/>
                <w:szCs w:val="20"/>
                <w:color w:val="auto"/>
              </w:rPr>
            </w:pPr>
            <w:r>
              <w:rPr>
                <w:rFonts w:ascii="Arial" w:cs="Arial" w:eastAsia="Arial" w:hAnsi="Arial"/>
                <w:sz w:val="20"/>
                <w:szCs w:val="20"/>
                <w:color w:val="auto"/>
              </w:rPr>
              <w:t>Canada</w:t>
            </w:r>
          </w:p>
        </w:tc>
      </w:tr>
      <w:tr>
        <w:trPr>
          <w:trHeight w:val="23"/>
        </w:trPr>
        <w:tc>
          <w:tcPr>
            <w:tcW w:w="55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Lonestar West Services LLC</w:t>
            </w:r>
          </w:p>
        </w:tc>
        <w:tc>
          <w:tcPr>
            <w:tcW w:w="50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Nevada</w:t>
            </w:r>
          </w:p>
        </w:tc>
      </w:tr>
      <w:tr>
        <w:trPr>
          <w:trHeight w:val="261"/>
        </w:trPr>
        <w:tc>
          <w:tcPr>
            <w:tcW w:w="5580" w:type="dxa"/>
            <w:vAlign w:val="bottom"/>
          </w:tcPr>
          <w:p>
            <w:pPr>
              <w:ind w:left="20"/>
              <w:spacing w:after="0"/>
              <w:rPr>
                <w:sz w:val="20"/>
                <w:szCs w:val="20"/>
                <w:color w:val="auto"/>
              </w:rPr>
            </w:pPr>
            <w:r>
              <w:rPr>
                <w:rFonts w:ascii="Arial" w:cs="Arial" w:eastAsia="Arial" w:hAnsi="Arial"/>
                <w:sz w:val="20"/>
                <w:szCs w:val="20"/>
                <w:color w:val="auto"/>
              </w:rPr>
              <w:t>Murphy's Waste Oil Service, Inc.</w:t>
            </w:r>
          </w:p>
        </w:tc>
        <w:tc>
          <w:tcPr>
            <w:tcW w:w="5040" w:type="dxa"/>
            <w:vAlign w:val="bottom"/>
          </w:tcPr>
          <w:p>
            <w:pPr>
              <w:ind w:left="940"/>
              <w:spacing w:after="0"/>
              <w:rPr>
                <w:sz w:val="20"/>
                <w:szCs w:val="20"/>
                <w:color w:val="auto"/>
              </w:rPr>
            </w:pPr>
            <w:r>
              <w:rPr>
                <w:rFonts w:ascii="Arial" w:cs="Arial" w:eastAsia="Arial" w:hAnsi="Arial"/>
                <w:sz w:val="20"/>
                <w:szCs w:val="20"/>
                <w:color w:val="auto"/>
              </w:rPr>
              <w:t>Massachusetts</w:t>
            </w:r>
          </w:p>
        </w:tc>
      </w:tr>
    </w:tbl>
    <w:p>
      <w:pPr>
        <w:sectPr>
          <w:pgSz w:w="11900" w:h="16838" w:orient="portrait"/>
          <w:cols w:equalWidth="0" w:num="1">
            <w:col w:w="11020"/>
          </w:cols>
          <w:pgMar w:left="6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Northeast Casualty Insurance Company</w:t>
            </w:r>
          </w:p>
        </w:tc>
        <w:tc>
          <w:tcPr>
            <w:tcW w:w="4820" w:type="dxa"/>
            <w:vAlign w:val="bottom"/>
            <w:shd w:val="clear" w:color="auto" w:fill="CCEEFF"/>
          </w:tcPr>
          <w:p>
            <w:pPr>
              <w:ind w:left="720"/>
              <w:spacing w:after="0"/>
              <w:rPr>
                <w:sz w:val="20"/>
                <w:szCs w:val="20"/>
                <w:color w:val="auto"/>
              </w:rPr>
            </w:pPr>
            <w:r>
              <w:rPr>
                <w:rFonts w:ascii="Arial" w:cs="Arial" w:eastAsia="Arial" w:hAnsi="Arial"/>
                <w:sz w:val="20"/>
                <w:szCs w:val="20"/>
                <w:color w:val="auto"/>
              </w:rPr>
              <w:t>Vermont</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Plaquemine Remediation Services, LLC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Rosemead Oil Products,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California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Roebuck Disposal, LLC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de Mexico, S. de R.L. de C.V.*</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Mexico</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Canada Inc.*</w:t>
            </w:r>
          </w:p>
        </w:tc>
        <w:tc>
          <w:tcPr>
            <w:tcW w:w="4820" w:type="dxa"/>
            <w:vAlign w:val="bottom"/>
          </w:tcPr>
          <w:p>
            <w:pPr>
              <w:ind w:left="720"/>
              <w:spacing w:after="0"/>
              <w:rPr>
                <w:sz w:val="20"/>
                <w:szCs w:val="20"/>
                <w:color w:val="auto"/>
              </w:rPr>
            </w:pPr>
            <w:r>
              <w:rPr>
                <w:rFonts w:ascii="Arial" w:cs="Arial" w:eastAsia="Arial" w:hAnsi="Arial"/>
                <w:sz w:val="20"/>
                <w:szCs w:val="20"/>
                <w:color w:val="auto"/>
              </w:rPr>
              <w:t>New Brunswick</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Envirosystems Company</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California</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Envirosystems Company of Puerto Rico, Inc.</w:t>
            </w:r>
          </w:p>
        </w:tc>
        <w:tc>
          <w:tcPr>
            <w:tcW w:w="4820" w:type="dxa"/>
            <w:vAlign w:val="bottom"/>
          </w:tcPr>
          <w:p>
            <w:pPr>
              <w:ind w:left="720"/>
              <w:spacing w:after="0"/>
              <w:rPr>
                <w:sz w:val="20"/>
                <w:szCs w:val="20"/>
                <w:color w:val="auto"/>
              </w:rPr>
            </w:pPr>
            <w:r>
              <w:rPr>
                <w:rFonts w:ascii="Arial" w:cs="Arial" w:eastAsia="Arial" w:hAnsi="Arial"/>
                <w:sz w:val="20"/>
                <w:szCs w:val="20"/>
                <w:color w:val="auto"/>
              </w:rPr>
              <w:t>Indiana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International, Inc.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International Asia Investment Company Limited*</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Hong Kong</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Safety-Kleen of California, Inc.</w:t>
            </w:r>
          </w:p>
        </w:tc>
        <w:tc>
          <w:tcPr>
            <w:tcW w:w="4820" w:type="dxa"/>
            <w:vAlign w:val="bottom"/>
          </w:tcPr>
          <w:p>
            <w:pPr>
              <w:ind w:left="720"/>
              <w:spacing w:after="0"/>
              <w:rPr>
                <w:sz w:val="20"/>
                <w:szCs w:val="20"/>
                <w:color w:val="auto"/>
              </w:rPr>
            </w:pPr>
            <w:r>
              <w:rPr>
                <w:rFonts w:ascii="Arial" w:cs="Arial" w:eastAsia="Arial" w:hAnsi="Arial"/>
                <w:sz w:val="20"/>
                <w:szCs w:val="20"/>
                <w:color w:val="auto"/>
              </w:rPr>
              <w:t>California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Safety-Kleen Systems,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Wisconsin</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Sanitherm, ULC*</w:t>
            </w:r>
          </w:p>
        </w:tc>
        <w:tc>
          <w:tcPr>
            <w:tcW w:w="4820" w:type="dxa"/>
            <w:vAlign w:val="bottom"/>
          </w:tcPr>
          <w:p>
            <w:pPr>
              <w:ind w:left="720"/>
              <w:spacing w:after="0"/>
              <w:rPr>
                <w:sz w:val="20"/>
                <w:szCs w:val="20"/>
                <w:color w:val="auto"/>
              </w:rPr>
            </w:pPr>
            <w:r>
              <w:rPr>
                <w:rFonts w:ascii="Arial" w:cs="Arial" w:eastAsia="Arial" w:hAnsi="Arial"/>
                <w:sz w:val="20"/>
                <w:szCs w:val="20"/>
                <w:color w:val="auto"/>
              </w:rPr>
              <w:t>Alberta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Sawyer Disposal Services, LLC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Service Chemical, LLC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SK D’Incineration*</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Quebec</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SK Servicios Ambientales Administrativos, S. de R.L. de C.V.*</w:t>
            </w:r>
          </w:p>
        </w:tc>
        <w:tc>
          <w:tcPr>
            <w:tcW w:w="4820" w:type="dxa"/>
            <w:vAlign w:val="bottom"/>
          </w:tcPr>
          <w:p>
            <w:pPr>
              <w:ind w:left="720"/>
              <w:spacing w:after="0"/>
              <w:rPr>
                <w:sz w:val="20"/>
                <w:szCs w:val="20"/>
                <w:color w:val="auto"/>
              </w:rPr>
            </w:pPr>
            <w:r>
              <w:rPr>
                <w:rFonts w:ascii="Arial" w:cs="Arial" w:eastAsia="Arial" w:hAnsi="Arial"/>
                <w:sz w:val="20"/>
                <w:szCs w:val="20"/>
                <w:color w:val="auto"/>
              </w:rPr>
              <w:t>Mexico</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Spring Grove Resource Recovery,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The Solvents Recovery Service of New Jersey, Inc.</w:t>
            </w:r>
          </w:p>
        </w:tc>
        <w:tc>
          <w:tcPr>
            <w:tcW w:w="4820" w:type="dxa"/>
            <w:vAlign w:val="bottom"/>
          </w:tcPr>
          <w:p>
            <w:pPr>
              <w:ind w:left="720"/>
              <w:spacing w:after="0"/>
              <w:rPr>
                <w:sz w:val="20"/>
                <w:szCs w:val="20"/>
                <w:color w:val="auto"/>
              </w:rPr>
            </w:pPr>
            <w:r>
              <w:rPr>
                <w:rFonts w:ascii="Arial" w:cs="Arial" w:eastAsia="Arial" w:hAnsi="Arial"/>
                <w:sz w:val="20"/>
                <w:szCs w:val="20"/>
                <w:color w:val="auto"/>
              </w:rPr>
              <w:t>New Jersey</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Thermo Fluids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Tri-vax Enterprises Ltd.*</w:t>
            </w:r>
          </w:p>
        </w:tc>
        <w:tc>
          <w:tcPr>
            <w:tcW w:w="4820" w:type="dxa"/>
            <w:vAlign w:val="bottom"/>
          </w:tcPr>
          <w:p>
            <w:pPr>
              <w:ind w:left="720"/>
              <w:spacing w:after="0"/>
              <w:rPr>
                <w:sz w:val="20"/>
                <w:szCs w:val="20"/>
                <w:color w:val="auto"/>
              </w:rPr>
            </w:pPr>
            <w:r>
              <w:rPr>
                <w:rFonts w:ascii="Arial" w:cs="Arial" w:eastAsia="Arial" w:hAnsi="Arial"/>
                <w:sz w:val="20"/>
                <w:szCs w:val="20"/>
                <w:color w:val="auto"/>
              </w:rPr>
              <w:t>Alberta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Tulsa Disposal, LLC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Veolia ES Industrial Services, Inc.</w:t>
            </w:r>
          </w:p>
        </w:tc>
        <w:tc>
          <w:tcPr>
            <w:tcW w:w="4820" w:type="dxa"/>
            <w:vAlign w:val="bottom"/>
          </w:tcPr>
          <w:p>
            <w:pPr>
              <w:ind w:left="720"/>
              <w:spacing w:after="0"/>
              <w:rPr>
                <w:sz w:val="20"/>
                <w:szCs w:val="20"/>
                <w:color w:val="auto"/>
              </w:rPr>
            </w:pPr>
            <w:r>
              <w:rPr>
                <w:rFonts w:ascii="Arial" w:cs="Arial" w:eastAsia="Arial" w:hAnsi="Arial"/>
                <w:sz w:val="20"/>
                <w:szCs w:val="20"/>
                <w:color w:val="auto"/>
              </w:rPr>
              <w:t>Delaware</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Versant Energy Services, Inc.</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Delaware</w:t>
            </w:r>
          </w:p>
        </w:tc>
      </w:tr>
      <w:tr>
        <w:trPr>
          <w:trHeight w:val="261"/>
        </w:trPr>
        <w:tc>
          <w:tcPr>
            <w:tcW w:w="5800" w:type="dxa"/>
            <w:vAlign w:val="bottom"/>
          </w:tcPr>
          <w:p>
            <w:pPr>
              <w:ind w:left="20"/>
              <w:spacing w:after="0"/>
              <w:rPr>
                <w:sz w:val="20"/>
                <w:szCs w:val="20"/>
                <w:color w:val="auto"/>
              </w:rPr>
            </w:pPr>
            <w:r>
              <w:rPr>
                <w:rFonts w:ascii="Arial" w:cs="Arial" w:eastAsia="Arial" w:hAnsi="Arial"/>
                <w:sz w:val="20"/>
                <w:szCs w:val="20"/>
                <w:color w:val="auto"/>
              </w:rPr>
              <w:t>Versant Energy Services, LP*</w:t>
            </w:r>
          </w:p>
        </w:tc>
        <w:tc>
          <w:tcPr>
            <w:tcW w:w="4820" w:type="dxa"/>
            <w:vAlign w:val="bottom"/>
          </w:tcPr>
          <w:p>
            <w:pPr>
              <w:ind w:left="720"/>
              <w:spacing w:after="0"/>
              <w:rPr>
                <w:sz w:val="20"/>
                <w:szCs w:val="20"/>
                <w:color w:val="auto"/>
              </w:rPr>
            </w:pPr>
            <w:r>
              <w:rPr>
                <w:rFonts w:ascii="Arial" w:cs="Arial" w:eastAsia="Arial" w:hAnsi="Arial"/>
                <w:sz w:val="20"/>
                <w:szCs w:val="20"/>
                <w:color w:val="auto"/>
              </w:rPr>
              <w:t>Alberta</w:t>
            </w:r>
          </w:p>
        </w:tc>
      </w:tr>
      <w:tr>
        <w:trPr>
          <w:trHeight w:val="23"/>
        </w:trPr>
        <w:tc>
          <w:tcPr>
            <w:tcW w:w="58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Vulsay Industries Ltd.*</w:t>
            </w:r>
          </w:p>
        </w:tc>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20"/>
                <w:szCs w:val="20"/>
                <w:color w:val="auto"/>
              </w:rPr>
              <w:t>Ontario</w:t>
            </w:r>
          </w:p>
        </w:tc>
      </w:tr>
      <w:tr>
        <w:trPr>
          <w:trHeight w:val="315"/>
        </w:trPr>
        <w:tc>
          <w:tcPr>
            <w:tcW w:w="5800" w:type="dxa"/>
            <w:vAlign w:val="bottom"/>
          </w:tcPr>
          <w:p>
            <w:pPr>
              <w:ind w:left="260"/>
              <w:spacing w:after="0"/>
              <w:rPr>
                <w:sz w:val="20"/>
                <w:szCs w:val="20"/>
                <w:color w:val="auto"/>
              </w:rPr>
            </w:pPr>
            <w:r>
              <w:rPr>
                <w:rFonts w:ascii="Arial" w:cs="Arial" w:eastAsia="Arial" w:hAnsi="Arial"/>
                <w:sz w:val="20"/>
                <w:szCs w:val="20"/>
                <w:color w:val="auto"/>
              </w:rPr>
              <w:t>*Foreign entity or subsidiary of foreign entity</w:t>
            </w:r>
          </w:p>
        </w:tc>
        <w:tc>
          <w:tcPr>
            <w:tcW w:w="4820" w:type="dxa"/>
            <w:vAlign w:val="bottom"/>
          </w:tcPr>
          <w:p>
            <w:pPr>
              <w:spacing w:after="0"/>
              <w:rPr>
                <w:sz w:val="24"/>
                <w:szCs w:val="24"/>
                <w:color w:val="auto"/>
              </w:rPr>
            </w:pPr>
          </w:p>
        </w:tc>
      </w:tr>
    </w:tbl>
    <w:p>
      <w:pPr>
        <w:sectPr>
          <w:pgSz w:w="11900" w:h="16838" w:orient="portrait"/>
          <w:cols w:equalWidth="0" w:num="1">
            <w:col w:w="11020"/>
          </w:cols>
          <w:pgMar w:left="6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333-166963 on Form S-8 of our reports dated February 26, 2020, relating to the financial statements of Clean Harbors, Inc. and the effectiveness of Clean Harbors, Inc.'s internal control over financial reporting appearing in this Annual Report on Form 10-K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202"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Alan S. McKim and Michael L. Battles, signing singly, the undersigned’s true and lawful attorney-in-fact to:</w:t>
      </w:r>
    </w:p>
    <w:p>
      <w:pPr>
        <w:spacing w:after="0" w:line="116" w:lineRule="exact"/>
        <w:rPr>
          <w:sz w:val="20"/>
          <w:szCs w:val="20"/>
          <w:color w:val="auto"/>
        </w:rPr>
      </w:pPr>
    </w:p>
    <w:p>
      <w:pPr>
        <w:ind w:left="660" w:right="140" w:firstLine="645"/>
        <w:spacing w:after="0" w:line="264" w:lineRule="auto"/>
        <w:tabs>
          <w:tab w:leader="none" w:pos="17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Clean Harbors, Inc. (the “Company”), any and all documents required by the Securities and Exchange Commission pursuant to the Securities Exchange Act of 1934 and the rules thereunder, including, without limitation, Form 10-K;</w:t>
      </w:r>
    </w:p>
    <w:p>
      <w:pPr>
        <w:spacing w:after="0" w:line="127" w:lineRule="exact"/>
        <w:rPr>
          <w:rFonts w:ascii="Arial" w:cs="Arial" w:eastAsia="Arial" w:hAnsi="Arial"/>
          <w:sz w:val="18"/>
          <w:szCs w:val="18"/>
          <w:color w:val="auto"/>
        </w:rPr>
      </w:pPr>
    </w:p>
    <w:p>
      <w:pPr>
        <w:ind w:left="660" w:right="160" w:firstLine="645"/>
        <w:spacing w:after="0" w:line="264" w:lineRule="auto"/>
        <w:tabs>
          <w:tab w:leader="none" w:pos="17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document filing and timely file such form with the United States Securities and Exchange Commission and any stock exchange or similar authority; and</w:t>
      </w:r>
    </w:p>
    <w:p>
      <w:pPr>
        <w:spacing w:after="0" w:line="127" w:lineRule="exact"/>
        <w:rPr>
          <w:rFonts w:ascii="Arial" w:cs="Arial" w:eastAsia="Arial" w:hAnsi="Arial"/>
          <w:sz w:val="18"/>
          <w:szCs w:val="18"/>
          <w:color w:val="auto"/>
        </w:rPr>
      </w:pPr>
    </w:p>
    <w:p>
      <w:pPr>
        <w:ind w:left="660" w:right="140" w:firstLine="645"/>
        <w:spacing w:after="0" w:line="277" w:lineRule="auto"/>
        <w:tabs>
          <w:tab w:leader="none" w:pos="174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and in the best interest of, or legally required by, the undersigned.</w:t>
      </w:r>
    </w:p>
    <w:p>
      <w:pPr>
        <w:spacing w:after="0" w:line="11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with respect to the undersigned’s capacity as an officer and/or director and/or holdings of and transactions in securities issued by the Company, unless earlier revoked by the undersigned in a signed writing delivered to the foregoing attorneys-in-fact.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26th day of February, 2020.</w:t>
      </w:r>
    </w:p>
    <w:p>
      <w:pPr>
        <w:spacing w:after="0" w:line="167" w:lineRule="exact"/>
        <w:rPr>
          <w:sz w:val="20"/>
          <w:szCs w:val="20"/>
          <w:color w:val="auto"/>
        </w:rPr>
      </w:pPr>
    </w:p>
    <w:p>
      <w:pPr>
        <w:ind w:left="7460"/>
        <w:spacing w:after="0"/>
        <w:rPr>
          <w:sz w:val="20"/>
          <w:szCs w:val="20"/>
          <w:color w:val="auto"/>
        </w:rPr>
      </w:pPr>
      <w:r>
        <w:rPr>
          <w:rFonts w:ascii="Arial" w:cs="Arial" w:eastAsia="Arial" w:hAnsi="Arial"/>
          <w:sz w:val="18"/>
          <w:szCs w:val="18"/>
          <w:b w:val="1"/>
          <w:bCs w:val="1"/>
          <w:u w:val="single" w:color="auto"/>
          <w:color w:val="auto"/>
        </w:rPr>
        <w:t>Signature</w:t>
      </w:r>
    </w:p>
    <w:p>
      <w:pPr>
        <w:spacing w:after="0" w:line="391"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GENE BANUCCI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EDWARD G. GALANTE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ROD MARLIN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JOHN T.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LAUREN C.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JOHN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ROBERT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310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25" w:lineRule="exact"/>
        <w:rPr>
          <w:sz w:val="20"/>
          <w:szCs w:val="20"/>
          <w:color w:val="auto"/>
        </w:rPr>
      </w:pPr>
    </w:p>
    <w:p>
      <w:pPr>
        <w:ind w:left="200" w:hanging="192"/>
        <w:spacing w:after="0"/>
        <w:tabs>
          <w:tab w:leader="none" w:pos="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2019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Alan S. McKim</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ectPr>
          <w:pgSz w:w="11900" w:h="16838" w:orient="portrait"/>
          <w:cols w:equalWidth="0" w:num="1">
            <w:col w:w="11420"/>
          </w:cols>
          <w:pgMar w:left="240" w:top="553"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25" w:lineRule="exact"/>
        <w:rPr>
          <w:sz w:val="20"/>
          <w:szCs w:val="20"/>
          <w:color w:val="auto"/>
        </w:rPr>
      </w:pPr>
    </w:p>
    <w:p>
      <w:pPr>
        <w:ind w:left="200" w:hanging="192"/>
        <w:spacing w:after="0"/>
        <w:tabs>
          <w:tab w:leader="none" w:pos="2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2019 of Clean Harbors, Inc.;</w:t>
      </w:r>
    </w:p>
    <w:p>
      <w:pPr>
        <w:spacing w:after="0" w:line="265" w:lineRule="exact"/>
        <w:rPr>
          <w:rFonts w:ascii="Arial" w:cs="Arial" w:eastAsia="Arial" w:hAnsi="Arial"/>
          <w:sz w:val="18"/>
          <w:szCs w:val="18"/>
          <w:color w:val="auto"/>
        </w:rPr>
      </w:pPr>
    </w:p>
    <w:p>
      <w:pPr>
        <w:ind w:right="440" w:firstLine="8"/>
        <w:spacing w:after="0" w:line="395" w:lineRule="auto"/>
        <w:tabs>
          <w:tab w:leader="none" w:pos="189"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0" w:firstLine="8"/>
        <w:spacing w:after="0" w:line="324" w:lineRule="auto"/>
        <w:tabs>
          <w:tab w:leader="none" w:pos="1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00" w:hanging="192"/>
        <w:spacing w:after="0"/>
        <w:tabs>
          <w:tab w:leader="none" w:pos="2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Act Rules 13a-15(e) and 15d-15(e)) and internal control over financial reporting (as defined in Exchange Act Rules 13a-15(f) and 15d-15(f)) for the registrant and have: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 that</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20" w:firstLine="8"/>
        <w:spacing w:after="0" w:line="324" w:lineRule="auto"/>
        <w:tabs>
          <w:tab w:leader="none" w:pos="254"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460" w:firstLine="8"/>
        <w:spacing w:after="0" w:line="357" w:lineRule="auto"/>
        <w:tabs>
          <w:tab w:leader="none" w:pos="189"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sz w:val="20"/>
          <w:szCs w:val="20"/>
          <w:color w:val="auto"/>
        </w:rPr>
      </w:pPr>
    </w:p>
    <w:p>
      <w:pPr>
        <w:ind w:right="200" w:firstLine="8"/>
        <w:spacing w:after="0" w:line="324" w:lineRule="auto"/>
        <w:tabs>
          <w:tab w:leader="none" w:pos="2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440" w:firstLine="8"/>
        <w:spacing w:after="0" w:line="324" w:lineRule="auto"/>
        <w:tabs>
          <w:tab w:leader="none" w:pos="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Michael L. Battles</w:t>
      </w:r>
    </w:p>
    <w:p>
      <w:pPr>
        <w:spacing w:after="0" w:line="6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ectPr>
          <w:pgSz w:w="11900" w:h="16838" w:orient="portrait"/>
          <w:cols w:equalWidth="0" w:num="1">
            <w:col w:w="11420"/>
          </w:cols>
          <w:pgMar w:left="240" w:top="553"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year ended December 31, 2019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8" w:lineRule="exact"/>
        <w:rPr>
          <w:sz w:val="20"/>
          <w:szCs w:val="20"/>
          <w:color w:val="auto"/>
        </w:rPr>
      </w:pPr>
    </w:p>
    <w:p>
      <w:pPr>
        <w:ind w:left="40"/>
        <w:spacing w:after="0"/>
        <w:tabs>
          <w:tab w:leader="none" w:pos="700" w:val="left"/>
          <w:tab w:leader="none" w:pos="5980" w:val="left"/>
          <w:tab w:leader="none" w:pos="8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Alan S. McKim</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700" w:val="left"/>
          <w:tab w:leader="none" w:pos="5980" w:val="left"/>
          <w:tab w:leader="none" w:pos="7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Michael L. Battles</w:t>
      </w:r>
    </w:p>
    <w:p>
      <w:pPr>
        <w:spacing w:after="0" w:line="58"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Executive Vice President and 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lvl w:ilvl="1">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decimal"/>
      <w:start w:val="3"/>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lowerRoman"/>
      <w:start w:val="5"/>
    </w:lvl>
  </w:abstractNum>
  <w:abstractNum w:abstractNumId="28">
    <w:nsid w:val="12E685FB"/>
    <w:multiLevelType w:val="hybridMultilevel"/>
    <w:lvl w:ilvl="0">
      <w:lvlJc w:val="left"/>
      <w:lvlText w:val="(%1)"/>
      <w:numFmt w:val="lowerRoman"/>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1)"/>
      <w:numFmt w:val="decimal"/>
      <w:start w:val="2"/>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2"/>
    </w:lvl>
  </w:abstractNum>
  <w:abstractNum w:abstractNumId="34">
    <w:nsid w:val="649BB77C"/>
    <w:multiLevelType w:val="hybridMultilevel"/>
    <w:lvl w:ilvl="0">
      <w:lvlJc w:val="left"/>
      <w:lvlText w:val="%1."/>
      <w:numFmt w:val="decimal"/>
      <w:start w:val="3"/>
    </w:lvl>
  </w:abstractNum>
  <w:abstractNum w:abstractNumId="35">
    <w:nsid w:val="275AC794"/>
    <w:multiLevelType w:val="hybridMultilevel"/>
    <w:lvl w:ilvl="0">
      <w:lvlJc w:val="left"/>
      <w:lvlText w:val="%1"/>
      <w:numFmt w:val="decimal"/>
      <w:start w:val="21"/>
    </w:lvl>
  </w:abstractNum>
  <w:abstractNum w:abstractNumId="36">
    <w:nsid w:val="39386575"/>
    <w:multiLevelType w:val="hybridMultilevel"/>
    <w:lvl w:ilvl="0">
      <w:lvlJc w:val="left"/>
      <w:lvlText w:val="%1"/>
      <w:numFmt w:val="decimal"/>
      <w:start w:val="23"/>
    </w:lvl>
  </w:abstractNum>
  <w:abstractNum w:abstractNumId="37">
    <w:nsid w:val="1CF10FD8"/>
    <w:multiLevelType w:val="hybridMultilevel"/>
    <w:lvl w:ilvl="0">
      <w:lvlJc w:val="left"/>
      <w:lvlText w:val="%1"/>
      <w:numFmt w:val="decimal"/>
      <w:start w:val="32"/>
    </w:lvl>
  </w:abstractNum>
  <w:abstractNum w:abstractNumId="38">
    <w:nsid w:val="180115BE"/>
    <w:multiLevelType w:val="hybridMultilevel"/>
    <w:lvl w:ilvl="0">
      <w:lvlJc w:val="left"/>
      <w:lvlText w:val="%1"/>
      <w:numFmt w:val="decimal"/>
      <w:start w:val="101"/>
    </w:lvl>
  </w:abstractNum>
  <w:abstractNum w:abstractNumId="39">
    <w:nsid w:val="235BA861"/>
    <w:multiLevelType w:val="hybridMultilevel"/>
    <w:lvl w:ilvl="0">
      <w:lvlJc w:val="left"/>
      <w:lvlText w:val="%1"/>
      <w:numFmt w:val="decimal"/>
      <w:start w:val="104"/>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lvl w:ilvl="1">
      <w:lvlJc w:val="left"/>
      <w:lvlText w:val="(%2)"/>
      <w:numFmt w:val="lowerLetter"/>
      <w:start w:val="1"/>
    </w:lvl>
  </w:abstractNum>
  <w:abstractNum w:abstractNumId="43">
    <w:nsid w:val="741226BB"/>
    <w:multiLevelType w:val="hybridMultilevel"/>
    <w:lvl w:ilvl="0">
      <w:lvlJc w:val="left"/>
      <w:lvlText w:val="(%1)"/>
      <w:numFmt w:val="lowerLetter"/>
      <w:start w:val="2"/>
    </w:lvl>
  </w:abstractNum>
  <w:abstractNum w:abstractNumId="44">
    <w:nsid w:val="D34B6A8"/>
    <w:multiLevelType w:val="hybridMultilevel"/>
    <w:lvl w:ilvl="0">
      <w:lvlJc w:val="left"/>
      <w:lvlText w:val="(%1)"/>
      <w:numFmt w:val="lowerLetter"/>
      <w:start w:val="3"/>
    </w:lvl>
  </w:abstractNum>
  <w:abstractNum w:abstractNumId="45">
    <w:nsid w:val="10233C99"/>
    <w:multiLevelType w:val="hybridMultilevel"/>
    <w:lvl w:ilvl="0">
      <w:lvlJc w:val="left"/>
      <w:lvlText w:val="(%1)"/>
      <w:numFmt w:val="lowerLetter"/>
      <w:start w:val="4"/>
    </w:lvl>
  </w:abstractNum>
  <w:abstractNum w:abstractNumId="46">
    <w:nsid w:val="3F6AB60F"/>
    <w:multiLevelType w:val="hybridMultilevel"/>
    <w:lvl w:ilvl="0">
      <w:lvlJc w:val="left"/>
      <w:lvlText w:val="(%1)"/>
      <w:numFmt w:val="lowerLetter"/>
      <w:start w:val="5"/>
    </w:lvl>
  </w:abstractNum>
  <w:abstractNum w:abstractNumId="47">
    <w:nsid w:val="61574095"/>
    <w:multiLevelType w:val="hybridMultilevel"/>
    <w:lvl w:ilvl="0">
      <w:lvlJc w:val="left"/>
      <w:lvlText w:val="(%1)"/>
      <w:numFmt w:val="lowerLetter"/>
      <w:start w:val="6"/>
    </w:lvl>
  </w:abstractNum>
  <w:abstractNum w:abstractNumId="48">
    <w:nsid w:val="7E0C57B1"/>
    <w:multiLevelType w:val="hybridMultilevel"/>
    <w:lvl w:ilvl="0">
      <w:lvlJc w:val="left"/>
      <w:lvlText w:val="(%1)"/>
      <w:numFmt w:val="lowerLetter"/>
      <w:start w:val="7"/>
    </w:lvl>
  </w:abstractNum>
  <w:abstractNum w:abstractNumId="49">
    <w:nsid w:val="77AE35EB"/>
    <w:multiLevelType w:val="hybridMultilevel"/>
    <w:lvl w:ilvl="0">
      <w:lvlJc w:val="left"/>
      <w:lvlText w:val="(%1)"/>
      <w:numFmt w:val="lowerLetter"/>
      <w:start w:val="8"/>
    </w:lvl>
  </w:abstractNum>
  <w:abstractNum w:abstractNumId="50">
    <w:nsid w:val="579BE4F1"/>
    <w:multiLevelType w:val="hybridMultilevel"/>
    <w:lvl w:ilvl="0">
      <w:lvlJc w:val="left"/>
      <w:lvlText w:val="(%1)"/>
      <w:numFmt w:val="lowerRoman"/>
      <w:start w:val="1"/>
    </w:lvl>
  </w:abstractNum>
  <w:abstractNum w:abstractNumId="51">
    <w:nsid w:val="310C50B3"/>
    <w:multiLevelType w:val="hybridMultilevel"/>
    <w:lvl w:ilvl="0">
      <w:lvlJc w:val="left"/>
      <w:lvlText w:val="(%1)"/>
      <w:numFmt w:val="lowerLetter"/>
      <w:start w:val="10"/>
    </w:lvl>
  </w:abstractNum>
  <w:abstractNum w:abstractNumId="52">
    <w:nsid w:val="5FF87E05"/>
    <w:multiLevelType w:val="hybridMultilevel"/>
    <w:lvl w:ilvl="0">
      <w:lvlJc w:val="left"/>
      <w:lvlText w:val="(%1)"/>
      <w:numFmt w:val="lowerLetter"/>
      <w:start w:val="11"/>
    </w:lvl>
  </w:abstractNum>
  <w:abstractNum w:abstractNumId="53">
    <w:nsid w:val="2F305DEF"/>
    <w:multiLevelType w:val="hybridMultilevel"/>
    <w:lvl w:ilvl="0">
      <w:lvlJc w:val="left"/>
      <w:lvlText w:val="(%1)"/>
      <w:numFmt w:val="lowerLetter"/>
      <w:start w:val="13"/>
    </w:lvl>
  </w:abstractNum>
  <w:abstractNum w:abstractNumId="54">
    <w:nsid w:val="25A70BF7"/>
    <w:multiLevelType w:val="hybridMultilevel"/>
    <w:lvl w:ilvl="0">
      <w:lvlJc w:val="left"/>
      <w:lvlText w:val="(%1)"/>
      <w:numFmt w:val="lowerLetter"/>
      <w:start w:val="14"/>
    </w:lvl>
  </w:abstractNum>
  <w:abstractNum w:abstractNumId="55">
    <w:nsid w:val="1DBABF00"/>
    <w:multiLevelType w:val="hybridMultilevel"/>
    <w:lvl w:ilvl="0">
      <w:lvlJc w:val="left"/>
      <w:lvlText w:val="(%1)"/>
      <w:numFmt w:val="lowerLetter"/>
      <w:start w:val="15"/>
    </w:lvl>
  </w:abstractNum>
  <w:abstractNum w:abstractNumId="56">
    <w:nsid w:val="4AD084E9"/>
    <w:multiLevelType w:val="hybridMultilevel"/>
    <w:lvl w:ilvl="0">
      <w:lvlJc w:val="left"/>
      <w:lvlText w:val="(%1)"/>
      <w:numFmt w:val="lowerLetter"/>
      <w:start w:val="16"/>
    </w:lvl>
  </w:abstractNum>
  <w:abstractNum w:abstractNumId="57">
    <w:nsid w:val="1F48EAA1"/>
    <w:multiLevelType w:val="hybridMultilevel"/>
    <w:lvl w:ilvl="0">
      <w:lvlJc w:val="left"/>
      <w:lvlText w:val="(%1)"/>
      <w:numFmt w:val="lowerLetter"/>
      <w:start w:val="19"/>
    </w:lvl>
  </w:abstractNum>
  <w:abstractNum w:abstractNumId="58">
    <w:nsid w:val="1381823A"/>
    <w:multiLevelType w:val="hybridMultilevel"/>
    <w:lvl w:ilvl="0">
      <w:lvlJc w:val="left"/>
      <w:lvlText w:val="(%1)"/>
      <w:numFmt w:val="lowerLetter"/>
      <w:start w:val="20"/>
    </w:lvl>
  </w:abstractNum>
  <w:abstractNum w:abstractNumId="59">
    <w:nsid w:val="5DB70AE5"/>
    <w:multiLevelType w:val="hybridMultilevel"/>
    <w:lvl w:ilvl="0">
      <w:lvlJc w:val="left"/>
      <w:lvlText w:val="(%1)"/>
      <w:numFmt w:val="lowerLetter"/>
      <w:start w:val="21"/>
    </w:lvl>
  </w:abstractNum>
  <w:abstractNum w:abstractNumId="60">
    <w:nsid w:val="100F8FCA"/>
    <w:multiLevelType w:val="hybridMultilevel"/>
    <w:lvl w:ilvl="0">
      <w:lvlJc w:val="left"/>
      <w:lvlText w:val="(%1)"/>
      <w:numFmt w:val="lowerRoman"/>
      <w:start w:val="5"/>
    </w:lvl>
  </w:abstractNum>
  <w:abstractNum w:abstractNumId="61">
    <w:nsid w:val="6590700B"/>
    <w:multiLevelType w:val="hybridMultilevel"/>
    <w:lvl w:ilvl="0">
      <w:lvlJc w:val="left"/>
      <w:lvlText w:val="(%1)"/>
      <w:numFmt w:val="lowerLetter"/>
      <w:start w:val="23"/>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1."/>
      <w:numFmt w:val="decimal"/>
      <w:start w:val="3"/>
    </w:lvl>
    <w:lvl w:ilvl="1">
      <w:lvlJc w:val="left"/>
      <w:lvlText w:val="(%2)"/>
      <w:numFmt w:val="lowerLetter"/>
      <w:start w:val="1"/>
    </w:lvl>
  </w:abstractNum>
  <w:abstractNum w:abstractNumId="64">
    <w:nsid w:val="98A31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5">
    <w:nsid w:val="799D0247"/>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1"/>
    </w:lvl>
  </w:abstractNum>
  <w:abstractNum w:abstractNumId="66">
    <w:nsid w:val="6B94764"/>
    <w:multiLevelType w:val="hybridMultilevel"/>
    <w:lvl w:ilvl="0">
      <w:lvlJc w:val="left"/>
      <w:lvlText w:val="%1."/>
      <w:numFmt w:val="decimal"/>
      <w:start w:val="9"/>
    </w:lvl>
  </w:abstractNum>
  <w:abstractNum w:abstractNumId="67">
    <w:nsid w:val="42C296BD"/>
    <w:multiLevelType w:val="hybridMultilevel"/>
    <w:lvl w:ilvl="0">
      <w:lvlJc w:val="left"/>
      <w:lvlText w:val="(%1)"/>
      <w:numFmt w:val="decimal"/>
      <w:start w:val="1"/>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1)"/>
      <w:numFmt w:val="lowerLetter"/>
      <w:start w:val="3"/>
    </w:lvl>
  </w:abstractNum>
  <w:abstractNum w:abstractNumId="70">
    <w:nsid w:val="661E3F1E"/>
    <w:multiLevelType w:val="hybridMultilevel"/>
    <w:lvl w:ilvl="0">
      <w:lvlJc w:val="left"/>
      <w:lvlText w:val="%1."/>
      <w:numFmt w:val="decimal"/>
      <w:start w:val="5"/>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1"/>
    </w:lvl>
  </w:abstractNum>
  <w:abstractNum w:abstractNumId="73">
    <w:nsid w:val="7BD3EE7B"/>
    <w:multiLevelType w:val="hybridMultilevel"/>
    <w:lvl w:ilvl="0">
      <w:lvlJc w:val="left"/>
      <w:lvlText w:val="(%1)"/>
      <w:numFmt w:val="lowerLetter"/>
      <w:start w:val="3"/>
    </w:lvl>
  </w:abstractNum>
  <w:abstractNum w:abstractNumId="74">
    <w:nsid w:val="51D9C564"/>
    <w:multiLevelType w:val="hybridMultilevel"/>
    <w:lvl w:ilvl="0">
      <w:lvlJc w:val="left"/>
      <w:lvlText w:val="%1."/>
      <w:numFmt w:val="decimal"/>
      <w:start w:val="5"/>
    </w:lvl>
  </w:abstractNum>
  <w:abstractNum w:abstractNumId="75">
    <w:nsid w:val="613EFD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32" Type="http://schemas.openxmlformats.org/officeDocument/2006/relationships/image" Target="media/image6.png"/><Relationship Id="rId49" Type="http://schemas.openxmlformats.org/officeDocument/2006/relationships/image" Target="media/image7.png"/><Relationship Id="rId50" Type="http://schemas.openxmlformats.org/officeDocument/2006/relationships/image" Target="media/image8.png"/><Relationship Id="rId51" Type="http://schemas.openxmlformats.org/officeDocument/2006/relationships/image" Target="media/image9.png"/><Relationship Id="rId52" Type="http://schemas.openxmlformats.org/officeDocument/2006/relationships/image" Target="media/image10.png"/><Relationship Id="rId53" Type="http://schemas.openxmlformats.org/officeDocument/2006/relationships/image" Target="media/image11.png"/><Relationship Id="rId54" Type="http://schemas.openxmlformats.org/officeDocument/2006/relationships/image" Target="media/image12.png"/><Relationship Id="rId55" Type="http://schemas.openxmlformats.org/officeDocument/2006/relationships/image" Target="media/image13.png"/><Relationship Id="rId56" Type="http://schemas.openxmlformats.org/officeDocument/2006/relationships/image" Target="media/image14.png"/><Relationship Id="rId57" Type="http://schemas.openxmlformats.org/officeDocument/2006/relationships/image" Target="media/image15.png"/><Relationship Id="rId58" Type="http://schemas.openxmlformats.org/officeDocument/2006/relationships/image" Target="media/image16.png"/><Relationship Id="rId59" Type="http://schemas.openxmlformats.org/officeDocument/2006/relationships/image" Target="media/image17.png"/><Relationship Id="rId60" Type="http://schemas.openxmlformats.org/officeDocument/2006/relationships/image" Target="media/image18.png"/><Relationship Id="rId61" Type="http://schemas.openxmlformats.org/officeDocument/2006/relationships/image" Target="media/image19.png"/><Relationship Id="rId13" Type="http://schemas.openxmlformats.org/officeDocument/2006/relationships/hyperlink" Target="http://www.sec.gov/Archives/edgar/data/822818/000092701602001196/d8k.txt" TargetMode="External"/><Relationship Id="rId14" Type="http://schemas.openxmlformats.org/officeDocument/2006/relationships/hyperlink" Target="http://www.sec.gov/Archives/edgar/data/822818/000092701602001496/dex22.txt" TargetMode="External"/><Relationship Id="rId15" Type="http://schemas.openxmlformats.org/officeDocument/2006/relationships/hyperlink" Target="http://www.sec.gov/Archives/edgar/data/822818/000092701602002924/dex23.htm" TargetMode="External"/><Relationship Id="rId16" Type="http://schemas.openxmlformats.org/officeDocument/2006/relationships/hyperlink" Target="http://www.sec.gov/Archives/edgar/data/822818/000092701602004686/dex24.txt" TargetMode="External"/><Relationship Id="rId17" Type="http://schemas.openxmlformats.org/officeDocument/2006/relationships/hyperlink" Target="http://www.sec.gov/Archives/edgar/data/822818/000119312503037927/dex25.htm" TargetMode="External"/><Relationship Id="rId18" Type="http://schemas.openxmlformats.org/officeDocument/2006/relationships/hyperlink" Target="http://www.sec.gov/Archives/edgar/data/822818/000110465912072515/a12-25471_1ex2d6.htm" TargetMode="External"/><Relationship Id="rId19" Type="http://schemas.openxmlformats.org/officeDocument/2006/relationships/hyperlink" Target="http://www.sec.gov/Archives/edgar/data/822818/000110465905024545/a05-9487_1ex3d1a.htm" TargetMode="External"/><Relationship Id="rId20" Type="http://schemas.openxmlformats.org/officeDocument/2006/relationships/hyperlink" Target="http://www.sec.gov/Archives/edgar/data/822818/000110465911028511/a11-12194_1ex3d1b.htm" TargetMode="External"/><Relationship Id="rId21" Type="http://schemas.openxmlformats.org/officeDocument/2006/relationships/hyperlink" Target="http://www.sec.gov/Archives/edgar/data/822818/000082281814000032/exhibit34d.htm" TargetMode="External"/><Relationship Id="rId22" Type="http://schemas.openxmlformats.org/officeDocument/2006/relationships/hyperlink" Target="http://www.sec.gov/Archives/edgar/data/822818/000104746912010846/a2211991z424b2.htm" TargetMode="External"/><Relationship Id="rId23" Type="http://schemas.openxmlformats.org/officeDocument/2006/relationships/hyperlink" Target="http://www.sec.gov/Archives/edgar/data/822818/000082281816000061/ex434_11116.htm" TargetMode="External"/><Relationship Id="rId24" Type="http://schemas.openxmlformats.org/officeDocument/2006/relationships/hyperlink" Target="http://www.sec.gov/Archives/edgar/data/822818/000082281816000061/ex434b_11116.htm" TargetMode="External"/><Relationship Id="rId25" Type="http://schemas.openxmlformats.org/officeDocument/2006/relationships/hyperlink" Target="http://www.sec.gov/Archives/edgar/data/822818/000082281816000061/ex434c_11116.htm" TargetMode="External"/><Relationship Id="rId26" Type="http://schemas.openxmlformats.org/officeDocument/2006/relationships/hyperlink" Target="http://www.sec.gov/Archives/edgar/data/822818/000082281816000061/ex434d_11116.htm" TargetMode="External"/><Relationship Id="rId27" Type="http://schemas.openxmlformats.org/officeDocument/2006/relationships/hyperlink" Target="http://www.sec.gov/Archives/edgar/data/822818/000082281816000061/ex434e_11116.htm" TargetMode="External"/><Relationship Id="rId28" Type="http://schemas.openxmlformats.org/officeDocument/2006/relationships/hyperlink" Target="http://www.sec.gov/Archives/edgar/data/822818/000082281817000024/ex434f_firstamendmenttocre.htm" TargetMode="External"/><Relationship Id="rId29" Type="http://schemas.openxmlformats.org/officeDocument/2006/relationships/hyperlink" Target="http://www.sec.gov/Archives/edgar/data/822818/000082281817000024/ex434g_secondamendedandres.htm" TargetMode="External"/><Relationship Id="rId30" Type="http://schemas.openxmlformats.org/officeDocument/2006/relationships/hyperlink" Target="http://www.sec.gov/Archives/edgar/data/822818/000082281818000039/secondamendmenttocreditagr.htm" TargetMode="External"/><Relationship Id="rId31" Type="http://schemas.openxmlformats.org/officeDocument/2006/relationships/hyperlink" Target="http://www.sec.gov/Archives/edgar/data/822818/000082281819000030/clh-722019ex434i.htm" TargetMode="External"/><Relationship Id="rId33" Type="http://schemas.openxmlformats.org/officeDocument/2006/relationships/hyperlink" Target="http://www.sec.gov/Archives/edgar/data/822818/000082281817000024/ex443_creditagreement.htm" TargetMode="External"/><Relationship Id="rId34" Type="http://schemas.openxmlformats.org/officeDocument/2006/relationships/hyperlink" Target="http://www.sec.gov/Archives/edgar/data/822818/000082281817000024/ex443asecurityagreement.htm" TargetMode="External"/><Relationship Id="rId35" Type="http://schemas.openxmlformats.org/officeDocument/2006/relationships/hyperlink" Target="http://www.sec.gov/Archives/edgar/data/822818/000082281818000013/exhibit443b.htm" TargetMode="External"/><Relationship Id="rId36" Type="http://schemas.openxmlformats.org/officeDocument/2006/relationships/hyperlink" Target="http://www.sec.gov/Archives/edgar/data/822818/000082281818000039/incrementalfacilityamendme.htm" TargetMode="External"/><Relationship Id="rId37" Type="http://schemas.openxmlformats.org/officeDocument/2006/relationships/hyperlink" Target="http://www.sec.gov/Archives/edgar/data/822818/000082281817000024/ex444_intercreditoragreeme.htm" TargetMode="External"/><Relationship Id="rId38" Type="http://schemas.openxmlformats.org/officeDocument/2006/relationships/hyperlink" Target="http://www.sec.gov/Archives/edgar/data/822818/000082281819000030/clh-722019ex445.htm" TargetMode="External"/><Relationship Id="rId39" Type="http://schemas.openxmlformats.org/officeDocument/2006/relationships/hyperlink" Target="http://www.sec.gov/Archives/edgar/data/822818/0001047469-99-020385.txt" TargetMode="External"/><Relationship Id="rId40" Type="http://schemas.openxmlformats.org/officeDocument/2006/relationships/hyperlink" Target="http://www.sec.gov/Archives/edgar/data/822818/000104746911001635/a2202164zex-10_43a.htm" TargetMode="External"/><Relationship Id="rId41" Type="http://schemas.openxmlformats.org/officeDocument/2006/relationships/hyperlink" Target="http://www.sec.gov/Archives/edgar/data/822818/000082281817000011/clhproxy2017.htm" TargetMode="External"/><Relationship Id="rId42" Type="http://schemas.openxmlformats.org/officeDocument/2006/relationships/hyperlink" Target="http://www.sec.gov/Archives/edgar/data/822818/000110465910028581/a10-9981_1ex10d54.htm" TargetMode="External"/><Relationship Id="rId43" Type="http://schemas.openxmlformats.org/officeDocument/2006/relationships/hyperlink" Target="http://www.sec.gov/Archives/edgar/data/822818/000104746911001635/a2202164zex-10_54a.htm" TargetMode="External"/><Relationship Id="rId44" Type="http://schemas.openxmlformats.org/officeDocument/2006/relationships/hyperlink" Target="http://www.sec.gov/Archives/edgar/data/822818/000104746911001635/a2202164zex-10_54b.htm" TargetMode="External"/><Relationship Id="rId45" Type="http://schemas.openxmlformats.org/officeDocument/2006/relationships/hyperlink" Target="http://www.sec.gov/Archives/edgar/data/822818/000104746911001635/a2202164zex-10_54c.htm" TargetMode="External"/><Relationship Id="rId46" Type="http://schemas.openxmlformats.org/officeDocument/2006/relationships/hyperlink" Target="http://www.sec.gov/Archives/edgar/data/822818/000144530513000693/clhproxy2013.htm" TargetMode="External"/><Relationship Id="rId47" Type="http://schemas.openxmlformats.org/officeDocument/2006/relationships/hyperlink" Target="http://www.sec.gov/Archives/edgar/data/822818/000082281816000030/ex1056.htm" TargetMode="External"/><Relationship Id="rId48" Type="http://schemas.openxmlformats.org/officeDocument/2006/relationships/hyperlink" Target="http://www.sec.gov/Archives/edgar/data/822818/000082281819000008/clhproxy2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2020-02-26T10:17:59Z</dcterms:created>
  <dcterms:modified xsi:type="dcterms:W3CDTF">2020-02-26T10:17:59Z</dcterms:modified>
</cp:coreProperties>
</file>